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129F7" w14:textId="23A541CC" w:rsidR="00F102E7" w:rsidRPr="009B1224" w:rsidRDefault="00FD5230" w:rsidP="00AD0962">
      <w:pPr>
        <w:spacing w:line="276" w:lineRule="auto"/>
        <w:jc w:val="center"/>
        <w:rPr>
          <w:rFonts w:ascii="Book Antiqua" w:eastAsia="Times New Roman" w:hAnsi="Book Antiqua" w:cs="Times New Roman"/>
          <w:spacing w:val="12"/>
          <w:kern w:val="0"/>
          <w:sz w:val="28"/>
          <w:szCs w:val="28"/>
          <w:lang w:val="es-ES"/>
          <w14:ligatures w14:val="none"/>
        </w:rPr>
      </w:pPr>
      <w:r w:rsidRPr="009B1224">
        <w:rPr>
          <w:rFonts w:ascii="Book Antiqua" w:eastAsia="Times New Roman" w:hAnsi="Book Antiqua" w:cs="Times New Roman"/>
          <w:spacing w:val="12"/>
          <w:kern w:val="0"/>
          <w:sz w:val="28"/>
          <w:szCs w:val="28"/>
          <w:lang w:val="es-ES"/>
          <w14:ligatures w14:val="none"/>
        </w:rPr>
        <w:t>GOBIERNO</w:t>
      </w:r>
      <w:r w:rsidR="00CB4BCC" w:rsidRPr="009B1224">
        <w:rPr>
          <w:rFonts w:ascii="Book Antiqua" w:eastAsia="Times New Roman" w:hAnsi="Book Antiqua" w:cs="Times New Roman"/>
          <w:spacing w:val="12"/>
          <w:kern w:val="0"/>
          <w:sz w:val="28"/>
          <w:szCs w:val="28"/>
          <w:lang w:val="es-ES"/>
          <w14:ligatures w14:val="none"/>
        </w:rPr>
        <w:t xml:space="preserve"> DE PUERTO RICO</w:t>
      </w:r>
    </w:p>
    <w:p w14:paraId="4F0B79DE" w14:textId="6D2C584B" w:rsidR="00CB4BCC" w:rsidRPr="009B1224" w:rsidRDefault="00101518" w:rsidP="00CA69C7">
      <w:pPr>
        <w:tabs>
          <w:tab w:val="left" w:pos="648"/>
          <w:tab w:val="right" w:pos="7776"/>
          <w:tab w:val="left" w:pos="7848"/>
        </w:tabs>
        <w:spacing w:after="0" w:line="276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  <w:r w:rsidRPr="009B1224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>20</w:t>
      </w:r>
      <w:r w:rsidR="00E32D29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.</w:t>
      </w:r>
      <w:r w:rsidR="00CB4BCC" w:rsidRPr="009B1224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a</w:t>
      </w:r>
      <w:r w:rsidR="00CB4BCC" w:rsidRPr="009B1224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  <w:t>Asamblea</w:t>
      </w:r>
      <w:r w:rsidR="00E32D29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 xml:space="preserve">                                                                                              </w:t>
      </w:r>
      <w:r w:rsidR="002D44D5" w:rsidRPr="009B1224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>3</w:t>
      </w:r>
      <w:r w:rsidR="00E32D29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.</w:t>
      </w:r>
      <w:r w:rsidR="00CB4BCC" w:rsidRPr="009B1224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a</w:t>
      </w:r>
      <w:r w:rsidR="00E32D29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 xml:space="preserve">      </w:t>
      </w:r>
      <w:r w:rsidR="00CB4BCC" w:rsidRPr="009B1224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  <w:t>Sesión</w:t>
      </w:r>
    </w:p>
    <w:p w14:paraId="064F0E65" w14:textId="77777777" w:rsidR="00CB4BCC" w:rsidRPr="009B1224" w:rsidRDefault="00CB4BCC" w:rsidP="00CA69C7">
      <w:pPr>
        <w:tabs>
          <w:tab w:val="left" w:pos="648"/>
          <w:tab w:val="right" w:pos="7776"/>
          <w:tab w:val="left" w:pos="7848"/>
        </w:tabs>
        <w:spacing w:after="0" w:line="276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  <w:r w:rsidRPr="009B1224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  <w:t>Legislativa</w:t>
      </w:r>
      <w:r w:rsidRPr="009B1224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</w:r>
      <w:r w:rsidRPr="009B1224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  <w:t>Ordinaria</w:t>
      </w:r>
    </w:p>
    <w:p w14:paraId="2CE4B615" w14:textId="77777777" w:rsidR="00101518" w:rsidRPr="009B1224" w:rsidRDefault="00101518" w:rsidP="00CA69C7">
      <w:pPr>
        <w:spacing w:after="0" w:line="276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</w:p>
    <w:p w14:paraId="48B3F741" w14:textId="3028E18F" w:rsidR="00CB4BCC" w:rsidRPr="009B1224" w:rsidRDefault="00101518" w:rsidP="00DD137F">
      <w:pPr>
        <w:spacing w:line="276" w:lineRule="auto"/>
        <w:jc w:val="center"/>
        <w:rPr>
          <w:rFonts w:ascii="Book Antiqua" w:eastAsia="Times New Roman" w:hAnsi="Book Antiqua" w:cs="Times New Roman"/>
          <w:b/>
          <w:spacing w:val="12"/>
          <w:kern w:val="0"/>
          <w:sz w:val="36"/>
          <w:szCs w:val="20"/>
          <w:lang w:val="es-ES"/>
          <w14:ligatures w14:val="none"/>
        </w:rPr>
      </w:pPr>
      <w:r w:rsidRPr="009B1224">
        <w:rPr>
          <w:rFonts w:ascii="Book Antiqua" w:eastAsia="Times New Roman" w:hAnsi="Book Antiqua" w:cs="Times New Roman"/>
          <w:b/>
          <w:spacing w:val="12"/>
          <w:kern w:val="0"/>
          <w:sz w:val="36"/>
          <w:szCs w:val="20"/>
          <w:lang w:val="es-ES"/>
          <w14:ligatures w14:val="none"/>
        </w:rPr>
        <w:t>CÁMARA DE REPRESENTANTES</w:t>
      </w:r>
    </w:p>
    <w:p w14:paraId="5C12BC4A" w14:textId="0A523AA8" w:rsidR="009B217F" w:rsidRPr="009B1224" w:rsidRDefault="00BB3A75" w:rsidP="00503859">
      <w:pPr>
        <w:spacing w:line="276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</w:pPr>
      <w:r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>P. de</w:t>
      </w:r>
      <w:r w:rsidR="00C20606"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>l</w:t>
      </w:r>
      <w:r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 xml:space="preserve"> </w:t>
      </w:r>
      <w:r w:rsidR="00C20606"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>S</w:t>
      </w:r>
      <w:r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>. 924</w:t>
      </w:r>
    </w:p>
    <w:p w14:paraId="13CF74F4" w14:textId="18CC4DB4" w:rsidR="00CB4BCC" w:rsidRPr="00E32D29" w:rsidRDefault="004C0F8A" w:rsidP="003302D1">
      <w:pPr>
        <w:spacing w:line="276" w:lineRule="auto"/>
        <w:jc w:val="center"/>
        <w:rPr>
          <w:rFonts w:ascii="Book Antiqua" w:eastAsia="Calibri" w:hAnsi="Book Antiqua" w:cs="Times New Roman"/>
          <w:spacing w:val="12"/>
          <w:kern w:val="0"/>
          <w:sz w:val="28"/>
          <w:szCs w:val="28"/>
          <w:lang w:val="es-ES"/>
          <w14:ligatures w14:val="none"/>
        </w:rPr>
      </w:pPr>
      <w:r w:rsidRPr="00E32D29">
        <w:rPr>
          <w:rFonts w:ascii="Book Antiqua" w:eastAsia="Calibri" w:hAnsi="Book Antiqua" w:cs="Times New Roman"/>
          <w:spacing w:val="12"/>
          <w:kern w:val="0"/>
          <w:sz w:val="28"/>
          <w:szCs w:val="28"/>
          <w:lang w:val="es-ES"/>
          <w14:ligatures w14:val="none"/>
        </w:rPr>
        <w:t>INFORME</w:t>
      </w:r>
      <w:r w:rsidR="00C20606" w:rsidRPr="00E32D29">
        <w:rPr>
          <w:rFonts w:ascii="Book Antiqua" w:eastAsia="Calibri" w:hAnsi="Book Antiqua" w:cs="Times New Roman"/>
          <w:spacing w:val="12"/>
          <w:kern w:val="0"/>
          <w:sz w:val="28"/>
          <w:szCs w:val="28"/>
          <w:lang w:val="es-ES"/>
          <w14:ligatures w14:val="none"/>
        </w:rPr>
        <w:t xml:space="preserve"> POSITIVO</w:t>
      </w:r>
    </w:p>
    <w:p w14:paraId="042A8F4B" w14:textId="20096FBD" w:rsidR="00101518" w:rsidRPr="009B1224" w:rsidRDefault="00711FAB" w:rsidP="00DD137F">
      <w:pPr>
        <w:spacing w:line="276" w:lineRule="auto"/>
        <w:jc w:val="center"/>
        <w:rPr>
          <w:rFonts w:ascii="Book Antiqua" w:eastAsia="Calibri" w:hAnsi="Book Antiqua" w:cs="Times New Roman"/>
          <w:kern w:val="0"/>
          <w:lang w:val="es-ES"/>
          <w14:ligatures w14:val="none"/>
        </w:rPr>
      </w:pPr>
      <w:r>
        <w:rPr>
          <w:rFonts w:ascii="Book Antiqua" w:eastAsia="Calibri" w:hAnsi="Book Antiqua" w:cs="Times New Roman"/>
          <w:kern w:val="0"/>
          <w:lang w:val="es-ES"/>
          <w14:ligatures w14:val="none"/>
        </w:rPr>
        <w:t>29</w:t>
      </w:r>
      <w:r w:rsidR="00101518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2D44D5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de </w:t>
      </w:r>
      <w:r w:rsidR="00BB3A75">
        <w:rPr>
          <w:rFonts w:ascii="Book Antiqua" w:eastAsia="Calibri" w:hAnsi="Book Antiqua" w:cs="Times New Roman"/>
          <w:kern w:val="0"/>
          <w:lang w:val="es-ES"/>
          <w14:ligatures w14:val="none"/>
        </w:rPr>
        <w:t>mayo</w:t>
      </w:r>
      <w:r w:rsidR="002D44D5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de 2026</w:t>
      </w:r>
    </w:p>
    <w:p w14:paraId="624ADA67" w14:textId="66E840D1" w:rsidR="000743E5" w:rsidRPr="00D545D6" w:rsidRDefault="00CB4BCC" w:rsidP="00B452B1">
      <w:pPr>
        <w:spacing w:line="276" w:lineRule="auto"/>
        <w:jc w:val="both"/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</w:pPr>
      <w:r w:rsidRPr="00D545D6"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  <w:t>A</w:t>
      </w:r>
      <w:r w:rsidR="00101518" w:rsidRPr="00D545D6"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  <w:t xml:space="preserve"> </w:t>
      </w:r>
      <w:r w:rsidRPr="00D545D6"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  <w:t>L</w:t>
      </w:r>
      <w:r w:rsidR="00101518" w:rsidRPr="00D545D6"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  <w:t xml:space="preserve">A CÁMARA DE REPRESENTANTES </w:t>
      </w:r>
      <w:r w:rsidRPr="00D545D6"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  <w:t>DE PUERTO RICO</w:t>
      </w:r>
    </w:p>
    <w:p w14:paraId="440F3447" w14:textId="54230F35" w:rsidR="004C0F8A" w:rsidRPr="009B1224" w:rsidRDefault="006C3629" w:rsidP="00F142FB">
      <w:pPr>
        <w:spacing w:after="120" w:line="288" w:lineRule="auto"/>
        <w:ind w:firstLine="706"/>
        <w:jc w:val="both"/>
        <w:rPr>
          <w:rFonts w:ascii="Book Antiqua" w:eastAsia="Calibri" w:hAnsi="Book Antiqua" w:cs="Times New Roman"/>
          <w:kern w:val="0"/>
          <w:lang w:val="es-ES"/>
          <w14:ligatures w14:val="none"/>
        </w:rPr>
      </w:pPr>
      <w:r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>P</w:t>
      </w:r>
      <w:r w:rsidR="00CB4BCC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>revi</w:t>
      </w:r>
      <w:r w:rsidR="00B41268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>a</w:t>
      </w:r>
      <w:r w:rsidR="00CB4BCC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consideración y evaluación</w:t>
      </w:r>
      <w:r w:rsidR="00CC270A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del </w:t>
      </w:r>
      <w:r w:rsidR="003A3439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Proyecto </w:t>
      </w:r>
      <w:r w:rsidR="00C20606">
        <w:rPr>
          <w:rFonts w:ascii="Book Antiqua" w:eastAsia="Calibri" w:hAnsi="Book Antiqua" w:cs="Times New Roman"/>
          <w:kern w:val="0"/>
          <w:lang w:val="es-ES"/>
          <w14:ligatures w14:val="none"/>
        </w:rPr>
        <w:t>del Senado</w:t>
      </w:r>
      <w:r w:rsidR="002E44AD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171D05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>(</w:t>
      </w:r>
      <w:r w:rsidR="00BB3A75">
        <w:rPr>
          <w:rFonts w:ascii="Book Antiqua" w:eastAsia="Calibri" w:hAnsi="Book Antiqua" w:cs="Times New Roman"/>
          <w:kern w:val="0"/>
          <w:lang w:val="es-ES"/>
          <w14:ligatures w14:val="none"/>
        </w:rPr>
        <w:t>P. de</w:t>
      </w:r>
      <w:r w:rsidR="00C20606">
        <w:rPr>
          <w:rFonts w:ascii="Book Antiqua" w:eastAsia="Calibri" w:hAnsi="Book Antiqua" w:cs="Times New Roman"/>
          <w:kern w:val="0"/>
          <w:lang w:val="es-ES"/>
          <w14:ligatures w14:val="none"/>
        </w:rPr>
        <w:t>l S</w:t>
      </w:r>
      <w:r w:rsidR="00BB3A75">
        <w:rPr>
          <w:rFonts w:ascii="Book Antiqua" w:eastAsia="Calibri" w:hAnsi="Book Antiqua" w:cs="Times New Roman"/>
          <w:kern w:val="0"/>
          <w:lang w:val="es-ES"/>
          <w14:ligatures w14:val="none"/>
        </w:rPr>
        <w:t>. 924</w:t>
      </w:r>
      <w:r w:rsidR="00171D05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>)</w:t>
      </w:r>
      <w:r w:rsidR="00CB4BCC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>,</w:t>
      </w:r>
      <w:r w:rsidR="00FC6706">
        <w:rPr>
          <w:rStyle w:val="FootnoteReference"/>
          <w:rFonts w:ascii="Book Antiqua" w:eastAsia="Calibri" w:hAnsi="Book Antiqua" w:cs="Times New Roman"/>
          <w:kern w:val="0"/>
          <w:lang w:val="es-ES"/>
          <w14:ligatures w14:val="none"/>
        </w:rPr>
        <w:footnoteReference w:id="1"/>
      </w:r>
      <w:r w:rsidR="00CB4BCC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la </w:t>
      </w:r>
      <w:r w:rsidR="00A332B7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Comisión de </w:t>
      </w:r>
      <w:r w:rsidR="00C169C6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>l</w:t>
      </w:r>
      <w:r w:rsidR="00A332B7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>o Jurídico</w:t>
      </w:r>
      <w:r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de la Cámara de Representantes de Puerto Rico</w:t>
      </w:r>
      <w:r w:rsidR="00834AA2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4C0F8A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>recomienda</w:t>
      </w:r>
      <w:r w:rsidR="00C101D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B11DEA">
        <w:rPr>
          <w:rFonts w:ascii="Book Antiqua" w:eastAsia="Calibri" w:hAnsi="Book Antiqua" w:cs="Times New Roman"/>
          <w:kern w:val="0"/>
          <w:lang w:val="es-ES"/>
          <w14:ligatures w14:val="none"/>
        </w:rPr>
        <w:t>su</w:t>
      </w:r>
      <w:r w:rsidR="00C101D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aprobación</w:t>
      </w:r>
      <w:r w:rsidR="004A0E6C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sin enmiendas</w:t>
      </w:r>
      <w:r w:rsidR="004C0F8A" w:rsidRPr="009B122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. </w:t>
      </w:r>
    </w:p>
    <w:p w14:paraId="083C6F99" w14:textId="03F0B2FD" w:rsidR="00D93876" w:rsidRPr="004A0E6C" w:rsidRDefault="00CB4BCC" w:rsidP="00503859">
      <w:pPr>
        <w:spacing w:before="240" w:line="276" w:lineRule="auto"/>
        <w:ind w:firstLine="706"/>
        <w:jc w:val="center"/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</w:pPr>
      <w:r w:rsidRPr="004A0E6C"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  <w:t>ALCANCE DE LA MEDIDA</w:t>
      </w:r>
    </w:p>
    <w:p w14:paraId="5B8E75AE" w14:textId="26957B18" w:rsidR="00C57223" w:rsidRPr="00C57223" w:rsidRDefault="00D93876" w:rsidP="00CD1AA7">
      <w:pPr>
        <w:spacing w:after="0" w:line="288" w:lineRule="auto"/>
        <w:ind w:firstLine="706"/>
        <w:jc w:val="both"/>
        <w:rPr>
          <w:rFonts w:ascii="Book Antiqua" w:eastAsia="Times New Roman" w:hAnsi="Book Antiqua" w:cs="Arial"/>
          <w:kern w:val="0"/>
          <w:lang w:val="es-ES"/>
          <w14:ligatures w14:val="none"/>
        </w:rPr>
      </w:pPr>
      <w:r w:rsidRPr="009B1224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El </w:t>
      </w:r>
      <w:r w:rsidR="00EC1D76">
        <w:rPr>
          <w:rFonts w:ascii="Book Antiqua" w:eastAsia="Times New Roman" w:hAnsi="Book Antiqua" w:cs="Arial"/>
          <w:kern w:val="0"/>
          <w:lang w:val="es-ES"/>
          <w14:ligatures w14:val="none"/>
        </w:rPr>
        <w:t>P. del S. 924</w:t>
      </w:r>
      <w:r w:rsidRPr="009B1224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propone</w:t>
      </w:r>
      <w:r w:rsidR="003A3439" w:rsidRPr="009B1224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</w:t>
      </w:r>
      <w:r w:rsidR="00C57223" w:rsidRPr="00C57223">
        <w:rPr>
          <w:rFonts w:ascii="Book Antiqua" w:eastAsia="Times New Roman" w:hAnsi="Book Antiqua" w:cs="Arial"/>
          <w:kern w:val="0"/>
          <w:lang w:val="es-ES"/>
          <w14:ligatures w14:val="none"/>
        </w:rPr>
        <w:t>derogar expresamente el Artículo 44 del Código Político de Puerto Rico de 1902, según enmendado, para atemperar el ordenamiento jurídico puertorriqueño a las disposiciones de</w:t>
      </w:r>
      <w:r w:rsidR="00C57223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la Ley</w:t>
      </w:r>
      <w:r w:rsidR="00DB3A41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Núm.</w:t>
      </w:r>
      <w:r w:rsidR="00C57223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146-2012, según enmendada,</w:t>
      </w:r>
      <w:r w:rsidR="00DB3A41">
        <w:rPr>
          <w:rStyle w:val="FootnoteReference"/>
          <w:rFonts w:ascii="Book Antiqua" w:eastAsia="Times New Roman" w:hAnsi="Book Antiqua" w:cs="Arial"/>
          <w:kern w:val="0"/>
          <w:lang w:val="es-ES"/>
          <w14:ligatures w14:val="none"/>
        </w:rPr>
        <w:footnoteReference w:id="2"/>
      </w:r>
      <w:r w:rsidR="00C57223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</w:t>
      </w:r>
      <w:r w:rsidR="00CB17EC">
        <w:rPr>
          <w:rFonts w:ascii="Book Antiqua" w:eastAsia="Times New Roman" w:hAnsi="Book Antiqua" w:cs="Arial"/>
          <w:kern w:val="0"/>
          <w:lang w:val="es-ES"/>
          <w14:ligatures w14:val="none"/>
        </w:rPr>
        <w:t>(Código Penal), la Constitución de Puerto Rico</w:t>
      </w:r>
      <w:r w:rsidR="00C57223" w:rsidRPr="00C57223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y a la jurisprudencia vigente relacionada con </w:t>
      </w:r>
      <w:r w:rsidR="00AD0962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la prohibición de leyes </w:t>
      </w:r>
      <w:r w:rsidR="00AD0962" w:rsidRPr="00AD0962">
        <w:rPr>
          <w:rFonts w:ascii="Book Antiqua" w:eastAsia="Times New Roman" w:hAnsi="Book Antiqua" w:cs="Arial"/>
          <w:i/>
          <w:iCs/>
          <w:kern w:val="0"/>
          <w:lang w:val="es-ES"/>
          <w14:ligatures w14:val="none"/>
        </w:rPr>
        <w:t>ex post facto</w:t>
      </w:r>
      <w:r w:rsidR="00AD0962">
        <w:rPr>
          <w:rFonts w:ascii="Book Antiqua" w:eastAsia="Times New Roman" w:hAnsi="Book Antiqua" w:cs="Arial"/>
          <w:kern w:val="0"/>
          <w:lang w:val="es-ES"/>
          <w14:ligatures w14:val="none"/>
        </w:rPr>
        <w:t>, el</w:t>
      </w:r>
      <w:r w:rsidR="00C57223" w:rsidRPr="00C57223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principio de favorabilidad y la supresión de delitos.</w:t>
      </w:r>
    </w:p>
    <w:p w14:paraId="03457ACB" w14:textId="313C9481" w:rsidR="00C57223" w:rsidRDefault="00C57223" w:rsidP="00CD1AA7">
      <w:pPr>
        <w:spacing w:after="0" w:line="288" w:lineRule="auto"/>
        <w:ind w:firstLine="706"/>
        <w:jc w:val="both"/>
        <w:rPr>
          <w:rFonts w:ascii="Book Antiqua" w:eastAsia="Times New Roman" w:hAnsi="Book Antiqua" w:cs="Arial"/>
          <w:kern w:val="0"/>
          <w:lang w:val="es-ES"/>
          <w14:ligatures w14:val="none"/>
        </w:rPr>
      </w:pPr>
      <w:r w:rsidRPr="00C57223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Mediante esta derogación, la medida elimina una disposición legal incompatible con el esquema penal </w:t>
      </w:r>
      <w:r w:rsidR="00CB17EC">
        <w:rPr>
          <w:rFonts w:ascii="Book Antiqua" w:eastAsia="Times New Roman" w:hAnsi="Book Antiqua" w:cs="Arial"/>
          <w:kern w:val="0"/>
          <w:lang w:val="es-ES"/>
          <w14:ligatures w14:val="none"/>
        </w:rPr>
        <w:t>moderno</w:t>
      </w:r>
      <w:r w:rsidR="003931EA">
        <w:rPr>
          <w:rFonts w:ascii="Book Antiqua" w:eastAsia="Times New Roman" w:hAnsi="Book Antiqua" w:cs="Arial"/>
          <w:kern w:val="0"/>
          <w:lang w:val="es-ES"/>
          <w14:ligatures w14:val="none"/>
        </w:rPr>
        <w:t>:</w:t>
      </w:r>
      <w:r w:rsidRPr="00C57223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cuando una conducta deja de constituir delito por determinación legislativa, no procede iniciar o continuar procesos criminales relacionados con dicha conducta, ni mantener sentencias condenatorias fundamentadas en delitos posteriormente suprimidos.</w:t>
      </w:r>
      <w:r w:rsidR="008051A5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</w:t>
      </w:r>
    </w:p>
    <w:p w14:paraId="4B4F61B2" w14:textId="77777777" w:rsidR="00105C76" w:rsidRDefault="00105C76" w:rsidP="00CD1AA7">
      <w:pPr>
        <w:spacing w:after="0" w:line="288" w:lineRule="auto"/>
        <w:ind w:firstLine="706"/>
        <w:jc w:val="both"/>
        <w:rPr>
          <w:rFonts w:ascii="Book Antiqua" w:eastAsia="Times New Roman" w:hAnsi="Book Antiqua" w:cs="Arial"/>
          <w:kern w:val="0"/>
          <w:lang w:val="es-ES"/>
          <w14:ligatures w14:val="none"/>
        </w:rPr>
      </w:pPr>
    </w:p>
    <w:p w14:paraId="70E88230" w14:textId="77777777" w:rsidR="00105C76" w:rsidRDefault="00105C76" w:rsidP="00CD1AA7">
      <w:pPr>
        <w:spacing w:after="0" w:line="288" w:lineRule="auto"/>
        <w:ind w:firstLine="706"/>
        <w:jc w:val="both"/>
        <w:rPr>
          <w:rFonts w:ascii="Book Antiqua" w:eastAsia="Times New Roman" w:hAnsi="Book Antiqua" w:cs="Arial"/>
          <w:kern w:val="0"/>
          <w:lang w:val="es-ES"/>
          <w14:ligatures w14:val="none"/>
        </w:rPr>
      </w:pPr>
    </w:p>
    <w:p w14:paraId="3C748DE5" w14:textId="77777777" w:rsidR="00105C76" w:rsidRPr="00C57223" w:rsidRDefault="00105C76" w:rsidP="00CD1AA7">
      <w:pPr>
        <w:spacing w:after="0" w:line="288" w:lineRule="auto"/>
        <w:ind w:firstLine="706"/>
        <w:jc w:val="both"/>
        <w:rPr>
          <w:rFonts w:ascii="Book Antiqua" w:eastAsia="Times New Roman" w:hAnsi="Book Antiqua" w:cs="Arial"/>
          <w:kern w:val="0"/>
          <w:lang w:val="es-ES"/>
          <w14:ligatures w14:val="none"/>
        </w:rPr>
      </w:pPr>
    </w:p>
    <w:p w14:paraId="783001BD" w14:textId="13C6483C" w:rsidR="00623ABB" w:rsidRPr="009B1224" w:rsidRDefault="00C57223" w:rsidP="00CD1AA7">
      <w:pPr>
        <w:spacing w:after="0" w:line="288" w:lineRule="auto"/>
        <w:ind w:firstLine="706"/>
        <w:jc w:val="both"/>
        <w:rPr>
          <w:rFonts w:ascii="Book Antiqua" w:eastAsia="Times New Roman" w:hAnsi="Book Antiqua" w:cs="Arial"/>
          <w:kern w:val="0"/>
          <w:lang w:val="es-ES"/>
          <w14:ligatures w14:val="none"/>
        </w:rPr>
      </w:pPr>
      <w:r w:rsidRPr="00C57223">
        <w:rPr>
          <w:rFonts w:ascii="Book Antiqua" w:eastAsia="Times New Roman" w:hAnsi="Book Antiqua" w:cs="Arial"/>
          <w:kern w:val="0"/>
          <w:lang w:val="es-ES"/>
          <w14:ligatures w14:val="none"/>
        </w:rPr>
        <w:lastRenderedPageBreak/>
        <w:t xml:space="preserve">La medida persigue, además, promover una mayor coherencia interna en el ordenamiento jurídico, fortalecer la certeza jurídica y evitar conflictos interpretativos entre disposiciones legales antiguas y el marco constitucional y penal contemporáneo. </w:t>
      </w:r>
      <w:r w:rsidR="00DE2A2E">
        <w:rPr>
          <w:rFonts w:ascii="Book Antiqua" w:eastAsia="Times New Roman" w:hAnsi="Book Antiqua" w:cs="Arial"/>
          <w:kern w:val="0"/>
          <w:lang w:val="es-ES"/>
          <w14:ligatures w14:val="none"/>
        </w:rPr>
        <w:t>E</w:t>
      </w:r>
      <w:r w:rsidR="00CB17EC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l </w:t>
      </w:r>
      <w:r w:rsidR="00EC1D76">
        <w:rPr>
          <w:rFonts w:ascii="Book Antiqua" w:eastAsia="Times New Roman" w:hAnsi="Book Antiqua" w:cs="Arial"/>
          <w:kern w:val="0"/>
          <w:lang w:val="es-ES"/>
          <w14:ligatures w14:val="none"/>
        </w:rPr>
        <w:t>P. del S. 924</w:t>
      </w:r>
      <w:r w:rsidR="00CB17EC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destaca</w:t>
      </w:r>
      <w:r w:rsidRPr="00C57223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el reconocimiento legislativo del principio de favorabilidad como garantía fundamental </w:t>
      </w:r>
      <w:r w:rsidR="00DE2A2E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en </w:t>
      </w:r>
      <w:r w:rsidR="008051A5">
        <w:rPr>
          <w:rFonts w:ascii="Book Antiqua" w:eastAsia="Times New Roman" w:hAnsi="Book Antiqua" w:cs="Arial"/>
          <w:kern w:val="0"/>
          <w:lang w:val="es-ES"/>
          <w14:ligatures w14:val="none"/>
        </w:rPr>
        <w:t>nuestro</w:t>
      </w:r>
      <w:r w:rsidRPr="00C57223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derecho penal</w:t>
      </w:r>
      <w:r w:rsidR="008051A5">
        <w:rPr>
          <w:rFonts w:ascii="Book Antiqua" w:eastAsia="Times New Roman" w:hAnsi="Book Antiqua" w:cs="Arial"/>
          <w:kern w:val="0"/>
          <w:lang w:val="es-ES"/>
          <w14:ligatures w14:val="none"/>
        </w:rPr>
        <w:t>, el cual se mant</w:t>
      </w:r>
      <w:r w:rsidR="00DE2A2E">
        <w:rPr>
          <w:rFonts w:ascii="Book Antiqua" w:eastAsia="Times New Roman" w:hAnsi="Book Antiqua" w:cs="Arial"/>
          <w:kern w:val="0"/>
          <w:lang w:val="es-ES"/>
          <w14:ligatures w14:val="none"/>
        </w:rPr>
        <w:t>iene</w:t>
      </w:r>
      <w:r w:rsidR="008051A5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desde su concepción en </w:t>
      </w:r>
      <w:r w:rsidR="00D00D6E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el año </w:t>
      </w:r>
      <w:r w:rsidR="008051A5">
        <w:rPr>
          <w:rFonts w:ascii="Book Antiqua" w:eastAsia="Times New Roman" w:hAnsi="Book Antiqua" w:cs="Arial"/>
          <w:kern w:val="0"/>
          <w:lang w:val="es-ES"/>
          <w14:ligatures w14:val="none"/>
        </w:rPr>
        <w:t>1974.</w:t>
      </w:r>
    </w:p>
    <w:p w14:paraId="63EE9844" w14:textId="72A39660" w:rsidR="00CB17EC" w:rsidRPr="00DE2A2E" w:rsidRDefault="00B67635" w:rsidP="00CB17EC">
      <w:pPr>
        <w:spacing w:line="276" w:lineRule="auto"/>
        <w:jc w:val="center"/>
        <w:rPr>
          <w:rFonts w:ascii="Book Antiqua" w:eastAsia="Times New Roman" w:hAnsi="Book Antiqua" w:cs="Times New Roman"/>
          <w:spacing w:val="12"/>
          <w:kern w:val="0"/>
          <w:lang w:val="es-ES"/>
          <w14:ligatures w14:val="none"/>
        </w:rPr>
      </w:pPr>
      <w:r w:rsidRPr="00DE2A2E">
        <w:rPr>
          <w:rFonts w:ascii="Book Antiqua" w:eastAsia="Times New Roman" w:hAnsi="Book Antiqua" w:cs="Times New Roman"/>
          <w:spacing w:val="12"/>
          <w:kern w:val="0"/>
          <w:lang w:val="es-ES"/>
          <w14:ligatures w14:val="none"/>
        </w:rPr>
        <w:t>TRASFONDO</w:t>
      </w:r>
    </w:p>
    <w:p w14:paraId="3D30DA0D" w14:textId="7C3523F9" w:rsidR="00CB17EC" w:rsidRPr="00CB17EC" w:rsidRDefault="00CB17EC" w:rsidP="001259CC">
      <w:pPr>
        <w:spacing w:after="0" w:line="288" w:lineRule="auto"/>
        <w:ind w:firstLine="706"/>
        <w:jc w:val="both"/>
        <w:rPr>
          <w:rFonts w:ascii="Book Antiqua" w:hAnsi="Book Antiqua"/>
          <w:lang w:val="es-ES"/>
        </w:rPr>
      </w:pPr>
      <w:r w:rsidRPr="00CB17EC">
        <w:rPr>
          <w:rFonts w:ascii="Book Antiqua" w:hAnsi="Book Antiqua"/>
          <w:lang w:val="es-ES"/>
        </w:rPr>
        <w:t>El principio de favorabilidad constituye una garantía fundamental del derecho penal</w:t>
      </w:r>
      <w:r w:rsidR="003F7A57">
        <w:rPr>
          <w:rFonts w:ascii="Book Antiqua" w:hAnsi="Book Antiqua"/>
          <w:lang w:val="es-ES"/>
        </w:rPr>
        <w:t>.</w:t>
      </w:r>
      <w:r w:rsidRPr="00CB17EC">
        <w:rPr>
          <w:rFonts w:ascii="Book Antiqua" w:hAnsi="Book Antiqua"/>
          <w:lang w:val="es-ES"/>
        </w:rPr>
        <w:t xml:space="preserve"> </w:t>
      </w:r>
      <w:r w:rsidR="003F7A57">
        <w:rPr>
          <w:rFonts w:ascii="Book Antiqua" w:hAnsi="Book Antiqua"/>
          <w:lang w:val="es-ES"/>
        </w:rPr>
        <w:t>E</w:t>
      </w:r>
      <w:r>
        <w:rPr>
          <w:rFonts w:ascii="Book Antiqua" w:hAnsi="Book Antiqua"/>
          <w:lang w:val="es-ES"/>
        </w:rPr>
        <w:t>stablece</w:t>
      </w:r>
      <w:r w:rsidRPr="00CB17EC">
        <w:rPr>
          <w:rFonts w:ascii="Book Antiqua" w:hAnsi="Book Antiqua"/>
          <w:lang w:val="es-ES"/>
        </w:rPr>
        <w:t xml:space="preserve"> que, aun cuando la ley penal aplicable es la vigente al momento de la comisión de los hechos, toda ley posterior</w:t>
      </w:r>
      <w:r w:rsidR="00612830">
        <w:rPr>
          <w:rFonts w:ascii="Book Antiqua" w:hAnsi="Book Antiqua"/>
          <w:lang w:val="es-ES"/>
        </w:rPr>
        <w:t xml:space="preserve"> que resulte</w:t>
      </w:r>
      <w:r w:rsidRPr="00CB17EC">
        <w:rPr>
          <w:rFonts w:ascii="Book Antiqua" w:hAnsi="Book Antiqua"/>
          <w:lang w:val="es-ES"/>
        </w:rPr>
        <w:t xml:space="preserve"> más favorable </w:t>
      </w:r>
      <w:r w:rsidR="00612830">
        <w:rPr>
          <w:rFonts w:ascii="Book Antiqua" w:hAnsi="Book Antiqua"/>
          <w:lang w:val="es-ES"/>
        </w:rPr>
        <w:t xml:space="preserve">en su aplicación </w:t>
      </w:r>
      <w:r w:rsidRPr="00CB17EC">
        <w:rPr>
          <w:rFonts w:ascii="Book Antiqua" w:hAnsi="Book Antiqua"/>
          <w:lang w:val="es-ES"/>
        </w:rPr>
        <w:t>a la persona imputada tendrá efecto retroactivo</w:t>
      </w:r>
      <w:r>
        <w:rPr>
          <w:rFonts w:ascii="Book Antiqua" w:hAnsi="Book Antiqua"/>
          <w:lang w:val="es-ES"/>
        </w:rPr>
        <w:t>, salvo ciertas excepciones</w:t>
      </w:r>
      <w:r w:rsidRPr="00CB17EC">
        <w:rPr>
          <w:rFonts w:ascii="Book Antiqua" w:hAnsi="Book Antiqua"/>
          <w:lang w:val="es-ES"/>
        </w:rPr>
        <w:t>. Este principio procura evitar aplicaciones arbitrarias o irrazonables de la ley penal y ha sido reconocido reiteradamente por el Tribunal Supremo de Puerto Rico</w:t>
      </w:r>
      <w:r>
        <w:rPr>
          <w:rFonts w:ascii="Book Antiqua" w:hAnsi="Book Antiqua"/>
          <w:lang w:val="es-ES"/>
        </w:rPr>
        <w:t xml:space="preserve"> </w:t>
      </w:r>
      <w:r w:rsidRPr="00CB17EC">
        <w:rPr>
          <w:rFonts w:ascii="Book Antiqua" w:hAnsi="Book Antiqua"/>
          <w:lang w:val="es-ES"/>
        </w:rPr>
        <w:t xml:space="preserve">en los casos </w:t>
      </w:r>
      <w:r w:rsidRPr="00134C48">
        <w:rPr>
          <w:rFonts w:ascii="Book Antiqua" w:hAnsi="Book Antiqua"/>
          <w:i/>
          <w:iCs/>
          <w:lang w:val="es-ES"/>
        </w:rPr>
        <w:t>Pueblo v. González</w:t>
      </w:r>
      <w:r w:rsidRPr="00CB17EC">
        <w:rPr>
          <w:rFonts w:ascii="Book Antiqua" w:hAnsi="Book Antiqua"/>
          <w:lang w:val="es-ES"/>
        </w:rPr>
        <w:t>,</w:t>
      </w:r>
      <w:r>
        <w:rPr>
          <w:rStyle w:val="FootnoteReference"/>
          <w:rFonts w:ascii="Book Antiqua" w:hAnsi="Book Antiqua"/>
          <w:lang w:val="es-ES"/>
        </w:rPr>
        <w:footnoteReference w:id="3"/>
      </w:r>
      <w:r w:rsidRPr="00CB17EC">
        <w:rPr>
          <w:rFonts w:ascii="Book Antiqua" w:hAnsi="Book Antiqua"/>
          <w:lang w:val="es-ES"/>
        </w:rPr>
        <w:t xml:space="preserve"> </w:t>
      </w:r>
      <w:r w:rsidRPr="00134C48">
        <w:rPr>
          <w:rFonts w:ascii="Book Antiqua" w:hAnsi="Book Antiqua"/>
          <w:i/>
          <w:iCs/>
          <w:lang w:val="es-ES"/>
        </w:rPr>
        <w:t>Pueblo v. Hernández García</w:t>
      </w:r>
      <w:r w:rsidRPr="00811DAD">
        <w:rPr>
          <w:rStyle w:val="FootnoteReference"/>
          <w:rFonts w:ascii="Book Antiqua" w:hAnsi="Book Antiqua"/>
          <w:lang w:val="es-ES"/>
        </w:rPr>
        <w:footnoteReference w:id="4"/>
      </w:r>
      <w:r w:rsidRPr="00811DAD">
        <w:rPr>
          <w:rFonts w:ascii="Book Antiqua" w:hAnsi="Book Antiqua"/>
          <w:lang w:val="es-ES"/>
        </w:rPr>
        <w:t xml:space="preserve"> </w:t>
      </w:r>
      <w:r w:rsidRPr="00CB17EC">
        <w:rPr>
          <w:rFonts w:ascii="Book Antiqua" w:hAnsi="Book Antiqua"/>
          <w:lang w:val="es-ES"/>
        </w:rPr>
        <w:t xml:space="preserve">y </w:t>
      </w:r>
      <w:r w:rsidRPr="00134C48">
        <w:rPr>
          <w:rFonts w:ascii="Book Antiqua" w:hAnsi="Book Antiqua"/>
          <w:i/>
          <w:iCs/>
          <w:lang w:val="es-ES"/>
        </w:rPr>
        <w:t>Pueblo v. Torres Cruz</w:t>
      </w:r>
      <w:r>
        <w:rPr>
          <w:rFonts w:ascii="Book Antiqua" w:hAnsi="Book Antiqua"/>
          <w:lang w:val="es-ES"/>
        </w:rPr>
        <w:t>,</w:t>
      </w:r>
      <w:r>
        <w:rPr>
          <w:rStyle w:val="FootnoteReference"/>
          <w:rFonts w:ascii="Book Antiqua" w:hAnsi="Book Antiqua"/>
          <w:lang w:val="es-ES"/>
        </w:rPr>
        <w:footnoteReference w:id="5"/>
      </w:r>
      <w:r>
        <w:rPr>
          <w:rFonts w:ascii="Book Antiqua" w:hAnsi="Book Antiqua"/>
          <w:lang w:val="es-ES"/>
        </w:rPr>
        <w:t xml:space="preserve"> entr</w:t>
      </w:r>
      <w:r w:rsidR="00D00D6E">
        <w:rPr>
          <w:rFonts w:ascii="Book Antiqua" w:hAnsi="Book Antiqua"/>
          <w:lang w:val="es-ES"/>
        </w:rPr>
        <w:t xml:space="preserve">e </w:t>
      </w:r>
      <w:r>
        <w:rPr>
          <w:rFonts w:ascii="Book Antiqua" w:hAnsi="Book Antiqua"/>
          <w:lang w:val="es-ES"/>
        </w:rPr>
        <w:t>otros.</w:t>
      </w:r>
    </w:p>
    <w:p w14:paraId="68688532" w14:textId="76FB8361" w:rsidR="00CB17EC" w:rsidRPr="00CB17EC" w:rsidRDefault="00991F62" w:rsidP="001259CC">
      <w:pPr>
        <w:spacing w:after="0" w:line="28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E</w:t>
      </w:r>
      <w:r w:rsidR="00CB17EC" w:rsidRPr="00CB17EC">
        <w:rPr>
          <w:rFonts w:ascii="Book Antiqua" w:hAnsi="Book Antiqua"/>
          <w:lang w:val="es-ES"/>
        </w:rPr>
        <w:t xml:space="preserve">l </w:t>
      </w:r>
      <w:r w:rsidR="002063DA">
        <w:rPr>
          <w:rFonts w:ascii="Book Antiqua" w:hAnsi="Book Antiqua"/>
          <w:lang w:val="es-ES"/>
        </w:rPr>
        <w:t>a</w:t>
      </w:r>
      <w:r w:rsidR="00CB17EC" w:rsidRPr="00CB17EC">
        <w:rPr>
          <w:rFonts w:ascii="Book Antiqua" w:hAnsi="Book Antiqua"/>
          <w:lang w:val="es-ES"/>
        </w:rPr>
        <w:t xml:space="preserve">rtículo 303 del Código Penal dispone que, si </w:t>
      </w:r>
      <w:r w:rsidR="00BA6F25">
        <w:rPr>
          <w:rFonts w:ascii="Book Antiqua" w:hAnsi="Book Antiqua"/>
          <w:lang w:val="es-ES"/>
        </w:rPr>
        <w:t>se</w:t>
      </w:r>
      <w:r w:rsidR="00612830">
        <w:rPr>
          <w:rFonts w:ascii="Book Antiqua" w:hAnsi="Book Antiqua"/>
          <w:lang w:val="es-ES"/>
        </w:rPr>
        <w:t xml:space="preserve"> </w:t>
      </w:r>
      <w:r w:rsidR="00CB17EC" w:rsidRPr="00CB17EC">
        <w:rPr>
          <w:rFonts w:ascii="Book Antiqua" w:hAnsi="Book Antiqua"/>
          <w:lang w:val="es-ES"/>
        </w:rPr>
        <w:t>suprime algún delito</w:t>
      </w:r>
      <w:r w:rsidR="00BA6F25">
        <w:rPr>
          <w:rFonts w:ascii="Book Antiqua" w:hAnsi="Book Antiqua"/>
          <w:lang w:val="es-ES"/>
        </w:rPr>
        <w:t xml:space="preserve"> bajo dicho Código</w:t>
      </w:r>
      <w:r w:rsidR="00CB17EC" w:rsidRPr="00CB17EC">
        <w:rPr>
          <w:rFonts w:ascii="Book Antiqua" w:hAnsi="Book Antiqua"/>
          <w:lang w:val="es-ES"/>
        </w:rPr>
        <w:t>, no deberá iniciarse encausamiento alguno</w:t>
      </w:r>
      <w:r w:rsidR="00BA6F25">
        <w:rPr>
          <w:rFonts w:ascii="Book Antiqua" w:hAnsi="Book Antiqua"/>
          <w:lang w:val="es-ES"/>
        </w:rPr>
        <w:t xml:space="preserve"> por los hechos despenalizados</w:t>
      </w:r>
      <w:r w:rsidR="00CB17EC" w:rsidRPr="00CB17EC">
        <w:rPr>
          <w:rFonts w:ascii="Book Antiqua" w:hAnsi="Book Antiqua"/>
          <w:lang w:val="es-ES"/>
        </w:rPr>
        <w:t>, las acciones pendientes deberán sobreseerse y las sentencias condenatorias deberán declararse nulas.</w:t>
      </w:r>
      <w:r w:rsidR="00612830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L</w:t>
      </w:r>
      <w:r w:rsidR="00612830">
        <w:rPr>
          <w:rFonts w:ascii="Book Antiqua" w:hAnsi="Book Antiqua"/>
          <w:lang w:val="es-ES"/>
        </w:rPr>
        <w:t>a persona deberá ser liberada.</w:t>
      </w:r>
      <w:r w:rsidR="00CB17EC" w:rsidRPr="00CB17EC">
        <w:rPr>
          <w:rFonts w:ascii="Book Antiqua" w:hAnsi="Book Antiqua"/>
          <w:lang w:val="es-ES"/>
        </w:rPr>
        <w:t xml:space="preserve"> En consecuencia, la permanencia del Artículo 44 del Código Político genera una incompatibilidad normativa con el esquema penal vigente y con los principios constitucionales que</w:t>
      </w:r>
      <w:r w:rsidR="00612830">
        <w:rPr>
          <w:rFonts w:ascii="Book Antiqua" w:hAnsi="Book Antiqua"/>
          <w:lang w:val="es-ES"/>
        </w:rPr>
        <w:t xml:space="preserve"> forman</w:t>
      </w:r>
      <w:r w:rsidR="00CB17EC" w:rsidRPr="00CB17EC">
        <w:rPr>
          <w:rFonts w:ascii="Book Antiqua" w:hAnsi="Book Antiqua"/>
          <w:lang w:val="es-ES"/>
        </w:rPr>
        <w:t xml:space="preserve"> nuestro sistema de justicia criminal.</w:t>
      </w:r>
    </w:p>
    <w:p w14:paraId="1C810C18" w14:textId="77777777" w:rsidR="006B7AF2" w:rsidRDefault="0083558B" w:rsidP="00D4024E">
      <w:pPr>
        <w:spacing w:after="0" w:line="28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E</w:t>
      </w:r>
      <w:r w:rsidR="00CB17EC" w:rsidRPr="00CB17EC">
        <w:rPr>
          <w:rFonts w:ascii="Book Antiqua" w:hAnsi="Book Antiqua"/>
          <w:lang w:val="es-ES"/>
        </w:rPr>
        <w:t xml:space="preserve">l Tribunal Supremo expresó en el caso de </w:t>
      </w:r>
      <w:r w:rsidR="00CB17EC" w:rsidRPr="00134C48">
        <w:rPr>
          <w:rFonts w:ascii="Book Antiqua" w:hAnsi="Book Antiqua"/>
          <w:i/>
          <w:iCs/>
          <w:lang w:val="es-ES"/>
        </w:rPr>
        <w:t>Pueblo v. Torres Cruz</w:t>
      </w:r>
      <w:r w:rsidR="00CB17EC" w:rsidRPr="00CB17EC">
        <w:rPr>
          <w:rFonts w:ascii="Book Antiqua" w:hAnsi="Book Antiqua"/>
          <w:lang w:val="es-ES"/>
        </w:rPr>
        <w:t xml:space="preserve"> que el principio de favorabilidad únicamente puede ser limitado mediante una cláusula de reserva expresamente legislada, </w:t>
      </w:r>
      <w:r w:rsidR="00612830">
        <w:rPr>
          <w:rFonts w:ascii="Book Antiqua" w:hAnsi="Book Antiqua"/>
          <w:lang w:val="es-ES"/>
        </w:rPr>
        <w:t>lo cual aún</w:t>
      </w:r>
      <w:r w:rsidR="00CB17EC" w:rsidRPr="00CB17EC">
        <w:rPr>
          <w:rFonts w:ascii="Book Antiqua" w:hAnsi="Book Antiqua"/>
          <w:lang w:val="es-ES"/>
        </w:rPr>
        <w:t xml:space="preserve"> no existe en nuestro ordenamiento penal. </w:t>
      </w:r>
    </w:p>
    <w:p w14:paraId="35920426" w14:textId="77A138ED" w:rsidR="006B7AF2" w:rsidRDefault="002063DA" w:rsidP="00D4024E">
      <w:pPr>
        <w:spacing w:after="0" w:line="28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Por su parte, </w:t>
      </w:r>
      <w:r w:rsidRPr="002063DA">
        <w:rPr>
          <w:rFonts w:ascii="Book Antiqua" w:hAnsi="Book Antiqua"/>
          <w:lang w:val="es-ES"/>
        </w:rPr>
        <w:t xml:space="preserve">el </w:t>
      </w:r>
      <w:r>
        <w:rPr>
          <w:rFonts w:ascii="Book Antiqua" w:hAnsi="Book Antiqua"/>
          <w:lang w:val="es-ES"/>
        </w:rPr>
        <w:t>a</w:t>
      </w:r>
      <w:r w:rsidRPr="002063DA">
        <w:rPr>
          <w:rFonts w:ascii="Book Antiqua" w:hAnsi="Book Antiqua"/>
          <w:lang w:val="es-ES"/>
        </w:rPr>
        <w:t xml:space="preserve">rtículo 44 del Código Político dispone que </w:t>
      </w:r>
      <w:r>
        <w:rPr>
          <w:rFonts w:ascii="Book Antiqua" w:hAnsi="Book Antiqua"/>
          <w:lang w:val="es-ES"/>
        </w:rPr>
        <w:t>l</w:t>
      </w:r>
      <w:r w:rsidRPr="002063DA">
        <w:rPr>
          <w:rFonts w:ascii="Book Antiqua" w:hAnsi="Book Antiqua"/>
          <w:lang w:val="es-ES"/>
        </w:rPr>
        <w:t>a revocación de una ley</w:t>
      </w:r>
      <w:r>
        <w:rPr>
          <w:rFonts w:ascii="Book Antiqua" w:hAnsi="Book Antiqua"/>
          <w:lang w:val="es-ES"/>
        </w:rPr>
        <w:t xml:space="preserve"> que</w:t>
      </w:r>
      <w:r w:rsidRPr="002063DA">
        <w:rPr>
          <w:rFonts w:ascii="Book Antiqua" w:hAnsi="Book Antiqua"/>
          <w:lang w:val="es-ES"/>
        </w:rPr>
        <w:t xml:space="preserve"> crea un </w:t>
      </w:r>
      <w:r w:rsidR="00435B78" w:rsidRPr="002063DA">
        <w:rPr>
          <w:rFonts w:ascii="Book Antiqua" w:hAnsi="Book Antiqua"/>
          <w:lang w:val="es-ES"/>
        </w:rPr>
        <w:t>delito</w:t>
      </w:r>
      <w:r w:rsidRPr="002063DA">
        <w:rPr>
          <w:rFonts w:ascii="Book Antiqua" w:hAnsi="Book Antiqua"/>
          <w:lang w:val="es-ES"/>
        </w:rPr>
        <w:t xml:space="preserve"> no constituye impedimento para acusar o perseguir y castigar un hecho cometido </w:t>
      </w:r>
      <w:r w:rsidR="00435B78">
        <w:rPr>
          <w:rFonts w:ascii="Book Antiqua" w:hAnsi="Book Antiqua"/>
          <w:lang w:val="es-ES"/>
        </w:rPr>
        <w:t xml:space="preserve">que infringe </w:t>
      </w:r>
      <w:r w:rsidRPr="002063DA">
        <w:rPr>
          <w:rFonts w:ascii="Book Antiqua" w:hAnsi="Book Antiqua"/>
          <w:lang w:val="es-ES"/>
        </w:rPr>
        <w:t>la ley así revocada</w:t>
      </w:r>
      <w:r w:rsidR="00435B78">
        <w:rPr>
          <w:rFonts w:ascii="Book Antiqua" w:hAnsi="Book Antiqua"/>
          <w:lang w:val="es-ES"/>
        </w:rPr>
        <w:t>. Esto,</w:t>
      </w:r>
      <w:r w:rsidRPr="002063DA">
        <w:rPr>
          <w:rFonts w:ascii="Book Antiqua" w:hAnsi="Book Antiqua"/>
          <w:lang w:val="es-ES"/>
        </w:rPr>
        <w:t xml:space="preserve"> a menos que no se declare expresamente en la ley derogatoria el propósito de impedir tal persecución o castigo</w:t>
      </w:r>
      <w:r w:rsidR="00435B78">
        <w:rPr>
          <w:rFonts w:ascii="Book Antiqua" w:hAnsi="Book Antiqua"/>
          <w:lang w:val="es-ES"/>
        </w:rPr>
        <w:t>.</w:t>
      </w:r>
      <w:r w:rsidRPr="002063DA">
        <w:rPr>
          <w:rFonts w:ascii="Book Antiqua" w:hAnsi="Book Antiqua"/>
          <w:lang w:val="es-ES"/>
        </w:rPr>
        <w:t xml:space="preserve"> </w:t>
      </w:r>
    </w:p>
    <w:p w14:paraId="66FFF660" w14:textId="08EADFA2" w:rsidR="00BA6F25" w:rsidRDefault="00CB17EC" w:rsidP="004C0FEA">
      <w:pPr>
        <w:spacing w:after="240" w:line="288" w:lineRule="auto"/>
        <w:ind w:firstLine="706"/>
        <w:jc w:val="both"/>
        <w:rPr>
          <w:rFonts w:ascii="Book Antiqua" w:eastAsia="Times New Roman" w:hAnsi="Book Antiqua" w:cs="Times New Roman"/>
          <w:b/>
          <w:bCs/>
          <w:spacing w:val="12"/>
          <w:kern w:val="0"/>
          <w:lang w:val="es-ES"/>
          <w14:ligatures w14:val="none"/>
        </w:rPr>
      </w:pPr>
      <w:r w:rsidRPr="00CB17EC">
        <w:rPr>
          <w:rFonts w:ascii="Book Antiqua" w:hAnsi="Book Antiqua"/>
          <w:lang w:val="es-ES"/>
        </w:rPr>
        <w:t xml:space="preserve">Por ello, la Asamblea Legislativa entiende necesario eliminar del Código Político </w:t>
      </w:r>
      <w:r w:rsidR="0059130D">
        <w:rPr>
          <w:rFonts w:ascii="Book Antiqua" w:hAnsi="Book Antiqua"/>
          <w:lang w:val="es-ES"/>
        </w:rPr>
        <w:t>una</w:t>
      </w:r>
      <w:r w:rsidRPr="00CB17EC">
        <w:rPr>
          <w:rFonts w:ascii="Book Antiqua" w:hAnsi="Book Antiqua"/>
          <w:lang w:val="es-ES"/>
        </w:rPr>
        <w:t xml:space="preserve"> disposición incompatible con </w:t>
      </w:r>
      <w:r w:rsidR="00612830">
        <w:rPr>
          <w:rFonts w:ascii="Book Antiqua" w:hAnsi="Book Antiqua"/>
          <w:lang w:val="es-ES"/>
        </w:rPr>
        <w:t>el ordenamiento jurídico actual.</w:t>
      </w:r>
    </w:p>
    <w:p w14:paraId="1A9D99B3" w14:textId="049BB4CB" w:rsidR="00FD7233" w:rsidRPr="00046B3C" w:rsidRDefault="00FD7233" w:rsidP="00046B3C">
      <w:pPr>
        <w:spacing w:after="120" w:line="276" w:lineRule="auto"/>
        <w:jc w:val="center"/>
        <w:rPr>
          <w:rFonts w:ascii="Book Antiqua" w:eastAsia="Times New Roman" w:hAnsi="Book Antiqua" w:cs="Times New Roman"/>
          <w:spacing w:val="12"/>
          <w:kern w:val="0"/>
          <w:lang w:val="es-ES"/>
          <w14:ligatures w14:val="none"/>
        </w:rPr>
      </w:pPr>
      <w:r w:rsidRPr="00046B3C">
        <w:rPr>
          <w:rFonts w:ascii="Book Antiqua" w:eastAsia="Times New Roman" w:hAnsi="Book Antiqua" w:cs="Times New Roman"/>
          <w:spacing w:val="12"/>
          <w:kern w:val="0"/>
          <w:lang w:val="es-ES"/>
          <w14:ligatures w14:val="none"/>
        </w:rPr>
        <w:lastRenderedPageBreak/>
        <w:t>COMENTARIOS SOBRE LA MEDIDA</w:t>
      </w:r>
    </w:p>
    <w:p w14:paraId="13F9E61E" w14:textId="0F8A1385" w:rsidR="001259CC" w:rsidRDefault="006B02FF" w:rsidP="009A04E6">
      <w:pPr>
        <w:spacing w:after="120" w:line="288" w:lineRule="auto"/>
        <w:ind w:firstLine="706"/>
        <w:jc w:val="both"/>
        <w:rPr>
          <w:rFonts w:ascii="Book Antiqua" w:hAnsi="Book Antiqua"/>
          <w:shd w:val="clear" w:color="auto" w:fill="FFFFFF"/>
          <w:lang w:val="es-ES"/>
        </w:rPr>
      </w:pPr>
      <w:r w:rsidRPr="009B1224">
        <w:rPr>
          <w:rFonts w:ascii="Book Antiqua" w:hAnsi="Book Antiqua"/>
          <w:lang w:val="es-ES"/>
        </w:rPr>
        <w:t xml:space="preserve">Esta </w:t>
      </w:r>
      <w:r w:rsidR="001842C6">
        <w:rPr>
          <w:rFonts w:ascii="Book Antiqua" w:hAnsi="Book Antiqua"/>
          <w:lang w:val="es-ES"/>
        </w:rPr>
        <w:t>c</w:t>
      </w:r>
      <w:r w:rsidR="00A332B7" w:rsidRPr="009B1224">
        <w:rPr>
          <w:rFonts w:ascii="Book Antiqua" w:hAnsi="Book Antiqua"/>
          <w:lang w:val="es-ES"/>
        </w:rPr>
        <w:t xml:space="preserve">omisión </w:t>
      </w:r>
      <w:r w:rsidR="00DE4263" w:rsidRPr="009B1224">
        <w:rPr>
          <w:rFonts w:ascii="Book Antiqua" w:hAnsi="Book Antiqua"/>
          <w:lang w:val="es-ES"/>
        </w:rPr>
        <w:t>recibió</w:t>
      </w:r>
      <w:r w:rsidR="002E44AD" w:rsidRPr="009B1224">
        <w:rPr>
          <w:rFonts w:ascii="Book Antiqua" w:hAnsi="Book Antiqua"/>
          <w:lang w:val="es-ES"/>
        </w:rPr>
        <w:t xml:space="preserve"> y consideró</w:t>
      </w:r>
      <w:r w:rsidR="00DE4263" w:rsidRPr="009B1224">
        <w:rPr>
          <w:rFonts w:ascii="Book Antiqua" w:hAnsi="Book Antiqua"/>
          <w:lang w:val="es-ES"/>
        </w:rPr>
        <w:t xml:space="preserve"> el insumo de distintas entidades </w:t>
      </w:r>
      <w:r w:rsidR="0008036B">
        <w:rPr>
          <w:rFonts w:ascii="Book Antiqua" w:hAnsi="Book Antiqua"/>
          <w:lang w:val="es-ES"/>
        </w:rPr>
        <w:t xml:space="preserve">sobre este </w:t>
      </w:r>
      <w:r w:rsidR="002E44AD" w:rsidRPr="009B1224">
        <w:rPr>
          <w:rFonts w:ascii="Book Antiqua" w:hAnsi="Book Antiqua"/>
          <w:lang w:val="es-ES"/>
        </w:rPr>
        <w:t>proyecto de ley</w:t>
      </w:r>
      <w:r w:rsidR="00DE4263" w:rsidRPr="009B1224">
        <w:rPr>
          <w:rFonts w:ascii="Book Antiqua" w:hAnsi="Book Antiqua"/>
          <w:shd w:val="clear" w:color="auto" w:fill="FFFFFF"/>
          <w:lang w:val="es-ES"/>
        </w:rPr>
        <w:t xml:space="preserve">. </w:t>
      </w:r>
      <w:r w:rsidR="0008036B">
        <w:rPr>
          <w:rFonts w:ascii="Book Antiqua" w:hAnsi="Book Antiqua"/>
          <w:shd w:val="clear" w:color="auto" w:fill="FFFFFF"/>
          <w:lang w:val="es-ES"/>
        </w:rPr>
        <w:t xml:space="preserve">Se </w:t>
      </w:r>
      <w:r w:rsidR="00DE4263" w:rsidRPr="009B1224">
        <w:rPr>
          <w:rFonts w:ascii="Book Antiqua" w:hAnsi="Book Antiqua"/>
          <w:shd w:val="clear" w:color="auto" w:fill="FFFFFF"/>
          <w:lang w:val="es-ES"/>
        </w:rPr>
        <w:t>resum</w:t>
      </w:r>
      <w:r w:rsidR="0008036B">
        <w:rPr>
          <w:rFonts w:ascii="Book Antiqua" w:hAnsi="Book Antiqua"/>
          <w:shd w:val="clear" w:color="auto" w:fill="FFFFFF"/>
          <w:lang w:val="es-ES"/>
        </w:rPr>
        <w:t>en</w:t>
      </w:r>
      <w:r w:rsidR="00DE4263" w:rsidRPr="009B1224">
        <w:rPr>
          <w:rFonts w:ascii="Book Antiqua" w:hAnsi="Book Antiqua"/>
          <w:shd w:val="clear" w:color="auto" w:fill="FFFFFF"/>
          <w:lang w:val="es-ES"/>
        </w:rPr>
        <w:t xml:space="preserve"> los puntos más importantes evaluados.</w:t>
      </w:r>
    </w:p>
    <w:p w14:paraId="7B85FD66" w14:textId="29AB97C6" w:rsidR="001E691C" w:rsidRDefault="001E691C" w:rsidP="00D6669A">
      <w:pPr>
        <w:spacing w:after="0" w:line="288" w:lineRule="auto"/>
        <w:jc w:val="both"/>
        <w:rPr>
          <w:rFonts w:ascii="Book Antiqua" w:hAnsi="Book Antiqua"/>
          <w:shd w:val="clear" w:color="auto" w:fill="FFFFFF"/>
          <w:lang w:val="es-ES"/>
        </w:rPr>
      </w:pPr>
      <w:r>
        <w:rPr>
          <w:rFonts w:ascii="Book Antiqua" w:hAnsi="Book Antiqua"/>
          <w:shd w:val="clear" w:color="auto" w:fill="FFFFFF"/>
          <w:lang w:val="es-ES"/>
        </w:rPr>
        <w:tab/>
        <w:t xml:space="preserve">El </w:t>
      </w:r>
      <w:r w:rsidRPr="00A22B7E">
        <w:rPr>
          <w:rFonts w:ascii="Book Antiqua" w:hAnsi="Book Antiqua"/>
          <w:b/>
          <w:bCs/>
          <w:shd w:val="clear" w:color="auto" w:fill="FFFFFF"/>
          <w:lang w:val="es-ES"/>
        </w:rPr>
        <w:t>Departamento de Estado</w:t>
      </w:r>
      <w:r>
        <w:rPr>
          <w:rFonts w:ascii="Book Antiqua" w:hAnsi="Book Antiqua"/>
          <w:shd w:val="clear" w:color="auto" w:fill="FFFFFF"/>
          <w:lang w:val="es-ES"/>
        </w:rPr>
        <w:t xml:space="preserve"> </w:t>
      </w:r>
      <w:r w:rsidR="00A22B7E">
        <w:rPr>
          <w:rFonts w:ascii="Book Antiqua" w:hAnsi="Book Antiqua"/>
          <w:shd w:val="clear" w:color="auto" w:fill="FFFFFF"/>
          <w:lang w:val="es-ES"/>
        </w:rPr>
        <w:t xml:space="preserve">(Estado) </w:t>
      </w:r>
      <w:r>
        <w:rPr>
          <w:rFonts w:ascii="Book Antiqua" w:hAnsi="Book Antiqua"/>
          <w:shd w:val="clear" w:color="auto" w:fill="FFFFFF"/>
          <w:lang w:val="es-ES"/>
        </w:rPr>
        <w:t xml:space="preserve">reconoce que el </w:t>
      </w:r>
      <w:r w:rsidR="00EC1D76">
        <w:rPr>
          <w:rFonts w:ascii="Book Antiqua" w:hAnsi="Book Antiqua"/>
          <w:shd w:val="clear" w:color="auto" w:fill="FFFFFF"/>
          <w:lang w:val="es-ES"/>
        </w:rPr>
        <w:t>P. del S. 924</w:t>
      </w:r>
      <w:r>
        <w:rPr>
          <w:rFonts w:ascii="Book Antiqua" w:hAnsi="Book Antiqua"/>
          <w:shd w:val="clear" w:color="auto" w:fill="FFFFFF"/>
          <w:lang w:val="es-ES"/>
        </w:rPr>
        <w:t xml:space="preserve"> responde a una necesidad estructural de depuración normativa y coherencia interna en el ordenamiento jurídico</w:t>
      </w:r>
      <w:r w:rsidR="00975DAC">
        <w:rPr>
          <w:rFonts w:ascii="Book Antiqua" w:hAnsi="Book Antiqua"/>
          <w:shd w:val="clear" w:color="auto" w:fill="FFFFFF"/>
          <w:lang w:val="es-ES"/>
        </w:rPr>
        <w:t>.</w:t>
      </w:r>
      <w:r>
        <w:rPr>
          <w:rFonts w:ascii="Book Antiqua" w:hAnsi="Book Antiqua"/>
          <w:shd w:val="clear" w:color="auto" w:fill="FFFFFF"/>
          <w:lang w:val="es-ES"/>
        </w:rPr>
        <w:t xml:space="preserve"> </w:t>
      </w:r>
      <w:r w:rsidR="00975DAC">
        <w:rPr>
          <w:rFonts w:ascii="Book Antiqua" w:hAnsi="Book Antiqua"/>
          <w:shd w:val="clear" w:color="auto" w:fill="FFFFFF"/>
          <w:lang w:val="es-ES"/>
        </w:rPr>
        <w:t>E</w:t>
      </w:r>
      <w:r>
        <w:rPr>
          <w:rFonts w:ascii="Book Antiqua" w:hAnsi="Book Antiqua"/>
          <w:shd w:val="clear" w:color="auto" w:fill="FFFFFF"/>
          <w:lang w:val="es-ES"/>
        </w:rPr>
        <w:t xml:space="preserve">l </w:t>
      </w:r>
      <w:r w:rsidR="00975DAC">
        <w:rPr>
          <w:rFonts w:ascii="Book Antiqua" w:hAnsi="Book Antiqua"/>
          <w:shd w:val="clear" w:color="auto" w:fill="FFFFFF"/>
          <w:lang w:val="es-ES"/>
        </w:rPr>
        <w:t>a</w:t>
      </w:r>
      <w:r>
        <w:rPr>
          <w:rFonts w:ascii="Book Antiqua" w:hAnsi="Book Antiqua"/>
          <w:shd w:val="clear" w:color="auto" w:fill="FFFFFF"/>
          <w:lang w:val="es-ES"/>
        </w:rPr>
        <w:t xml:space="preserve">rtículo 44 del Código Político operaba bajo un ordenamiento jurídico anterior a nuestra Constitución. </w:t>
      </w:r>
      <w:r w:rsidR="008D2E62">
        <w:rPr>
          <w:rFonts w:ascii="Book Antiqua" w:hAnsi="Book Antiqua"/>
          <w:shd w:val="clear" w:color="auto" w:fill="FFFFFF"/>
          <w:lang w:val="es-ES"/>
        </w:rPr>
        <w:t>M</w:t>
      </w:r>
      <w:r>
        <w:rPr>
          <w:rFonts w:ascii="Book Antiqua" w:hAnsi="Book Antiqua"/>
          <w:shd w:val="clear" w:color="auto" w:fill="FFFFFF"/>
          <w:lang w:val="es-ES"/>
        </w:rPr>
        <w:t>antener una disposición en contravención con los principios del debido proceso de ley genera un desajuste técnico y crea riesgo de confusión interpretativa, contrari</w:t>
      </w:r>
      <w:r w:rsidR="008D2E62">
        <w:rPr>
          <w:rFonts w:ascii="Book Antiqua" w:hAnsi="Book Antiqua"/>
          <w:shd w:val="clear" w:color="auto" w:fill="FFFFFF"/>
          <w:lang w:val="es-ES"/>
        </w:rPr>
        <w:t>o</w:t>
      </w:r>
      <w:r>
        <w:rPr>
          <w:rFonts w:ascii="Book Antiqua" w:hAnsi="Book Antiqua"/>
          <w:shd w:val="clear" w:color="auto" w:fill="FFFFFF"/>
          <w:lang w:val="es-ES"/>
        </w:rPr>
        <w:t xml:space="preserve"> a la uniformidad que requiere el sistema de justicia penal. </w:t>
      </w:r>
      <w:r w:rsidR="008D2E62">
        <w:rPr>
          <w:rFonts w:ascii="Book Antiqua" w:hAnsi="Book Antiqua"/>
          <w:shd w:val="clear" w:color="auto" w:fill="FFFFFF"/>
          <w:lang w:val="es-ES"/>
        </w:rPr>
        <w:t>A</w:t>
      </w:r>
      <w:r>
        <w:rPr>
          <w:rFonts w:ascii="Book Antiqua" w:hAnsi="Book Antiqua"/>
          <w:shd w:val="clear" w:color="auto" w:fill="FFFFFF"/>
          <w:lang w:val="es-ES"/>
        </w:rPr>
        <w:t xml:space="preserve"> partir del </w:t>
      </w:r>
      <w:r w:rsidR="00D92694">
        <w:rPr>
          <w:rFonts w:ascii="Book Antiqua" w:hAnsi="Book Antiqua"/>
          <w:shd w:val="clear" w:color="auto" w:fill="FFFFFF"/>
          <w:lang w:val="es-ES"/>
        </w:rPr>
        <w:t xml:space="preserve">año </w:t>
      </w:r>
      <w:r>
        <w:rPr>
          <w:rFonts w:ascii="Book Antiqua" w:hAnsi="Book Antiqua"/>
          <w:shd w:val="clear" w:color="auto" w:fill="FFFFFF"/>
          <w:lang w:val="es-ES"/>
        </w:rPr>
        <w:t>1974, la Asamblea Legislativa ha demostrado estar a favor de lo que propone el principio de favorabilidad.</w:t>
      </w:r>
    </w:p>
    <w:p w14:paraId="52A300EE" w14:textId="1692F67F" w:rsidR="001E691C" w:rsidRDefault="001E691C" w:rsidP="009A04E6">
      <w:pPr>
        <w:spacing w:after="120" w:line="288" w:lineRule="auto"/>
        <w:jc w:val="both"/>
        <w:rPr>
          <w:rFonts w:ascii="Book Antiqua" w:hAnsi="Book Antiqua"/>
          <w:shd w:val="clear" w:color="auto" w:fill="FFFFFF"/>
          <w:lang w:val="es-ES"/>
        </w:rPr>
      </w:pPr>
      <w:r>
        <w:rPr>
          <w:rFonts w:ascii="Book Antiqua" w:hAnsi="Book Antiqua"/>
          <w:shd w:val="clear" w:color="auto" w:fill="FFFFFF"/>
          <w:lang w:val="es-ES"/>
        </w:rPr>
        <w:tab/>
        <w:t xml:space="preserve">Según Estado, el </w:t>
      </w:r>
      <w:r w:rsidR="00EC1D76">
        <w:rPr>
          <w:rFonts w:ascii="Book Antiqua" w:hAnsi="Book Antiqua"/>
          <w:shd w:val="clear" w:color="auto" w:fill="FFFFFF"/>
          <w:lang w:val="es-ES"/>
        </w:rPr>
        <w:t>P. del S. 924</w:t>
      </w:r>
      <w:r>
        <w:rPr>
          <w:rFonts w:ascii="Book Antiqua" w:hAnsi="Book Antiqua"/>
          <w:shd w:val="clear" w:color="auto" w:fill="FFFFFF"/>
          <w:lang w:val="es-ES"/>
        </w:rPr>
        <w:t xml:space="preserve"> es un paso en la consolidación de un ordenamiento jurídico moderno, coherente y fiel a los principios que rigen el derecho penal actual. </w:t>
      </w:r>
      <w:r w:rsidR="00614796">
        <w:rPr>
          <w:rFonts w:ascii="Book Antiqua" w:hAnsi="Book Antiqua"/>
          <w:shd w:val="clear" w:color="auto" w:fill="FFFFFF"/>
          <w:lang w:val="es-ES"/>
        </w:rPr>
        <w:t>L</w:t>
      </w:r>
      <w:r>
        <w:rPr>
          <w:rFonts w:ascii="Book Antiqua" w:hAnsi="Book Antiqua"/>
          <w:shd w:val="clear" w:color="auto" w:fill="FFFFFF"/>
          <w:lang w:val="es-ES"/>
        </w:rPr>
        <w:t xml:space="preserve">a claridad normativa es indispensable en el ámbito penal, en el cual la certeza jurídica es una garantía esencial para la protección de libertades fundamentales y la administración eficiente de la justicia. Por todo lo anterior, Estado avala el </w:t>
      </w:r>
      <w:r w:rsidR="00EC1D76">
        <w:rPr>
          <w:rFonts w:ascii="Book Antiqua" w:hAnsi="Book Antiqua"/>
          <w:shd w:val="clear" w:color="auto" w:fill="FFFFFF"/>
          <w:lang w:val="es-ES"/>
        </w:rPr>
        <w:t>P. del S. 924</w:t>
      </w:r>
      <w:r>
        <w:rPr>
          <w:rFonts w:ascii="Book Antiqua" w:hAnsi="Book Antiqua"/>
          <w:shd w:val="clear" w:color="auto" w:fill="FFFFFF"/>
          <w:lang w:val="es-ES"/>
        </w:rPr>
        <w:t xml:space="preserve">. </w:t>
      </w:r>
    </w:p>
    <w:p w14:paraId="50B52436" w14:textId="75C60864" w:rsidR="001E691C" w:rsidRDefault="001E691C" w:rsidP="00D6669A">
      <w:pPr>
        <w:spacing w:after="0" w:line="288" w:lineRule="auto"/>
        <w:jc w:val="both"/>
        <w:rPr>
          <w:rFonts w:ascii="Book Antiqua" w:hAnsi="Book Antiqua"/>
          <w:shd w:val="clear" w:color="auto" w:fill="FFFFFF"/>
          <w:lang w:val="es-ES"/>
        </w:rPr>
      </w:pPr>
      <w:r>
        <w:rPr>
          <w:rFonts w:ascii="Book Antiqua" w:hAnsi="Book Antiqua"/>
          <w:shd w:val="clear" w:color="auto" w:fill="FFFFFF"/>
          <w:lang w:val="es-ES"/>
        </w:rPr>
        <w:tab/>
        <w:t xml:space="preserve">El </w:t>
      </w:r>
      <w:r w:rsidRPr="006353BF">
        <w:rPr>
          <w:rFonts w:ascii="Book Antiqua" w:hAnsi="Book Antiqua"/>
          <w:b/>
          <w:bCs/>
          <w:shd w:val="clear" w:color="auto" w:fill="FFFFFF"/>
          <w:lang w:val="es-ES"/>
        </w:rPr>
        <w:t>Departamento de Justicia</w:t>
      </w:r>
      <w:r>
        <w:rPr>
          <w:rFonts w:ascii="Book Antiqua" w:hAnsi="Book Antiqua"/>
          <w:shd w:val="clear" w:color="auto" w:fill="FFFFFF"/>
          <w:lang w:val="es-ES"/>
        </w:rPr>
        <w:t xml:space="preserve"> </w:t>
      </w:r>
      <w:r w:rsidR="006353BF">
        <w:rPr>
          <w:rFonts w:ascii="Book Antiqua" w:hAnsi="Book Antiqua"/>
          <w:shd w:val="clear" w:color="auto" w:fill="FFFFFF"/>
          <w:lang w:val="es-ES"/>
        </w:rPr>
        <w:t xml:space="preserve">(Justicia) </w:t>
      </w:r>
      <w:r>
        <w:rPr>
          <w:rFonts w:ascii="Book Antiqua" w:hAnsi="Book Antiqua"/>
          <w:shd w:val="clear" w:color="auto" w:fill="FFFFFF"/>
          <w:lang w:val="es-ES"/>
        </w:rPr>
        <w:t xml:space="preserve">establece que el Tribunal Supremo de Puerto Rico </w:t>
      </w:r>
      <w:r w:rsidR="00614796">
        <w:rPr>
          <w:rFonts w:ascii="Book Antiqua" w:hAnsi="Book Antiqua"/>
          <w:shd w:val="clear" w:color="auto" w:fill="FFFFFF"/>
          <w:lang w:val="es-ES"/>
        </w:rPr>
        <w:t xml:space="preserve">reconoció </w:t>
      </w:r>
      <w:r>
        <w:rPr>
          <w:rFonts w:ascii="Book Antiqua" w:hAnsi="Book Antiqua"/>
          <w:shd w:val="clear" w:color="auto" w:fill="FFFFFF"/>
          <w:lang w:val="es-ES"/>
        </w:rPr>
        <w:t xml:space="preserve">el principio de favorabilidad como una prerrogativa legislativa y no un principio de rango constitucional. Por esta razón, la Asamblea Legislativa tiene potestad para establecer excepciones al principio de favorabilidad al ordenar la aplicación prospectiva de las leyes </w:t>
      </w:r>
      <w:r w:rsidR="008B2068">
        <w:rPr>
          <w:rFonts w:ascii="Book Antiqua" w:hAnsi="Book Antiqua"/>
          <w:shd w:val="clear" w:color="auto" w:fill="FFFFFF"/>
          <w:lang w:val="es-ES"/>
        </w:rPr>
        <w:t>—</w:t>
      </w:r>
      <w:r>
        <w:rPr>
          <w:rFonts w:ascii="Book Antiqua" w:hAnsi="Book Antiqua"/>
          <w:shd w:val="clear" w:color="auto" w:fill="FFFFFF"/>
          <w:lang w:val="es-ES"/>
        </w:rPr>
        <w:t>aunque sean</w:t>
      </w:r>
      <w:r w:rsidR="00D92694">
        <w:rPr>
          <w:rFonts w:ascii="Book Antiqua" w:hAnsi="Book Antiqua"/>
          <w:shd w:val="clear" w:color="auto" w:fill="FFFFFF"/>
          <w:lang w:val="es-ES"/>
        </w:rPr>
        <w:t xml:space="preserve"> </w:t>
      </w:r>
      <w:r>
        <w:rPr>
          <w:rFonts w:ascii="Book Antiqua" w:hAnsi="Book Antiqua"/>
          <w:shd w:val="clear" w:color="auto" w:fill="FFFFFF"/>
          <w:lang w:val="es-ES"/>
        </w:rPr>
        <w:t xml:space="preserve">desfavorables al acusado </w:t>
      </w:r>
      <w:r w:rsidR="00D92694">
        <w:rPr>
          <w:rFonts w:ascii="Book Antiqua" w:hAnsi="Book Antiqua"/>
          <w:shd w:val="clear" w:color="auto" w:fill="FFFFFF"/>
          <w:lang w:val="es-ES"/>
        </w:rPr>
        <w:t>en comparación a</w:t>
      </w:r>
      <w:r>
        <w:rPr>
          <w:rFonts w:ascii="Book Antiqua" w:hAnsi="Book Antiqua"/>
          <w:shd w:val="clear" w:color="auto" w:fill="FFFFFF"/>
          <w:lang w:val="es-ES"/>
        </w:rPr>
        <w:t xml:space="preserve"> la ley vigente al momento de ser condenado.</w:t>
      </w:r>
      <w:r w:rsidR="000B2043">
        <w:rPr>
          <w:rFonts w:ascii="Book Antiqua" w:hAnsi="Book Antiqua"/>
          <w:shd w:val="clear" w:color="auto" w:fill="FFFFFF"/>
          <w:lang w:val="es-ES"/>
        </w:rPr>
        <w:t xml:space="preserve"> </w:t>
      </w:r>
      <w:r w:rsidR="00FF6C26">
        <w:rPr>
          <w:rFonts w:ascii="Book Antiqua" w:hAnsi="Book Antiqua"/>
          <w:shd w:val="clear" w:color="auto" w:fill="FFFFFF"/>
          <w:lang w:val="es-ES"/>
        </w:rPr>
        <w:t xml:space="preserve">En </w:t>
      </w:r>
      <w:r w:rsidR="000B2043">
        <w:rPr>
          <w:rFonts w:ascii="Book Antiqua" w:hAnsi="Book Antiqua"/>
          <w:shd w:val="clear" w:color="auto" w:fill="FFFFFF"/>
          <w:lang w:val="es-ES"/>
        </w:rPr>
        <w:t>este</w:t>
      </w:r>
      <w:r w:rsidR="00FF6C26">
        <w:rPr>
          <w:rFonts w:ascii="Book Antiqua" w:hAnsi="Book Antiqua"/>
          <w:shd w:val="clear" w:color="auto" w:fill="FFFFFF"/>
          <w:lang w:val="es-ES"/>
        </w:rPr>
        <w:t xml:space="preserve"> contexto, la medida responde a un ejercicio de armonización constitucional y técnica legislativa dirigida a actualizar las disposiciones del Código Político desplazadas por </w:t>
      </w:r>
      <w:r w:rsidR="00D92694">
        <w:rPr>
          <w:rFonts w:ascii="Book Antiqua" w:hAnsi="Book Antiqua"/>
          <w:shd w:val="clear" w:color="auto" w:fill="FFFFFF"/>
          <w:lang w:val="es-ES"/>
        </w:rPr>
        <w:t xml:space="preserve">la </w:t>
      </w:r>
      <w:r w:rsidR="00FF6C26">
        <w:rPr>
          <w:rFonts w:ascii="Book Antiqua" w:hAnsi="Book Antiqua"/>
          <w:shd w:val="clear" w:color="auto" w:fill="FFFFFF"/>
          <w:lang w:val="es-ES"/>
        </w:rPr>
        <w:t xml:space="preserve">normativa posterior. Por lo tanto, la medida no altera el esquema sustantivo </w:t>
      </w:r>
      <w:r w:rsidR="001C4B54">
        <w:rPr>
          <w:rFonts w:ascii="Book Antiqua" w:hAnsi="Book Antiqua"/>
          <w:shd w:val="clear" w:color="auto" w:fill="FFFFFF"/>
          <w:lang w:val="es-ES"/>
        </w:rPr>
        <w:t xml:space="preserve">investigativo </w:t>
      </w:r>
      <w:r w:rsidR="00FF6C26">
        <w:rPr>
          <w:rFonts w:ascii="Book Antiqua" w:hAnsi="Book Antiqua"/>
          <w:shd w:val="clear" w:color="auto" w:fill="FFFFFF"/>
          <w:lang w:val="es-ES"/>
        </w:rPr>
        <w:t xml:space="preserve">o penal actual, ni menoscaba las facultades del </w:t>
      </w:r>
      <w:r w:rsidR="00A036F8">
        <w:rPr>
          <w:rFonts w:ascii="Book Antiqua" w:hAnsi="Book Antiqua"/>
          <w:shd w:val="clear" w:color="auto" w:fill="FFFFFF"/>
          <w:lang w:val="es-ES"/>
        </w:rPr>
        <w:t xml:space="preserve">gobierno </w:t>
      </w:r>
      <w:r w:rsidR="00FF6C26">
        <w:rPr>
          <w:rFonts w:ascii="Book Antiqua" w:hAnsi="Book Antiqua"/>
          <w:shd w:val="clear" w:color="auto" w:fill="FFFFFF"/>
          <w:lang w:val="es-ES"/>
        </w:rPr>
        <w:t>para perseguir el delito, sino que ya los principios aplicables se encuentran recogidos en el ordenamiento criminal vigente.</w:t>
      </w:r>
    </w:p>
    <w:p w14:paraId="11CC568C" w14:textId="66E8FB07" w:rsidR="00FF6C26" w:rsidRDefault="00FF6C26" w:rsidP="00D6669A">
      <w:pPr>
        <w:spacing w:line="288" w:lineRule="auto"/>
        <w:jc w:val="both"/>
        <w:rPr>
          <w:rFonts w:ascii="Book Antiqua" w:hAnsi="Book Antiqua"/>
          <w:shd w:val="clear" w:color="auto" w:fill="FFFFFF"/>
          <w:lang w:val="es-ES"/>
        </w:rPr>
      </w:pPr>
      <w:r>
        <w:rPr>
          <w:rFonts w:ascii="Book Antiqua" w:hAnsi="Book Antiqua"/>
          <w:shd w:val="clear" w:color="auto" w:fill="FFFFFF"/>
          <w:lang w:val="es-ES"/>
        </w:rPr>
        <w:tab/>
        <w:t>Justicia concluye que lo propuesto resulta jurídicamente procedente y cónsono con el estado de derecho actual</w:t>
      </w:r>
      <w:r w:rsidR="006C43A2">
        <w:rPr>
          <w:rFonts w:ascii="Book Antiqua" w:hAnsi="Book Antiqua"/>
          <w:shd w:val="clear" w:color="auto" w:fill="FFFFFF"/>
          <w:lang w:val="es-ES"/>
        </w:rPr>
        <w:t>.</w:t>
      </w:r>
      <w:r>
        <w:rPr>
          <w:rFonts w:ascii="Book Antiqua" w:hAnsi="Book Antiqua"/>
          <w:shd w:val="clear" w:color="auto" w:fill="FFFFFF"/>
          <w:lang w:val="es-ES"/>
        </w:rPr>
        <w:t xml:space="preserve"> </w:t>
      </w:r>
      <w:r w:rsidR="006C43A2">
        <w:rPr>
          <w:rFonts w:ascii="Book Antiqua" w:hAnsi="Book Antiqua"/>
          <w:shd w:val="clear" w:color="auto" w:fill="FFFFFF"/>
          <w:lang w:val="es-ES"/>
        </w:rPr>
        <w:t xml:space="preserve">Atiende </w:t>
      </w:r>
      <w:r>
        <w:rPr>
          <w:rFonts w:ascii="Book Antiqua" w:hAnsi="Book Antiqua"/>
          <w:shd w:val="clear" w:color="auto" w:fill="FFFFFF"/>
          <w:lang w:val="es-ES"/>
        </w:rPr>
        <w:t xml:space="preserve">la necesidad de armonizar disposiciones superadas sin afectar las facultades del </w:t>
      </w:r>
      <w:r w:rsidR="003E3082">
        <w:rPr>
          <w:rFonts w:ascii="Book Antiqua" w:hAnsi="Book Antiqua"/>
          <w:shd w:val="clear" w:color="auto" w:fill="FFFFFF"/>
          <w:lang w:val="es-ES"/>
        </w:rPr>
        <w:t xml:space="preserve">gobierno </w:t>
      </w:r>
      <w:r>
        <w:rPr>
          <w:rFonts w:ascii="Book Antiqua" w:hAnsi="Book Antiqua"/>
          <w:shd w:val="clear" w:color="auto" w:fill="FFFFFF"/>
          <w:lang w:val="es-ES"/>
        </w:rPr>
        <w:t xml:space="preserve">ni alterar el andamiaje sustantivo existente. Por lo tanto, Justicia </w:t>
      </w:r>
      <w:r w:rsidR="003E3082">
        <w:rPr>
          <w:rFonts w:ascii="Book Antiqua" w:hAnsi="Book Antiqua"/>
          <w:shd w:val="clear" w:color="auto" w:fill="FFFFFF"/>
          <w:lang w:val="es-ES"/>
        </w:rPr>
        <w:t xml:space="preserve">favorece </w:t>
      </w:r>
      <w:r>
        <w:rPr>
          <w:rFonts w:ascii="Book Antiqua" w:hAnsi="Book Antiqua"/>
          <w:shd w:val="clear" w:color="auto" w:fill="FFFFFF"/>
          <w:lang w:val="es-ES"/>
        </w:rPr>
        <w:t>la</w:t>
      </w:r>
      <w:r w:rsidR="003E3082">
        <w:rPr>
          <w:rFonts w:ascii="Book Antiqua" w:hAnsi="Book Antiqua"/>
          <w:shd w:val="clear" w:color="auto" w:fill="FFFFFF"/>
          <w:lang w:val="es-ES"/>
        </w:rPr>
        <w:t xml:space="preserve"> medida</w:t>
      </w:r>
      <w:r>
        <w:rPr>
          <w:rFonts w:ascii="Book Antiqua" w:hAnsi="Book Antiqua"/>
          <w:shd w:val="clear" w:color="auto" w:fill="FFFFFF"/>
          <w:lang w:val="es-ES"/>
        </w:rPr>
        <w:t xml:space="preserve">. </w:t>
      </w:r>
    </w:p>
    <w:p w14:paraId="5D763C91" w14:textId="77777777" w:rsidR="00924EFD" w:rsidRDefault="00924EFD" w:rsidP="00D6669A">
      <w:pPr>
        <w:spacing w:line="288" w:lineRule="auto"/>
        <w:jc w:val="both"/>
        <w:rPr>
          <w:rFonts w:ascii="Book Antiqua" w:hAnsi="Book Antiqua"/>
          <w:shd w:val="clear" w:color="auto" w:fill="FFFFFF"/>
          <w:lang w:val="es-ES"/>
        </w:rPr>
      </w:pPr>
    </w:p>
    <w:p w14:paraId="7205FA48" w14:textId="77777777" w:rsidR="00924EFD" w:rsidRDefault="00924EFD" w:rsidP="001E691C">
      <w:pPr>
        <w:spacing w:line="276" w:lineRule="auto"/>
        <w:jc w:val="both"/>
        <w:rPr>
          <w:rFonts w:ascii="Book Antiqua" w:hAnsi="Book Antiqua"/>
          <w:shd w:val="clear" w:color="auto" w:fill="FFFFFF"/>
          <w:lang w:val="es-ES"/>
        </w:rPr>
      </w:pPr>
    </w:p>
    <w:p w14:paraId="6F3EF2F1" w14:textId="77777777" w:rsidR="006E5FFE" w:rsidRDefault="0058321B" w:rsidP="006E5FFE">
      <w:pPr>
        <w:spacing w:after="0" w:line="288" w:lineRule="auto"/>
        <w:jc w:val="both"/>
        <w:rPr>
          <w:rFonts w:ascii="Book Antiqua" w:hAnsi="Book Antiqua"/>
          <w:shd w:val="clear" w:color="auto" w:fill="FFFFFF"/>
          <w:lang w:val="es-ES"/>
        </w:rPr>
      </w:pPr>
      <w:r>
        <w:rPr>
          <w:rFonts w:ascii="Book Antiqua" w:hAnsi="Book Antiqua"/>
          <w:shd w:val="clear" w:color="auto" w:fill="FFFFFF"/>
          <w:lang w:val="es-ES"/>
        </w:rPr>
        <w:lastRenderedPageBreak/>
        <w:tab/>
        <w:t xml:space="preserve">La </w:t>
      </w:r>
      <w:r w:rsidRPr="006353BF">
        <w:rPr>
          <w:rFonts w:ascii="Book Antiqua" w:hAnsi="Book Antiqua"/>
          <w:b/>
          <w:bCs/>
          <w:shd w:val="clear" w:color="auto" w:fill="FFFFFF"/>
          <w:lang w:val="es-ES"/>
        </w:rPr>
        <w:t>Oficina de Servicios Legislativos</w:t>
      </w:r>
      <w:r>
        <w:rPr>
          <w:rFonts w:ascii="Book Antiqua" w:hAnsi="Book Antiqua"/>
          <w:shd w:val="clear" w:color="auto" w:fill="FFFFFF"/>
          <w:lang w:val="es-ES"/>
        </w:rPr>
        <w:t xml:space="preserve"> (OSL) comienza su memorial </w:t>
      </w:r>
      <w:r w:rsidR="005C3305">
        <w:rPr>
          <w:rFonts w:ascii="Book Antiqua" w:hAnsi="Book Antiqua"/>
          <w:shd w:val="clear" w:color="auto" w:fill="FFFFFF"/>
          <w:lang w:val="es-ES"/>
        </w:rPr>
        <w:t xml:space="preserve">con </w:t>
      </w:r>
      <w:r>
        <w:rPr>
          <w:rFonts w:ascii="Book Antiqua" w:hAnsi="Book Antiqua"/>
          <w:shd w:val="clear" w:color="auto" w:fill="FFFFFF"/>
          <w:lang w:val="es-ES"/>
        </w:rPr>
        <w:t xml:space="preserve">un análisis de la cláusula constitucional contra la aprobación de leyes </w:t>
      </w:r>
      <w:r w:rsidRPr="0058321B">
        <w:rPr>
          <w:rFonts w:ascii="Book Antiqua" w:hAnsi="Book Antiqua"/>
          <w:i/>
          <w:iCs/>
          <w:shd w:val="clear" w:color="auto" w:fill="FFFFFF"/>
          <w:lang w:val="es-ES"/>
        </w:rPr>
        <w:t>ex post facto</w:t>
      </w:r>
      <w:r w:rsidR="00511CD8">
        <w:rPr>
          <w:rFonts w:ascii="Book Antiqua" w:hAnsi="Book Antiqua"/>
          <w:i/>
          <w:iCs/>
          <w:shd w:val="clear" w:color="auto" w:fill="FFFFFF"/>
          <w:lang w:val="es-ES"/>
        </w:rPr>
        <w:t>,</w:t>
      </w:r>
      <w:r>
        <w:rPr>
          <w:rFonts w:ascii="Book Antiqua" w:hAnsi="Book Antiqua"/>
          <w:shd w:val="clear" w:color="auto" w:fill="FFFFFF"/>
          <w:lang w:val="es-ES"/>
        </w:rPr>
        <w:t xml:space="preserve"> el principio de favorabilidad adoptado en el Código Penal de 1974, derogado, su </w:t>
      </w:r>
      <w:r w:rsidR="00E73E8D">
        <w:rPr>
          <w:rFonts w:ascii="Book Antiqua" w:hAnsi="Book Antiqua"/>
          <w:shd w:val="clear" w:color="auto" w:fill="FFFFFF"/>
          <w:lang w:val="es-ES"/>
        </w:rPr>
        <w:t>permanencia</w:t>
      </w:r>
      <w:r>
        <w:rPr>
          <w:rFonts w:ascii="Book Antiqua" w:hAnsi="Book Antiqua"/>
          <w:shd w:val="clear" w:color="auto" w:fill="FFFFFF"/>
          <w:lang w:val="es-ES"/>
        </w:rPr>
        <w:t xml:space="preserve"> en el Código Penal de 2004 y el vigente.</w:t>
      </w:r>
      <w:r w:rsidR="009F7E7C">
        <w:rPr>
          <w:rFonts w:ascii="Book Antiqua" w:hAnsi="Book Antiqua"/>
          <w:shd w:val="clear" w:color="auto" w:fill="FFFFFF"/>
          <w:lang w:val="es-ES"/>
        </w:rPr>
        <w:t xml:space="preserve"> </w:t>
      </w:r>
      <w:r w:rsidR="007976F5">
        <w:rPr>
          <w:rFonts w:ascii="Book Antiqua" w:hAnsi="Book Antiqua"/>
          <w:shd w:val="clear" w:color="auto" w:fill="FFFFFF"/>
          <w:lang w:val="es-ES"/>
        </w:rPr>
        <w:t>L</w:t>
      </w:r>
      <w:r w:rsidR="009F7E7C">
        <w:rPr>
          <w:rFonts w:ascii="Book Antiqua" w:hAnsi="Book Antiqua"/>
          <w:shd w:val="clear" w:color="auto" w:fill="FFFFFF"/>
          <w:lang w:val="es-ES"/>
        </w:rPr>
        <w:t xml:space="preserve">a diferencia entre el principio constitucional de leyes </w:t>
      </w:r>
      <w:r w:rsidR="009F7E7C" w:rsidRPr="009F7E7C">
        <w:rPr>
          <w:rFonts w:ascii="Book Antiqua" w:hAnsi="Book Antiqua"/>
          <w:i/>
          <w:iCs/>
          <w:shd w:val="clear" w:color="auto" w:fill="FFFFFF"/>
          <w:lang w:val="es-ES"/>
        </w:rPr>
        <w:t>ex post facto</w:t>
      </w:r>
      <w:r w:rsidR="009F7E7C">
        <w:rPr>
          <w:rFonts w:ascii="Book Antiqua" w:hAnsi="Book Antiqua"/>
          <w:shd w:val="clear" w:color="auto" w:fill="FFFFFF"/>
          <w:lang w:val="es-ES"/>
        </w:rPr>
        <w:t xml:space="preserve"> y el principio de favorabilidad es que </w:t>
      </w:r>
      <w:r w:rsidR="00860DA1">
        <w:rPr>
          <w:rFonts w:ascii="Book Antiqua" w:hAnsi="Book Antiqua"/>
          <w:shd w:val="clear" w:color="auto" w:fill="FFFFFF"/>
          <w:lang w:val="es-ES"/>
        </w:rPr>
        <w:t xml:space="preserve">este último </w:t>
      </w:r>
      <w:r w:rsidR="009F7E7C">
        <w:rPr>
          <w:rFonts w:ascii="Book Antiqua" w:hAnsi="Book Antiqua"/>
          <w:shd w:val="clear" w:color="auto" w:fill="FFFFFF"/>
          <w:lang w:val="es-ES"/>
        </w:rPr>
        <w:t xml:space="preserve">constituye un acto de gracia legislativa con origen estatutario. </w:t>
      </w:r>
    </w:p>
    <w:p w14:paraId="506E6FE5" w14:textId="4D10843E" w:rsidR="00FF6C26" w:rsidRDefault="009F7E7C" w:rsidP="006E5FFE">
      <w:pPr>
        <w:spacing w:after="0" w:line="288" w:lineRule="auto"/>
        <w:ind w:firstLine="708"/>
        <w:jc w:val="both"/>
        <w:rPr>
          <w:rFonts w:ascii="Book Antiqua" w:hAnsi="Book Antiqua"/>
          <w:shd w:val="clear" w:color="auto" w:fill="FFFFFF"/>
          <w:lang w:val="es-ES"/>
        </w:rPr>
      </w:pPr>
      <w:r>
        <w:rPr>
          <w:rFonts w:ascii="Book Antiqua" w:hAnsi="Book Antiqua"/>
          <w:shd w:val="clear" w:color="auto" w:fill="FFFFFF"/>
          <w:lang w:val="es-ES"/>
        </w:rPr>
        <w:t xml:space="preserve">Por lo tanto, la aplicación retroactiva de leyes penales que favorecen al acusado </w:t>
      </w:r>
      <w:r w:rsidR="00860DA1">
        <w:rPr>
          <w:rFonts w:ascii="Book Antiqua" w:hAnsi="Book Antiqua"/>
          <w:shd w:val="clear" w:color="auto" w:fill="FFFFFF"/>
          <w:lang w:val="es-ES"/>
        </w:rPr>
        <w:t>recae</w:t>
      </w:r>
      <w:r>
        <w:rPr>
          <w:rFonts w:ascii="Book Antiqua" w:hAnsi="Book Antiqua"/>
          <w:shd w:val="clear" w:color="auto" w:fill="FFFFFF"/>
          <w:lang w:val="es-ES"/>
        </w:rPr>
        <w:t xml:space="preserve"> </w:t>
      </w:r>
      <w:r w:rsidR="00945263">
        <w:rPr>
          <w:rFonts w:ascii="Book Antiqua" w:hAnsi="Book Antiqua"/>
          <w:shd w:val="clear" w:color="auto" w:fill="FFFFFF"/>
          <w:lang w:val="es-ES"/>
        </w:rPr>
        <w:t xml:space="preserve">en </w:t>
      </w:r>
      <w:r>
        <w:rPr>
          <w:rFonts w:ascii="Book Antiqua" w:hAnsi="Book Antiqua"/>
          <w:shd w:val="clear" w:color="auto" w:fill="FFFFFF"/>
          <w:lang w:val="es-ES"/>
        </w:rPr>
        <w:t xml:space="preserve">la prerrogativa legislativa. </w:t>
      </w:r>
      <w:r w:rsidR="0046497B">
        <w:rPr>
          <w:rFonts w:ascii="Book Antiqua" w:hAnsi="Book Antiqua"/>
          <w:shd w:val="clear" w:color="auto" w:fill="FFFFFF"/>
          <w:lang w:val="es-ES"/>
        </w:rPr>
        <w:t>E</w:t>
      </w:r>
      <w:r>
        <w:rPr>
          <w:rFonts w:ascii="Book Antiqua" w:hAnsi="Book Antiqua"/>
          <w:shd w:val="clear" w:color="auto" w:fill="FFFFFF"/>
          <w:lang w:val="es-ES"/>
        </w:rPr>
        <w:t>l legislador ostenta una potestad de establecer excepciones al principio de favorabilidad</w:t>
      </w:r>
      <w:r w:rsidR="00B93310">
        <w:rPr>
          <w:rFonts w:ascii="Book Antiqua" w:hAnsi="Book Antiqua"/>
          <w:shd w:val="clear" w:color="auto" w:fill="FFFFFF"/>
          <w:lang w:val="es-ES"/>
        </w:rPr>
        <w:t>:</w:t>
      </w:r>
      <w:r>
        <w:rPr>
          <w:rFonts w:ascii="Book Antiqua" w:hAnsi="Book Antiqua"/>
          <w:shd w:val="clear" w:color="auto" w:fill="FFFFFF"/>
          <w:lang w:val="es-ES"/>
        </w:rPr>
        <w:t xml:space="preserve"> pu</w:t>
      </w:r>
      <w:r w:rsidR="0046497B">
        <w:rPr>
          <w:rFonts w:ascii="Book Antiqua" w:hAnsi="Book Antiqua"/>
          <w:shd w:val="clear" w:color="auto" w:fill="FFFFFF"/>
          <w:lang w:val="es-ES"/>
        </w:rPr>
        <w:t>ede</w:t>
      </w:r>
      <w:r>
        <w:rPr>
          <w:rFonts w:ascii="Book Antiqua" w:hAnsi="Book Antiqua"/>
          <w:shd w:val="clear" w:color="auto" w:fill="FFFFFF"/>
          <w:lang w:val="es-ES"/>
        </w:rPr>
        <w:t xml:space="preserve"> ordenar la aplicación prospectiva de una ley vigente al momento de la comisión del hecho punible</w:t>
      </w:r>
      <w:r w:rsidR="001C766D">
        <w:rPr>
          <w:rFonts w:ascii="Book Antiqua" w:hAnsi="Book Antiqua"/>
          <w:shd w:val="clear" w:color="auto" w:fill="FFFFFF"/>
          <w:lang w:val="es-ES"/>
        </w:rPr>
        <w:t>,</w:t>
      </w:r>
      <w:r>
        <w:rPr>
          <w:rFonts w:ascii="Book Antiqua" w:hAnsi="Book Antiqua"/>
          <w:shd w:val="clear" w:color="auto" w:fill="FFFFFF"/>
          <w:lang w:val="es-ES"/>
        </w:rPr>
        <w:t xml:space="preserve"> aunque ello resulte más desfavorable para el acusado que la ley vigente al momento de la condena.</w:t>
      </w:r>
    </w:p>
    <w:p w14:paraId="179600B5" w14:textId="1AF24BE1" w:rsidR="000357A9" w:rsidRDefault="009F7E7C" w:rsidP="006E5FFE">
      <w:pPr>
        <w:spacing w:after="0" w:line="288" w:lineRule="auto"/>
        <w:jc w:val="both"/>
        <w:rPr>
          <w:rFonts w:ascii="Book Antiqua" w:hAnsi="Book Antiqua"/>
          <w:shd w:val="clear" w:color="auto" w:fill="FFFFFF"/>
          <w:lang w:val="es-ES"/>
        </w:rPr>
      </w:pPr>
      <w:r>
        <w:rPr>
          <w:rFonts w:ascii="Book Antiqua" w:hAnsi="Book Antiqua"/>
          <w:shd w:val="clear" w:color="auto" w:fill="FFFFFF"/>
          <w:lang w:val="es-ES"/>
        </w:rPr>
        <w:tab/>
      </w:r>
      <w:r w:rsidR="0082403E">
        <w:rPr>
          <w:rFonts w:ascii="Book Antiqua" w:hAnsi="Book Antiqua"/>
          <w:shd w:val="clear" w:color="auto" w:fill="FFFFFF"/>
          <w:lang w:val="es-ES"/>
        </w:rPr>
        <w:t>L</w:t>
      </w:r>
      <w:r>
        <w:rPr>
          <w:rFonts w:ascii="Book Antiqua" w:hAnsi="Book Antiqua"/>
          <w:shd w:val="clear" w:color="auto" w:fill="FFFFFF"/>
          <w:lang w:val="es-ES"/>
        </w:rPr>
        <w:t>a OSL reconoce la legitimidad de</w:t>
      </w:r>
      <w:r w:rsidR="0082403E">
        <w:rPr>
          <w:rFonts w:ascii="Book Antiqua" w:hAnsi="Book Antiqua"/>
          <w:shd w:val="clear" w:color="auto" w:fill="FFFFFF"/>
          <w:lang w:val="es-ES"/>
        </w:rPr>
        <w:t xml:space="preserve"> la cláusula de reserva que ofrece el Código Penal actual, </w:t>
      </w:r>
      <w:r>
        <w:rPr>
          <w:rFonts w:ascii="Book Antiqua" w:hAnsi="Book Antiqua"/>
          <w:shd w:val="clear" w:color="auto" w:fill="FFFFFF"/>
          <w:lang w:val="es-ES"/>
        </w:rPr>
        <w:t xml:space="preserve">pues es comparable con la cláusula de reserva que establecía el Código Penal anterior. </w:t>
      </w:r>
      <w:r w:rsidR="000305F2">
        <w:rPr>
          <w:rFonts w:ascii="Book Antiqua" w:hAnsi="Book Antiqua"/>
          <w:shd w:val="clear" w:color="auto" w:fill="FFFFFF"/>
          <w:lang w:val="es-ES"/>
        </w:rPr>
        <w:t>E</w:t>
      </w:r>
      <w:r w:rsidR="006776C2">
        <w:rPr>
          <w:rFonts w:ascii="Book Antiqua" w:hAnsi="Book Antiqua"/>
          <w:shd w:val="clear" w:color="auto" w:fill="FFFFFF"/>
          <w:lang w:val="es-ES"/>
        </w:rPr>
        <w:t xml:space="preserve">n </w:t>
      </w:r>
      <w:r w:rsidR="006776C2" w:rsidRPr="00BB5572">
        <w:rPr>
          <w:rFonts w:ascii="Book Antiqua" w:hAnsi="Book Antiqua"/>
          <w:i/>
          <w:iCs/>
          <w:shd w:val="clear" w:color="auto" w:fill="FFFFFF"/>
          <w:lang w:val="es-ES"/>
        </w:rPr>
        <w:t>Pueblo v. González</w:t>
      </w:r>
      <w:r w:rsidR="006776C2">
        <w:rPr>
          <w:rFonts w:ascii="Book Antiqua" w:hAnsi="Book Antiqua"/>
          <w:shd w:val="clear" w:color="auto" w:fill="FFFFFF"/>
          <w:lang w:val="es-ES"/>
        </w:rPr>
        <w:t>,</w:t>
      </w:r>
      <w:r w:rsidR="006776C2">
        <w:rPr>
          <w:rStyle w:val="FootnoteReference"/>
          <w:rFonts w:ascii="Book Antiqua" w:hAnsi="Book Antiqua"/>
          <w:shd w:val="clear" w:color="auto" w:fill="FFFFFF"/>
          <w:lang w:val="es-ES"/>
        </w:rPr>
        <w:footnoteReference w:id="6"/>
      </w:r>
      <w:r w:rsidR="006776C2">
        <w:rPr>
          <w:rFonts w:ascii="Book Antiqua" w:hAnsi="Book Antiqua"/>
          <w:shd w:val="clear" w:color="auto" w:fill="FFFFFF"/>
          <w:lang w:val="es-ES"/>
        </w:rPr>
        <w:t xml:space="preserve"> el Tribunal Supremo abordó que </w:t>
      </w:r>
      <w:r w:rsidR="000305F2">
        <w:rPr>
          <w:rFonts w:ascii="Book Antiqua" w:hAnsi="Book Antiqua"/>
          <w:shd w:val="clear" w:color="auto" w:fill="FFFFFF"/>
          <w:lang w:val="es-ES"/>
        </w:rPr>
        <w:t>la cláusula de reserva del Código Político —el artículo 44 que se pretende derogar—</w:t>
      </w:r>
      <w:r w:rsidR="006776C2">
        <w:rPr>
          <w:rFonts w:ascii="Book Antiqua" w:hAnsi="Book Antiqua"/>
          <w:shd w:val="clear" w:color="auto" w:fill="FFFFFF"/>
          <w:lang w:val="es-ES"/>
        </w:rPr>
        <w:t xml:space="preserve">tuvo como propósito obtener la continuación de estatutos derogados o enmendados de modo que </w:t>
      </w:r>
      <w:r w:rsidR="00BF7C69">
        <w:rPr>
          <w:rFonts w:ascii="Book Antiqua" w:hAnsi="Book Antiqua"/>
          <w:shd w:val="clear" w:color="auto" w:fill="FFFFFF"/>
          <w:lang w:val="es-ES"/>
        </w:rPr>
        <w:t>e</w:t>
      </w:r>
      <w:r w:rsidR="006776C2">
        <w:rPr>
          <w:rFonts w:ascii="Book Antiqua" w:hAnsi="Book Antiqua"/>
          <w:shd w:val="clear" w:color="auto" w:fill="FFFFFF"/>
          <w:lang w:val="es-ES"/>
        </w:rPr>
        <w:t xml:space="preserve">stos apliquen con pleno vigor a conductas delictivas realizadas durante su vigencia. El Tribunal Supremo entendió, además, que cuando se estableció la cláusula de reserva en el Código Penal de 1974, se mantuvo </w:t>
      </w:r>
      <w:r w:rsidR="000F003E">
        <w:rPr>
          <w:rFonts w:ascii="Book Antiqua" w:hAnsi="Book Antiqua"/>
          <w:shd w:val="clear" w:color="auto" w:fill="FFFFFF"/>
          <w:lang w:val="es-ES"/>
        </w:rPr>
        <w:t xml:space="preserve">la </w:t>
      </w:r>
      <w:r w:rsidR="006776C2">
        <w:rPr>
          <w:rFonts w:ascii="Book Antiqua" w:hAnsi="Book Antiqua"/>
          <w:shd w:val="clear" w:color="auto" w:fill="FFFFFF"/>
          <w:lang w:val="es-ES"/>
        </w:rPr>
        <w:t>vigencia de las disposiciones del Código Político.</w:t>
      </w:r>
    </w:p>
    <w:p w14:paraId="0D9479C9" w14:textId="354D7435" w:rsidR="006776C2" w:rsidRDefault="006776C2" w:rsidP="00CD2E25">
      <w:pPr>
        <w:spacing w:after="0" w:line="288" w:lineRule="auto"/>
        <w:jc w:val="both"/>
        <w:rPr>
          <w:rFonts w:ascii="Book Antiqua" w:hAnsi="Book Antiqua"/>
          <w:shd w:val="clear" w:color="auto" w:fill="FFFFFF"/>
          <w:lang w:val="es-ES"/>
        </w:rPr>
      </w:pPr>
      <w:r>
        <w:rPr>
          <w:rFonts w:ascii="Book Antiqua" w:hAnsi="Book Antiqua"/>
          <w:shd w:val="clear" w:color="auto" w:fill="FFFFFF"/>
          <w:lang w:val="es-ES"/>
        </w:rPr>
        <w:t xml:space="preserve"> </w:t>
      </w:r>
      <w:r w:rsidR="000357A9">
        <w:rPr>
          <w:rFonts w:ascii="Book Antiqua" w:hAnsi="Book Antiqua"/>
          <w:shd w:val="clear" w:color="auto" w:fill="FFFFFF"/>
          <w:lang w:val="es-ES"/>
        </w:rPr>
        <w:tab/>
      </w:r>
      <w:r w:rsidR="00CD2E25">
        <w:rPr>
          <w:rFonts w:ascii="Book Antiqua" w:hAnsi="Book Antiqua"/>
          <w:shd w:val="clear" w:color="auto" w:fill="FFFFFF"/>
          <w:lang w:val="es-ES"/>
        </w:rPr>
        <w:t>Para la OSL, c</w:t>
      </w:r>
      <w:r w:rsidR="000357A9">
        <w:rPr>
          <w:rFonts w:ascii="Book Antiqua" w:hAnsi="Book Antiqua"/>
          <w:shd w:val="clear" w:color="auto" w:fill="FFFFFF"/>
          <w:lang w:val="es-ES"/>
        </w:rPr>
        <w:t xml:space="preserve">omo </w:t>
      </w:r>
      <w:r>
        <w:rPr>
          <w:rFonts w:ascii="Book Antiqua" w:hAnsi="Book Antiqua"/>
          <w:shd w:val="clear" w:color="auto" w:fill="FFFFFF"/>
          <w:lang w:val="es-ES"/>
        </w:rPr>
        <w:t xml:space="preserve">las cláusulas son de estirpe estatutaria, la Asamblea Legislativa se encuentra dentro de su marco constitucional para derogar el alcance del </w:t>
      </w:r>
      <w:r w:rsidR="00CD2E25">
        <w:rPr>
          <w:rFonts w:ascii="Book Antiqua" w:hAnsi="Book Antiqua"/>
          <w:shd w:val="clear" w:color="auto" w:fill="FFFFFF"/>
          <w:lang w:val="es-ES"/>
        </w:rPr>
        <w:t>a</w:t>
      </w:r>
      <w:r>
        <w:rPr>
          <w:rFonts w:ascii="Book Antiqua" w:hAnsi="Book Antiqua"/>
          <w:shd w:val="clear" w:color="auto" w:fill="FFFFFF"/>
          <w:lang w:val="es-ES"/>
        </w:rPr>
        <w:t>rtículo 44 del Código Político si lo entiende imperante.</w:t>
      </w:r>
      <w:r w:rsidR="00CD2E25">
        <w:rPr>
          <w:rFonts w:ascii="Book Antiqua" w:hAnsi="Book Antiqua"/>
          <w:shd w:val="clear" w:color="auto" w:fill="FFFFFF"/>
          <w:lang w:val="es-ES"/>
        </w:rPr>
        <w:t xml:space="preserve"> </w:t>
      </w:r>
      <w:r>
        <w:rPr>
          <w:rFonts w:ascii="Book Antiqua" w:hAnsi="Book Antiqua"/>
          <w:shd w:val="clear" w:color="auto" w:fill="FFFFFF"/>
          <w:lang w:val="es-ES"/>
        </w:rPr>
        <w:t xml:space="preserve">No obstante, la OSL entiende que </w:t>
      </w:r>
      <w:r w:rsidR="00CA31C3">
        <w:rPr>
          <w:rFonts w:ascii="Book Antiqua" w:hAnsi="Book Antiqua"/>
          <w:shd w:val="clear" w:color="auto" w:fill="FFFFFF"/>
          <w:lang w:val="es-ES"/>
        </w:rPr>
        <w:t xml:space="preserve">se </w:t>
      </w:r>
      <w:r>
        <w:rPr>
          <w:rFonts w:ascii="Book Antiqua" w:hAnsi="Book Antiqua"/>
          <w:shd w:val="clear" w:color="auto" w:fill="FFFFFF"/>
          <w:lang w:val="es-ES"/>
        </w:rPr>
        <w:t xml:space="preserve">debería evaluar si </w:t>
      </w:r>
      <w:r w:rsidR="00CA31C3">
        <w:rPr>
          <w:rFonts w:ascii="Book Antiqua" w:hAnsi="Book Antiqua"/>
          <w:shd w:val="clear" w:color="auto" w:fill="FFFFFF"/>
          <w:lang w:val="es-ES"/>
        </w:rPr>
        <w:t xml:space="preserve">se </w:t>
      </w:r>
      <w:r w:rsidR="00BF7C69">
        <w:rPr>
          <w:rFonts w:ascii="Book Antiqua" w:hAnsi="Book Antiqua"/>
          <w:shd w:val="clear" w:color="auto" w:fill="FFFFFF"/>
          <w:lang w:val="es-ES"/>
        </w:rPr>
        <w:t>provocará</w:t>
      </w:r>
      <w:r>
        <w:rPr>
          <w:rFonts w:ascii="Book Antiqua" w:hAnsi="Book Antiqua"/>
          <w:shd w:val="clear" w:color="auto" w:fill="FFFFFF"/>
          <w:lang w:val="es-ES"/>
        </w:rPr>
        <w:t xml:space="preserve"> un desface al derogar el </w:t>
      </w:r>
      <w:r w:rsidR="007E0A0C">
        <w:rPr>
          <w:rFonts w:ascii="Book Antiqua" w:hAnsi="Book Antiqua"/>
          <w:shd w:val="clear" w:color="auto" w:fill="FFFFFF"/>
          <w:lang w:val="es-ES"/>
        </w:rPr>
        <w:t>a</w:t>
      </w:r>
      <w:r>
        <w:rPr>
          <w:rFonts w:ascii="Book Antiqua" w:hAnsi="Book Antiqua"/>
          <w:shd w:val="clear" w:color="auto" w:fill="FFFFFF"/>
          <w:lang w:val="es-ES"/>
        </w:rPr>
        <w:t xml:space="preserve">rtículo 44 del Código Político y dejar vigente su </w:t>
      </w:r>
      <w:r w:rsidR="007E0A0C">
        <w:rPr>
          <w:rFonts w:ascii="Book Antiqua" w:hAnsi="Book Antiqua"/>
          <w:shd w:val="clear" w:color="auto" w:fill="FFFFFF"/>
          <w:lang w:val="es-ES"/>
        </w:rPr>
        <w:t>a</w:t>
      </w:r>
      <w:r>
        <w:rPr>
          <w:rFonts w:ascii="Book Antiqua" w:hAnsi="Book Antiqua"/>
          <w:shd w:val="clear" w:color="auto" w:fill="FFFFFF"/>
          <w:lang w:val="es-ES"/>
        </w:rPr>
        <w:t xml:space="preserve">rtículo 386, ya que </w:t>
      </w:r>
      <w:r w:rsidR="00BF7C69">
        <w:rPr>
          <w:rFonts w:ascii="Book Antiqua" w:hAnsi="Book Antiqua"/>
          <w:shd w:val="clear" w:color="auto" w:fill="FFFFFF"/>
          <w:lang w:val="es-ES"/>
        </w:rPr>
        <w:t>e</w:t>
      </w:r>
      <w:r>
        <w:rPr>
          <w:rFonts w:ascii="Book Antiqua" w:hAnsi="Book Antiqua"/>
          <w:shd w:val="clear" w:color="auto" w:fill="FFFFFF"/>
          <w:lang w:val="es-ES"/>
        </w:rPr>
        <w:t>stos se asemejan en cuanto al efecto</w:t>
      </w:r>
      <w:r w:rsidR="00F14725">
        <w:rPr>
          <w:rFonts w:ascii="Book Antiqua" w:hAnsi="Book Antiqua"/>
          <w:shd w:val="clear" w:color="auto" w:fill="FFFFFF"/>
          <w:lang w:val="es-ES"/>
        </w:rPr>
        <w:t xml:space="preserve">. El </w:t>
      </w:r>
      <w:r w:rsidR="003A7E0C">
        <w:rPr>
          <w:rFonts w:ascii="Book Antiqua" w:hAnsi="Book Antiqua"/>
          <w:shd w:val="clear" w:color="auto" w:fill="FFFFFF"/>
          <w:lang w:val="es-ES"/>
        </w:rPr>
        <w:t>a</w:t>
      </w:r>
      <w:r w:rsidR="00F14725">
        <w:rPr>
          <w:rFonts w:ascii="Book Antiqua" w:hAnsi="Book Antiqua"/>
          <w:shd w:val="clear" w:color="auto" w:fill="FFFFFF"/>
          <w:lang w:val="es-ES"/>
        </w:rPr>
        <w:t>rtículo 386 establece lo siguiente:</w:t>
      </w:r>
    </w:p>
    <w:p w14:paraId="0CDE9061" w14:textId="2A555A9F" w:rsidR="00F14725" w:rsidRDefault="00F14725" w:rsidP="00B26939">
      <w:pPr>
        <w:spacing w:line="240" w:lineRule="auto"/>
        <w:ind w:left="562" w:right="562"/>
        <w:jc w:val="both"/>
        <w:rPr>
          <w:rFonts w:ascii="Book Antiqua" w:hAnsi="Book Antiqua"/>
          <w:shd w:val="clear" w:color="auto" w:fill="FFFFFF"/>
        </w:rPr>
      </w:pPr>
      <w:r w:rsidRPr="00F14725">
        <w:rPr>
          <w:rFonts w:ascii="Book Antiqua" w:hAnsi="Book Antiqua"/>
          <w:shd w:val="clear" w:color="auto" w:fill="FFFFFF"/>
        </w:rPr>
        <w:t>La derogación de cualquier estatuto por la Asamblea Legislativa no tendrá el efecto de exonerar</w:t>
      </w:r>
      <w:r>
        <w:rPr>
          <w:rFonts w:ascii="Book Antiqua" w:hAnsi="Book Antiqua"/>
          <w:shd w:val="clear" w:color="auto" w:fill="FFFFFF"/>
        </w:rPr>
        <w:t xml:space="preserve"> </w:t>
      </w:r>
      <w:r w:rsidRPr="00F14725">
        <w:rPr>
          <w:rFonts w:ascii="Book Antiqua" w:hAnsi="Book Antiqua"/>
          <w:shd w:val="clear" w:color="auto" w:fill="FFFFFF"/>
        </w:rPr>
        <w:t>o eximir de ninguna pena, embargo, confiscación o responsabilidad en que se hubiere incurrido</w:t>
      </w:r>
      <w:r>
        <w:rPr>
          <w:rFonts w:ascii="Book Antiqua" w:hAnsi="Book Antiqua"/>
          <w:shd w:val="clear" w:color="auto" w:fill="FFFFFF"/>
        </w:rPr>
        <w:t xml:space="preserve"> </w:t>
      </w:r>
      <w:r w:rsidRPr="00F14725">
        <w:rPr>
          <w:rFonts w:ascii="Book Antiqua" w:hAnsi="Book Antiqua"/>
          <w:shd w:val="clear" w:color="auto" w:fill="FFFFFF"/>
        </w:rPr>
        <w:t>bajo dicho estatuto, a menos que la ley derogatoria así lo dispusiere expresamente, y se tendrá por</w:t>
      </w:r>
      <w:r>
        <w:rPr>
          <w:rFonts w:ascii="Book Antiqua" w:hAnsi="Book Antiqua"/>
          <w:shd w:val="clear" w:color="auto" w:fill="FFFFFF"/>
        </w:rPr>
        <w:t xml:space="preserve"> </w:t>
      </w:r>
      <w:r w:rsidRPr="00F14725">
        <w:rPr>
          <w:rFonts w:ascii="Book Antiqua" w:hAnsi="Book Antiqua"/>
          <w:shd w:val="clear" w:color="auto" w:fill="FFFFFF"/>
        </w:rPr>
        <w:t>vigente dicho estatuto, al objeto de sostener la respectiva acción o proceso para exigir el</w:t>
      </w:r>
      <w:r>
        <w:rPr>
          <w:rFonts w:ascii="Book Antiqua" w:hAnsi="Book Antiqua"/>
          <w:shd w:val="clear" w:color="auto" w:fill="FFFFFF"/>
        </w:rPr>
        <w:t xml:space="preserve"> </w:t>
      </w:r>
      <w:r w:rsidRPr="00F14725">
        <w:rPr>
          <w:rFonts w:ascii="Book Antiqua" w:hAnsi="Book Antiqua"/>
          <w:shd w:val="clear" w:color="auto" w:fill="FFFFFF"/>
        </w:rPr>
        <w:t>cumplimiento de dicha pena, embargo, confiscación o responsabilidad.</w:t>
      </w:r>
    </w:p>
    <w:p w14:paraId="2E1A864E" w14:textId="77777777" w:rsidR="008D4039" w:rsidRDefault="008D4039" w:rsidP="00B26939">
      <w:pPr>
        <w:spacing w:line="240" w:lineRule="auto"/>
        <w:ind w:left="562" w:right="562"/>
        <w:jc w:val="both"/>
        <w:rPr>
          <w:rFonts w:ascii="Book Antiqua" w:hAnsi="Book Antiqua"/>
          <w:shd w:val="clear" w:color="auto" w:fill="FFFFFF"/>
        </w:rPr>
      </w:pPr>
    </w:p>
    <w:p w14:paraId="64DBDBF1" w14:textId="77777777" w:rsidR="004B4785" w:rsidRDefault="004B4785" w:rsidP="00B26939">
      <w:pPr>
        <w:spacing w:line="240" w:lineRule="auto"/>
        <w:ind w:left="562" w:right="562"/>
        <w:jc w:val="both"/>
        <w:rPr>
          <w:rFonts w:ascii="Book Antiqua" w:hAnsi="Book Antiqua"/>
          <w:shd w:val="clear" w:color="auto" w:fill="FFFFFF"/>
        </w:rPr>
      </w:pPr>
    </w:p>
    <w:p w14:paraId="09182853" w14:textId="2B455263" w:rsidR="00882FA2" w:rsidRDefault="00F14725" w:rsidP="00B26939">
      <w:pPr>
        <w:spacing w:after="0" w:line="288" w:lineRule="auto"/>
        <w:jc w:val="both"/>
        <w:rPr>
          <w:rFonts w:ascii="Book Antiqua" w:hAnsi="Book Antiqua"/>
          <w:shd w:val="clear" w:color="auto" w:fill="FFFFFF"/>
        </w:rPr>
      </w:pPr>
      <w:r>
        <w:rPr>
          <w:rFonts w:ascii="Book Antiqua" w:hAnsi="Book Antiqua"/>
          <w:shd w:val="clear" w:color="auto" w:fill="FFFFFF"/>
        </w:rPr>
        <w:lastRenderedPageBreak/>
        <w:tab/>
        <w:t xml:space="preserve">La OSL advierte que es deseable estudiar la posibilidad de derogar el </w:t>
      </w:r>
      <w:r w:rsidR="00515711">
        <w:rPr>
          <w:rFonts w:ascii="Book Antiqua" w:hAnsi="Book Antiqua"/>
          <w:shd w:val="clear" w:color="auto" w:fill="FFFFFF"/>
        </w:rPr>
        <w:t>a</w:t>
      </w:r>
      <w:r>
        <w:rPr>
          <w:rFonts w:ascii="Book Antiqua" w:hAnsi="Book Antiqua"/>
          <w:shd w:val="clear" w:color="auto" w:fill="FFFFFF"/>
        </w:rPr>
        <w:t xml:space="preserve">rtículo 386 del Código Político, </w:t>
      </w:r>
      <w:r w:rsidR="00515711">
        <w:rPr>
          <w:rFonts w:ascii="Book Antiqua" w:hAnsi="Book Antiqua"/>
          <w:shd w:val="clear" w:color="auto" w:fill="FFFFFF"/>
        </w:rPr>
        <w:t xml:space="preserve">pues </w:t>
      </w:r>
      <w:r>
        <w:rPr>
          <w:rFonts w:ascii="Book Antiqua" w:hAnsi="Book Antiqua"/>
          <w:shd w:val="clear" w:color="auto" w:fill="FFFFFF"/>
        </w:rPr>
        <w:t>podría existir un desface en la interpretación por contener intenciones similares</w:t>
      </w:r>
      <w:r w:rsidR="00882FA2">
        <w:rPr>
          <w:rFonts w:ascii="Book Antiqua" w:hAnsi="Book Antiqua"/>
          <w:shd w:val="clear" w:color="auto" w:fill="FFFFFF"/>
        </w:rPr>
        <w:t>:</w:t>
      </w:r>
      <w:r>
        <w:rPr>
          <w:rFonts w:ascii="Book Antiqua" w:hAnsi="Book Antiqua"/>
          <w:shd w:val="clear" w:color="auto" w:fill="FFFFFF"/>
        </w:rPr>
        <w:t xml:space="preserve"> una en el contexto penal y otra a nivel de cualquier </w:t>
      </w:r>
      <w:r w:rsidR="00791AF4" w:rsidRPr="00773FE4">
        <w:rPr>
          <w:rFonts w:ascii="Book Antiqua" w:hAnsi="Book Antiqua"/>
          <w:shd w:val="clear" w:color="auto" w:fill="FFFFFF"/>
        </w:rPr>
        <w:t>e</w:t>
      </w:r>
      <w:r>
        <w:rPr>
          <w:rFonts w:ascii="Book Antiqua" w:hAnsi="Book Antiqua"/>
          <w:shd w:val="clear" w:color="auto" w:fill="FFFFFF"/>
        </w:rPr>
        <w:t xml:space="preserve">statuto de nuestro ordenamiento jurídico. </w:t>
      </w:r>
    </w:p>
    <w:p w14:paraId="217061AE" w14:textId="2031222B" w:rsidR="00EE0837" w:rsidRPr="00F14725" w:rsidRDefault="007948CF" w:rsidP="00B26939">
      <w:pPr>
        <w:spacing w:line="288" w:lineRule="auto"/>
        <w:ind w:firstLine="708"/>
        <w:jc w:val="both"/>
        <w:rPr>
          <w:rFonts w:ascii="Book Antiqua" w:hAnsi="Book Antiqua"/>
          <w:shd w:val="clear" w:color="auto" w:fill="FFFFFF"/>
        </w:rPr>
      </w:pPr>
      <w:r>
        <w:rPr>
          <w:rFonts w:ascii="Book Antiqua" w:hAnsi="Book Antiqua"/>
          <w:shd w:val="clear" w:color="auto" w:fill="FFFFFF"/>
        </w:rPr>
        <w:t>L</w:t>
      </w:r>
      <w:r w:rsidR="00F14725">
        <w:rPr>
          <w:rFonts w:ascii="Book Antiqua" w:hAnsi="Book Antiqua"/>
          <w:shd w:val="clear" w:color="auto" w:fill="FFFFFF"/>
        </w:rPr>
        <w:t>a OSL sugi</w:t>
      </w:r>
      <w:r>
        <w:rPr>
          <w:rFonts w:ascii="Book Antiqua" w:hAnsi="Book Antiqua"/>
          <w:shd w:val="clear" w:color="auto" w:fill="FFFFFF"/>
        </w:rPr>
        <w:t>rió</w:t>
      </w:r>
      <w:r w:rsidR="00F14725">
        <w:rPr>
          <w:rFonts w:ascii="Book Antiqua" w:hAnsi="Book Antiqua"/>
          <w:shd w:val="clear" w:color="auto" w:fill="FFFFFF"/>
        </w:rPr>
        <w:t xml:space="preserve"> ciertas enmiendas </w:t>
      </w:r>
      <w:r w:rsidR="001731D1">
        <w:rPr>
          <w:rFonts w:ascii="Book Antiqua" w:hAnsi="Book Antiqua"/>
          <w:shd w:val="clear" w:color="auto" w:fill="FFFFFF"/>
        </w:rPr>
        <w:t xml:space="preserve">de estilo </w:t>
      </w:r>
      <w:r w:rsidR="00F14725">
        <w:rPr>
          <w:rFonts w:ascii="Book Antiqua" w:hAnsi="Book Antiqua"/>
          <w:shd w:val="clear" w:color="auto" w:fill="FFFFFF"/>
        </w:rPr>
        <w:t>al P. del S. 924</w:t>
      </w:r>
      <w:r w:rsidR="00EE0837">
        <w:rPr>
          <w:rFonts w:ascii="Book Antiqua" w:hAnsi="Book Antiqua"/>
          <w:shd w:val="clear" w:color="auto" w:fill="FFFFFF"/>
        </w:rPr>
        <w:t xml:space="preserve"> en un entirillado electrónico que acompañ</w:t>
      </w:r>
      <w:r>
        <w:rPr>
          <w:rFonts w:ascii="Book Antiqua" w:hAnsi="Book Antiqua"/>
          <w:shd w:val="clear" w:color="auto" w:fill="FFFFFF"/>
        </w:rPr>
        <w:t>ó con</w:t>
      </w:r>
      <w:r w:rsidR="00EE0837">
        <w:rPr>
          <w:rFonts w:ascii="Book Antiqua" w:hAnsi="Book Antiqua"/>
          <w:shd w:val="clear" w:color="auto" w:fill="FFFFFF"/>
        </w:rPr>
        <w:t xml:space="preserve"> su memorial explicativo. </w:t>
      </w:r>
      <w:r w:rsidR="001731D1">
        <w:rPr>
          <w:rFonts w:ascii="Book Antiqua" w:hAnsi="Book Antiqua"/>
          <w:shd w:val="clear" w:color="auto" w:fill="FFFFFF"/>
        </w:rPr>
        <w:t>No expresó apoyo ni reparos sobre la aprobación de la medida.</w:t>
      </w:r>
    </w:p>
    <w:p w14:paraId="015F67E8" w14:textId="1E09F3F5" w:rsidR="00F94272" w:rsidRPr="003230C7" w:rsidRDefault="00CB4BCC" w:rsidP="00CA69C7">
      <w:pPr>
        <w:spacing w:line="276" w:lineRule="auto"/>
        <w:jc w:val="center"/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</w:pPr>
      <w:r w:rsidRPr="003230C7"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  <w:t>ANÁLISIS DE LA MEDIDA</w:t>
      </w:r>
    </w:p>
    <w:p w14:paraId="61842441" w14:textId="77777777" w:rsidR="004E41F9" w:rsidRDefault="00B71ED7" w:rsidP="004E41F9">
      <w:pPr>
        <w:spacing w:after="0" w:line="28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  <w:r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De los comentarios recibidos surge consenso </w:t>
      </w:r>
      <w:r w:rsidR="00E65B0A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de </w:t>
      </w:r>
      <w:r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que el </w:t>
      </w:r>
      <w:r w:rsidR="00E65B0A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a</w:t>
      </w:r>
      <w:r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rtículo 44 del Código Político responde a una estructura normativa previa al desarrollo del derecho penal moderno en Puerto Rico</w:t>
      </w:r>
      <w:r w:rsidR="00E65B0A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.</w:t>
      </w:r>
      <w:r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</w:t>
      </w:r>
      <w:r w:rsidR="00E65B0A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S</w:t>
      </w:r>
      <w:r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u permanencia genera un potencial conflicto interpretativo con las disposiciones expresas del Código Penal vigente y con el principio de favorabilidad que la Asamblea Legislativa ha decidido mantener desde el año 1974. </w:t>
      </w:r>
    </w:p>
    <w:p w14:paraId="50A981F1" w14:textId="698AEAA5" w:rsidR="00B71ED7" w:rsidRPr="00B71ED7" w:rsidRDefault="004E41F9" w:rsidP="004E41F9">
      <w:pPr>
        <w:spacing w:after="0" w:line="28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L</w:t>
      </w:r>
      <w:r w:rsidR="00B71ED7"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as entidades consultadas coinciden en que la derogación propuesta no altera el esquema sustantivo de procesamiento criminal, ni limita las facultades del </w:t>
      </w:r>
      <w:r w:rsidR="00EA2B71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gobierno</w:t>
      </w:r>
      <w:r w:rsidR="00B71ED7"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para perseguir conductas delictivas</w:t>
      </w:r>
      <w:r w:rsidR="00EA2B71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.</w:t>
      </w:r>
      <w:r w:rsidR="00B71ED7"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</w:t>
      </w:r>
      <w:r w:rsidR="00EA2B71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E</w:t>
      </w:r>
      <w:r w:rsidR="00B71ED7"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limina una disposición que qued</w:t>
      </w:r>
      <w:r w:rsidR="00EA2B71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ó</w:t>
      </w:r>
      <w:r w:rsidR="00B71ED7"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desplazada por legislación posterior.</w:t>
      </w:r>
    </w:p>
    <w:p w14:paraId="79196F8A" w14:textId="22BB8922" w:rsidR="00B71ED7" w:rsidRPr="00B71ED7" w:rsidRDefault="005470D4" w:rsidP="004E41F9">
      <w:pPr>
        <w:spacing w:after="0" w:line="28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E</w:t>
      </w:r>
      <w:r w:rsidR="003E114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sta </w:t>
      </w: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c</w:t>
      </w:r>
      <w:r w:rsidR="003E114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omisión entiende que </w:t>
      </w:r>
      <w:r w:rsidR="00B71ED7"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la observación </w:t>
      </w: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de </w:t>
      </w:r>
      <w:r w:rsidR="00B71ED7"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la O</w:t>
      </w: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SL</w:t>
      </w:r>
      <w:r w:rsidR="00B71ED7"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respecto al posible desfase interpretativo que pudiera mantenerse con el </w:t>
      </w: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a</w:t>
      </w:r>
      <w:r w:rsidR="00B71ED7"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rtículo 386 del Código Político</w:t>
      </w:r>
      <w:r w:rsidR="003E114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merece particular observación</w:t>
      </w:r>
      <w:r w:rsidR="00B71ED7"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. Aunque dicho señalamiento no impide ni condiciona la aprobación de esta medida, esta </w:t>
      </w: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c</w:t>
      </w:r>
      <w:r w:rsidR="00B71ED7"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omisión entiende meritorio que dicho asunto sea objeto de evaluación futura</w:t>
      </w:r>
      <w:r w:rsidR="009F6E4A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. Esto,</w:t>
      </w:r>
      <w:r w:rsidR="00B71ED7"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para determinar si procede una revisión adicional del Código Político con el propósito de continuar fortaleciendo la coherencia interna del ordenamiento jurídico.</w:t>
      </w:r>
    </w:p>
    <w:p w14:paraId="410BCFD8" w14:textId="046A6F2A" w:rsidR="00855337" w:rsidRDefault="00AD28C8" w:rsidP="004E41F9">
      <w:pPr>
        <w:spacing w:after="0" w:line="28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No </w:t>
      </w:r>
      <w:r w:rsidR="006D41C3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obstante,</w:t>
      </w: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</w:t>
      </w:r>
      <w:r w:rsidR="00B71ED7"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esta Comisión concluye que el P</w:t>
      </w:r>
      <w:r w:rsidR="006D41C3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. </w:t>
      </w:r>
      <w:r w:rsidR="00B71ED7"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de</w:t>
      </w:r>
      <w:r w:rsidR="003E114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l S</w:t>
      </w:r>
      <w:r w:rsidR="006D41C3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.</w:t>
      </w:r>
      <w:r w:rsidR="003E114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</w:t>
      </w:r>
      <w:r w:rsidR="00B71ED7" w:rsidRPr="00B71ED7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924 adelanta los principios de certeza jurídica y uniformidad normativa, y contribuye al proceso continuo de modernización del ordenamiento legal puertorriqueño.</w:t>
      </w: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</w:t>
      </w:r>
    </w:p>
    <w:p w14:paraId="79F6FFBF" w14:textId="77777777" w:rsidR="00672235" w:rsidRDefault="00672235" w:rsidP="004E41F9">
      <w:pPr>
        <w:spacing w:after="0" w:line="28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</w:p>
    <w:p w14:paraId="1A9611BB" w14:textId="77777777" w:rsidR="00672235" w:rsidRDefault="00672235" w:rsidP="004E41F9">
      <w:pPr>
        <w:spacing w:after="0" w:line="28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</w:p>
    <w:p w14:paraId="745EEF7E" w14:textId="77777777" w:rsidR="00672235" w:rsidRDefault="00672235" w:rsidP="004E41F9">
      <w:pPr>
        <w:spacing w:after="0" w:line="28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</w:p>
    <w:p w14:paraId="73CB535D" w14:textId="77777777" w:rsidR="00672235" w:rsidRDefault="00672235" w:rsidP="004E41F9">
      <w:pPr>
        <w:spacing w:after="0" w:line="28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</w:p>
    <w:p w14:paraId="63EB617D" w14:textId="77777777" w:rsidR="00672235" w:rsidRDefault="00672235" w:rsidP="004E41F9">
      <w:pPr>
        <w:spacing w:after="0" w:line="28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</w:p>
    <w:p w14:paraId="4A228001" w14:textId="77777777" w:rsidR="00672235" w:rsidRDefault="00672235" w:rsidP="004E41F9">
      <w:pPr>
        <w:spacing w:after="0" w:line="28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</w:p>
    <w:p w14:paraId="21CCA22C" w14:textId="77777777" w:rsidR="00672235" w:rsidRPr="009B1224" w:rsidRDefault="00672235" w:rsidP="004E41F9">
      <w:pPr>
        <w:spacing w:after="0" w:line="288" w:lineRule="auto"/>
        <w:ind w:firstLine="706"/>
        <w:jc w:val="both"/>
        <w:rPr>
          <w:rFonts w:ascii="Book Antiqua" w:eastAsia="Book Antiqua" w:hAnsi="Book Antiqua" w:cs="Book Antiqua"/>
          <w:b/>
          <w:spacing w:val="12"/>
          <w:kern w:val="0"/>
          <w:lang w:val="es-ES"/>
          <w14:ligatures w14:val="none"/>
        </w:rPr>
      </w:pPr>
    </w:p>
    <w:p w14:paraId="71E723A2" w14:textId="3AADCC69" w:rsidR="004B3E3A" w:rsidRPr="003230C7" w:rsidRDefault="00CB4BCC" w:rsidP="00150148">
      <w:pPr>
        <w:spacing w:line="276" w:lineRule="auto"/>
        <w:jc w:val="center"/>
        <w:rPr>
          <w:rFonts w:ascii="Book Antiqua" w:eastAsia="Book Antiqua" w:hAnsi="Book Antiqua" w:cs="Book Antiqua"/>
          <w:bCs/>
          <w:spacing w:val="12"/>
          <w:kern w:val="0"/>
          <w:lang w:val="es-ES"/>
          <w14:ligatures w14:val="none"/>
        </w:rPr>
      </w:pPr>
      <w:r w:rsidRPr="003230C7">
        <w:rPr>
          <w:rFonts w:ascii="Book Antiqua" w:eastAsia="Book Antiqua" w:hAnsi="Book Antiqua" w:cs="Book Antiqua"/>
          <w:bCs/>
          <w:spacing w:val="12"/>
          <w:kern w:val="0"/>
          <w:lang w:val="es-ES"/>
          <w14:ligatures w14:val="none"/>
        </w:rPr>
        <w:lastRenderedPageBreak/>
        <w:t>CONCLUSIÓN</w:t>
      </w:r>
    </w:p>
    <w:p w14:paraId="21488ADE" w14:textId="73816516" w:rsidR="000743E5" w:rsidRPr="009B1224" w:rsidRDefault="000743E5" w:rsidP="00CA69C7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Book Antiqua" w:hAnsi="Book Antiqua"/>
          <w:lang w:val="es-ES"/>
        </w:rPr>
      </w:pPr>
      <w:r w:rsidRPr="009B1224">
        <w:rPr>
          <w:rFonts w:ascii="Book Antiqua" w:hAnsi="Book Antiqua"/>
          <w:lang w:val="es-ES"/>
        </w:rPr>
        <w:t xml:space="preserve">Por los fundamentos expuestos, la Comisión de </w:t>
      </w:r>
      <w:r w:rsidR="00712D9C" w:rsidRPr="009B1224">
        <w:rPr>
          <w:rFonts w:ascii="Book Antiqua" w:hAnsi="Book Antiqua"/>
          <w:lang w:val="es-ES"/>
        </w:rPr>
        <w:t>l</w:t>
      </w:r>
      <w:r w:rsidR="00A332B7" w:rsidRPr="009B1224">
        <w:rPr>
          <w:rFonts w:ascii="Book Antiqua" w:hAnsi="Book Antiqua"/>
          <w:lang w:val="es-ES"/>
        </w:rPr>
        <w:t xml:space="preserve">o </w:t>
      </w:r>
      <w:r w:rsidR="00A332B7" w:rsidRPr="00EC1D76">
        <w:rPr>
          <w:rFonts w:ascii="Book Antiqua" w:hAnsi="Book Antiqua"/>
          <w:lang w:val="es-ES"/>
        </w:rPr>
        <w:t xml:space="preserve">Jurídico </w:t>
      </w:r>
      <w:r w:rsidR="001B4892" w:rsidRPr="00EC1D76">
        <w:rPr>
          <w:rFonts w:ascii="Book Antiqua" w:hAnsi="Book Antiqua"/>
          <w:lang w:val="es-ES"/>
        </w:rPr>
        <w:t>recomienda</w:t>
      </w:r>
      <w:r w:rsidR="001B4892" w:rsidRPr="009B1224">
        <w:rPr>
          <w:rFonts w:ascii="Book Antiqua" w:hAnsi="Book Antiqua"/>
          <w:lang w:val="es-ES"/>
        </w:rPr>
        <w:t xml:space="preserve"> </w:t>
      </w:r>
      <w:r w:rsidR="00672235">
        <w:rPr>
          <w:rFonts w:ascii="Book Antiqua" w:hAnsi="Book Antiqua"/>
          <w:lang w:val="es-ES"/>
        </w:rPr>
        <w:t>que</w:t>
      </w:r>
      <w:r w:rsidR="00E63C3C">
        <w:rPr>
          <w:rFonts w:ascii="Book Antiqua" w:hAnsi="Book Antiqua"/>
          <w:lang w:val="es-ES"/>
        </w:rPr>
        <w:t xml:space="preserve"> </w:t>
      </w:r>
      <w:r w:rsidR="00672235">
        <w:rPr>
          <w:rFonts w:ascii="Book Antiqua" w:hAnsi="Book Antiqua"/>
          <w:lang w:val="es-ES"/>
        </w:rPr>
        <w:t xml:space="preserve">se </w:t>
      </w:r>
      <w:r w:rsidR="00E63C3C">
        <w:rPr>
          <w:rFonts w:ascii="Book Antiqua" w:hAnsi="Book Antiqua"/>
          <w:lang w:val="es-ES"/>
        </w:rPr>
        <w:t>apr</w:t>
      </w:r>
      <w:r w:rsidR="00672235">
        <w:rPr>
          <w:rFonts w:ascii="Book Antiqua" w:hAnsi="Book Antiqua"/>
          <w:lang w:val="es-ES"/>
        </w:rPr>
        <w:t>uebe</w:t>
      </w:r>
      <w:r w:rsidR="004E4CBE">
        <w:rPr>
          <w:rFonts w:ascii="Book Antiqua" w:hAnsi="Book Antiqua"/>
          <w:lang w:val="es-ES"/>
        </w:rPr>
        <w:t xml:space="preserve"> el</w:t>
      </w:r>
      <w:r w:rsidR="001B4892" w:rsidRPr="009B1224">
        <w:rPr>
          <w:rFonts w:ascii="Book Antiqua" w:hAnsi="Book Antiqua"/>
          <w:lang w:val="es-ES"/>
        </w:rPr>
        <w:t xml:space="preserve"> </w:t>
      </w:r>
      <w:r w:rsidR="00C20606">
        <w:rPr>
          <w:rFonts w:ascii="Book Antiqua" w:hAnsi="Book Antiqua"/>
          <w:lang w:val="es-ES"/>
        </w:rPr>
        <w:t>P. del S.</w:t>
      </w:r>
      <w:r w:rsidR="00EC1D76">
        <w:rPr>
          <w:rFonts w:ascii="Book Antiqua" w:hAnsi="Book Antiqua"/>
          <w:lang w:val="es-ES"/>
        </w:rPr>
        <w:t xml:space="preserve"> </w:t>
      </w:r>
      <w:r w:rsidR="00BB3A75">
        <w:rPr>
          <w:rFonts w:ascii="Book Antiqua" w:hAnsi="Book Antiqua"/>
          <w:lang w:val="es-ES"/>
        </w:rPr>
        <w:t>924</w:t>
      </w:r>
      <w:r w:rsidR="004E4CBE">
        <w:rPr>
          <w:rFonts w:ascii="Book Antiqua" w:hAnsi="Book Antiqua"/>
          <w:lang w:val="es-ES"/>
        </w:rPr>
        <w:t xml:space="preserve"> sin enmiendas</w:t>
      </w:r>
      <w:r w:rsidR="00E63C3C">
        <w:rPr>
          <w:rFonts w:ascii="Book Antiqua" w:hAnsi="Book Antiqua"/>
          <w:lang w:val="es-ES"/>
        </w:rPr>
        <w:t>.</w:t>
      </w:r>
    </w:p>
    <w:p w14:paraId="44E63056" w14:textId="77777777" w:rsidR="000B72A1" w:rsidRPr="009B1224" w:rsidRDefault="000B72A1" w:rsidP="00CA69C7">
      <w:pPr>
        <w:spacing w:after="0" w:line="276" w:lineRule="auto"/>
        <w:jc w:val="both"/>
        <w:rPr>
          <w:rFonts w:ascii="Book Antiqua" w:eastAsia="Book Antiqua" w:hAnsi="Book Antiqua" w:cs="Book Antiqua"/>
          <w:kern w:val="0"/>
          <w:lang w:val="es-ES"/>
          <w14:ligatures w14:val="none"/>
        </w:rPr>
      </w:pPr>
    </w:p>
    <w:p w14:paraId="5144D337" w14:textId="104868B9" w:rsidR="00CB4BCC" w:rsidRPr="009B1224" w:rsidRDefault="00CB4BCC" w:rsidP="00CA69C7">
      <w:pPr>
        <w:spacing w:after="0" w:line="276" w:lineRule="auto"/>
        <w:jc w:val="both"/>
        <w:rPr>
          <w:rFonts w:ascii="Book Antiqua" w:eastAsia="Book Antiqua" w:hAnsi="Book Antiqua" w:cs="Book Antiqua"/>
          <w:kern w:val="0"/>
          <w:lang w:val="es-ES"/>
          <w14:ligatures w14:val="none"/>
        </w:rPr>
      </w:pPr>
      <w:r w:rsidRPr="009B1224">
        <w:rPr>
          <w:rFonts w:ascii="Book Antiqua" w:eastAsia="Book Antiqua" w:hAnsi="Book Antiqua" w:cs="Book Antiqua"/>
          <w:kern w:val="0"/>
          <w:lang w:val="es-ES"/>
          <w14:ligatures w14:val="none"/>
        </w:rPr>
        <w:t xml:space="preserve">Respetuosamente </w:t>
      </w:r>
      <w:r w:rsidR="006B02FF" w:rsidRPr="009B1224">
        <w:rPr>
          <w:rFonts w:ascii="Book Antiqua" w:eastAsia="Book Antiqua" w:hAnsi="Book Antiqua" w:cs="Book Antiqua"/>
          <w:kern w:val="0"/>
          <w:lang w:val="es-ES"/>
          <w14:ligatures w14:val="none"/>
        </w:rPr>
        <w:t>presentad</w:t>
      </w:r>
      <w:r w:rsidRPr="009B1224">
        <w:rPr>
          <w:rFonts w:ascii="Book Antiqua" w:eastAsia="Book Antiqua" w:hAnsi="Book Antiqua" w:cs="Book Antiqua"/>
          <w:kern w:val="0"/>
          <w:lang w:val="es-ES"/>
          <w14:ligatures w14:val="none"/>
        </w:rPr>
        <w:t>o,</w:t>
      </w:r>
    </w:p>
    <w:p w14:paraId="5867B946" w14:textId="77777777" w:rsidR="00CB4BCC" w:rsidRPr="009B1224" w:rsidRDefault="00CB4BCC" w:rsidP="00CA69C7">
      <w:pPr>
        <w:spacing w:after="0" w:line="276" w:lineRule="auto"/>
        <w:jc w:val="both"/>
        <w:rPr>
          <w:rFonts w:ascii="Book Antiqua" w:eastAsia="Book Antiqua" w:hAnsi="Book Antiqua" w:cs="Book Antiqua"/>
          <w:b/>
          <w:bCs/>
          <w:i/>
          <w:iCs/>
          <w:kern w:val="0"/>
          <w:lang w:val="es-ES"/>
          <w14:ligatures w14:val="none"/>
        </w:rPr>
      </w:pPr>
    </w:p>
    <w:p w14:paraId="725277FD" w14:textId="77777777" w:rsidR="00F46CE1" w:rsidRPr="009B1224" w:rsidRDefault="00F46CE1" w:rsidP="00CA69C7">
      <w:pPr>
        <w:spacing w:after="0" w:line="276" w:lineRule="auto"/>
        <w:jc w:val="both"/>
        <w:rPr>
          <w:rFonts w:ascii="Book Antiqua" w:eastAsia="Book Antiqua" w:hAnsi="Book Antiqua" w:cs="Book Antiqua"/>
          <w:b/>
          <w:bCs/>
          <w:i/>
          <w:iCs/>
          <w:kern w:val="0"/>
          <w:lang w:val="es-ES"/>
          <w14:ligatures w14:val="none"/>
        </w:rPr>
      </w:pPr>
    </w:p>
    <w:p w14:paraId="05152CC0" w14:textId="77777777" w:rsidR="00A332B7" w:rsidRPr="009B25AF" w:rsidRDefault="00A332B7" w:rsidP="00A332B7">
      <w:pPr>
        <w:spacing w:after="0" w:line="240" w:lineRule="auto"/>
        <w:jc w:val="both"/>
        <w:rPr>
          <w:rFonts w:ascii="Book Antiqua" w:eastAsia="Book Antiqua" w:hAnsi="Book Antiqua" w:cs="Book Antiqua"/>
          <w:b/>
          <w:bCs/>
          <w:smallCaps/>
          <w:kern w:val="0"/>
          <w:lang w:val="es-ES"/>
          <w14:ligatures w14:val="none"/>
        </w:rPr>
      </w:pPr>
      <w:r w:rsidRPr="009B25AF">
        <w:rPr>
          <w:rFonts w:ascii="Book Antiqua" w:eastAsia="Book Antiqua" w:hAnsi="Book Antiqua" w:cs="Book Antiqua"/>
          <w:b/>
          <w:bCs/>
          <w:smallCaps/>
          <w:kern w:val="0"/>
          <w:lang w:val="es-ES"/>
          <w14:ligatures w14:val="none"/>
        </w:rPr>
        <w:t>José J. Pérez Cordero</w:t>
      </w:r>
    </w:p>
    <w:p w14:paraId="186270CF" w14:textId="77777777" w:rsidR="00A332B7" w:rsidRPr="009B1224" w:rsidRDefault="00A332B7" w:rsidP="00A332B7">
      <w:pPr>
        <w:spacing w:after="0" w:line="240" w:lineRule="auto"/>
        <w:jc w:val="both"/>
        <w:rPr>
          <w:rFonts w:ascii="Book Antiqua" w:eastAsia="Book Antiqua" w:hAnsi="Book Antiqua" w:cs="Book Antiqua"/>
          <w:kern w:val="0"/>
          <w:lang w:val="es-ES"/>
          <w14:ligatures w14:val="none"/>
        </w:rPr>
      </w:pPr>
      <w:r w:rsidRPr="009B1224">
        <w:rPr>
          <w:rFonts w:ascii="Book Antiqua" w:eastAsia="Book Antiqua" w:hAnsi="Book Antiqua" w:cs="Book Antiqua"/>
          <w:kern w:val="0"/>
          <w:lang w:val="es-ES"/>
          <w14:ligatures w14:val="none"/>
        </w:rPr>
        <w:t>Presidente</w:t>
      </w:r>
    </w:p>
    <w:p w14:paraId="138E6B60" w14:textId="77777777" w:rsidR="00A332B7" w:rsidRPr="009B1224" w:rsidRDefault="00A332B7" w:rsidP="00A332B7">
      <w:pPr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  <w:r w:rsidRPr="009B1224">
        <w:rPr>
          <w:rFonts w:ascii="Book Antiqua" w:eastAsia="Book Antiqua" w:hAnsi="Book Antiqua" w:cs="Book Antiqua"/>
          <w:kern w:val="0"/>
          <w:lang w:val="es-ES"/>
          <w14:ligatures w14:val="none"/>
        </w:rPr>
        <w:t>Comisión de lo Jurídico</w:t>
      </w:r>
    </w:p>
    <w:p w14:paraId="36546E0C" w14:textId="1DA2AEB6" w:rsidR="00AD63FF" w:rsidRPr="009B1224" w:rsidRDefault="00AD63FF" w:rsidP="00A332B7">
      <w:pPr>
        <w:spacing w:after="0" w:line="276" w:lineRule="auto"/>
        <w:jc w:val="both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</w:p>
    <w:sectPr w:rsidR="00AD63FF" w:rsidRPr="009B1224" w:rsidSect="00CB4BCC">
      <w:headerReference w:type="even" r:id="rId11"/>
      <w:headerReference w:type="defaul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40A34" w14:textId="77777777" w:rsidR="00F15DC7" w:rsidRDefault="00F15DC7">
      <w:pPr>
        <w:spacing w:after="0" w:line="240" w:lineRule="auto"/>
      </w:pPr>
      <w:r>
        <w:separator/>
      </w:r>
    </w:p>
  </w:endnote>
  <w:endnote w:type="continuationSeparator" w:id="0">
    <w:p w14:paraId="5D0D003B" w14:textId="77777777" w:rsidR="00F15DC7" w:rsidRDefault="00F15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9C6DB" w14:textId="77777777" w:rsidR="00F15DC7" w:rsidRDefault="00F15DC7">
      <w:pPr>
        <w:spacing w:after="0" w:line="240" w:lineRule="auto"/>
      </w:pPr>
      <w:r>
        <w:separator/>
      </w:r>
    </w:p>
  </w:footnote>
  <w:footnote w:type="continuationSeparator" w:id="0">
    <w:p w14:paraId="4A6D05C5" w14:textId="77777777" w:rsidR="00F15DC7" w:rsidRDefault="00F15DC7">
      <w:pPr>
        <w:spacing w:after="0" w:line="240" w:lineRule="auto"/>
      </w:pPr>
      <w:r>
        <w:continuationSeparator/>
      </w:r>
    </w:p>
  </w:footnote>
  <w:footnote w:id="1">
    <w:p w14:paraId="600B3D7E" w14:textId="6E036318" w:rsidR="00FC6706" w:rsidRPr="004B14CC" w:rsidRDefault="00FC6706" w:rsidP="004B14CC">
      <w:pPr>
        <w:pStyle w:val="FootnoteText"/>
        <w:spacing w:after="60"/>
        <w:rPr>
          <w:rFonts w:ascii="Book Antiqua" w:hAnsi="Book Antiqua"/>
        </w:rPr>
      </w:pPr>
      <w:r w:rsidRPr="004B14CC">
        <w:rPr>
          <w:rStyle w:val="FootnoteReference"/>
          <w:rFonts w:ascii="Book Antiqua" w:hAnsi="Book Antiqua"/>
        </w:rPr>
        <w:footnoteRef/>
      </w:r>
      <w:r w:rsidRPr="004B14CC">
        <w:rPr>
          <w:rFonts w:ascii="Book Antiqua" w:hAnsi="Book Antiqua"/>
        </w:rPr>
        <w:t xml:space="preserve"> </w:t>
      </w:r>
      <w:r w:rsidR="00D16885" w:rsidRPr="004B14CC">
        <w:rPr>
          <w:rFonts w:ascii="Book Antiqua" w:hAnsi="Book Antiqua"/>
        </w:rPr>
        <w:t xml:space="preserve">Esta es una medida de administración que se presentó simultáneamente en la Cámara de Representantes </w:t>
      </w:r>
      <w:r w:rsidR="004B14CC" w:rsidRPr="004B14CC">
        <w:rPr>
          <w:rFonts w:ascii="Book Antiqua" w:hAnsi="Book Antiqua"/>
        </w:rPr>
        <w:t>mediante el Proyecto de la Cámara 1026.</w:t>
      </w:r>
    </w:p>
  </w:footnote>
  <w:footnote w:id="2">
    <w:p w14:paraId="1BD481E4" w14:textId="48FBB70F" w:rsidR="00DB3A41" w:rsidRPr="00F142FB" w:rsidRDefault="00DB3A41" w:rsidP="004B14CC">
      <w:pPr>
        <w:pStyle w:val="FootnoteText"/>
        <w:spacing w:after="60"/>
        <w:rPr>
          <w:rFonts w:ascii="Book Antiqua" w:hAnsi="Book Antiqua"/>
        </w:rPr>
      </w:pPr>
      <w:r w:rsidRPr="00F142FB">
        <w:rPr>
          <w:rStyle w:val="FootnoteReference"/>
          <w:rFonts w:ascii="Book Antiqua" w:hAnsi="Book Antiqua"/>
        </w:rPr>
        <w:footnoteRef/>
      </w:r>
      <w:r w:rsidRPr="00F142FB">
        <w:rPr>
          <w:rFonts w:ascii="Book Antiqua" w:hAnsi="Book Antiqua"/>
        </w:rPr>
        <w:t xml:space="preserve"> Conocida como </w:t>
      </w:r>
      <w:r w:rsidRPr="00F142FB">
        <w:rPr>
          <w:rFonts w:ascii="Book Antiqua" w:hAnsi="Book Antiqua"/>
          <w:i/>
          <w:iCs/>
        </w:rPr>
        <w:t>Código Penal de Puerto Rico</w:t>
      </w:r>
      <w:r w:rsidRPr="00F142FB">
        <w:rPr>
          <w:rFonts w:ascii="Book Antiqua" w:hAnsi="Book Antiqua"/>
        </w:rPr>
        <w:t>.</w:t>
      </w:r>
    </w:p>
  </w:footnote>
  <w:footnote w:id="3">
    <w:p w14:paraId="062F2BCC" w14:textId="2B4B6FB2" w:rsidR="00CB17EC" w:rsidRPr="001259CC" w:rsidRDefault="00CB17EC" w:rsidP="001259CC">
      <w:pPr>
        <w:pStyle w:val="FootnoteText"/>
        <w:spacing w:after="60"/>
        <w:rPr>
          <w:rFonts w:ascii="Book Antiqua" w:hAnsi="Book Antiqua"/>
        </w:rPr>
      </w:pPr>
      <w:r w:rsidRPr="001259CC">
        <w:rPr>
          <w:rStyle w:val="FootnoteReference"/>
          <w:rFonts w:ascii="Book Antiqua" w:hAnsi="Book Antiqua"/>
        </w:rPr>
        <w:footnoteRef/>
      </w:r>
      <w:r w:rsidRPr="001259CC">
        <w:rPr>
          <w:rFonts w:ascii="Book Antiqua" w:hAnsi="Book Antiqua"/>
        </w:rPr>
        <w:t xml:space="preserve"> 165 DPR 675 (2005).</w:t>
      </w:r>
    </w:p>
  </w:footnote>
  <w:footnote w:id="4">
    <w:p w14:paraId="5317A35E" w14:textId="77DD3B16" w:rsidR="00CB17EC" w:rsidRPr="001259CC" w:rsidRDefault="00CB17EC" w:rsidP="001259CC">
      <w:pPr>
        <w:pStyle w:val="FootnoteText"/>
        <w:spacing w:after="60"/>
        <w:rPr>
          <w:rFonts w:ascii="Book Antiqua" w:hAnsi="Book Antiqua"/>
        </w:rPr>
      </w:pPr>
      <w:r w:rsidRPr="001259CC">
        <w:rPr>
          <w:rStyle w:val="FootnoteReference"/>
          <w:rFonts w:ascii="Book Antiqua" w:hAnsi="Book Antiqua"/>
        </w:rPr>
        <w:footnoteRef/>
      </w:r>
      <w:r w:rsidRPr="001259CC">
        <w:rPr>
          <w:rFonts w:ascii="Book Antiqua" w:hAnsi="Book Antiqua"/>
        </w:rPr>
        <w:t xml:space="preserve"> 186 DPR 656 (2012).</w:t>
      </w:r>
    </w:p>
  </w:footnote>
  <w:footnote w:id="5">
    <w:p w14:paraId="51733FF2" w14:textId="64F5CF9D" w:rsidR="00CB17EC" w:rsidRPr="001259CC" w:rsidRDefault="00CB17EC" w:rsidP="001259CC">
      <w:pPr>
        <w:pStyle w:val="FootnoteText"/>
        <w:spacing w:after="60"/>
      </w:pPr>
      <w:r w:rsidRPr="001259CC">
        <w:rPr>
          <w:rStyle w:val="FootnoteReference"/>
          <w:rFonts w:ascii="Book Antiqua" w:hAnsi="Book Antiqua"/>
        </w:rPr>
        <w:footnoteRef/>
      </w:r>
      <w:r w:rsidRPr="001259CC">
        <w:rPr>
          <w:rFonts w:ascii="Book Antiqua" w:hAnsi="Book Antiqua"/>
        </w:rPr>
        <w:t xml:space="preserve"> 194 DPR 53 (2015).</w:t>
      </w:r>
    </w:p>
  </w:footnote>
  <w:footnote w:id="6">
    <w:p w14:paraId="691111A2" w14:textId="2F9C9048" w:rsidR="006776C2" w:rsidRPr="00D00D6E" w:rsidRDefault="006776C2" w:rsidP="00B26939">
      <w:pPr>
        <w:pStyle w:val="FootnoteText"/>
        <w:spacing w:after="60"/>
        <w:rPr>
          <w:rFonts w:ascii="Book Antiqua" w:hAnsi="Book Antiqua"/>
        </w:rPr>
      </w:pPr>
      <w:r w:rsidRPr="006776C2">
        <w:rPr>
          <w:rStyle w:val="FootnoteReference"/>
          <w:rFonts w:ascii="Book Antiqua" w:hAnsi="Book Antiqua"/>
        </w:rPr>
        <w:footnoteRef/>
      </w:r>
      <w:r w:rsidRPr="006776C2">
        <w:rPr>
          <w:rFonts w:ascii="Book Antiqua" w:hAnsi="Book Antiqua"/>
        </w:rPr>
        <w:t xml:space="preserve"> </w:t>
      </w:r>
      <w:r w:rsidRPr="00D00D6E">
        <w:rPr>
          <w:rFonts w:ascii="Book Antiqua" w:hAnsi="Book Antiqua"/>
        </w:rPr>
        <w:t>165 DPR 675, 698 (2005).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5923093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26C079BA" w14:textId="4EEF050D" w:rsidR="00DC0D78" w:rsidRDefault="00DC0D78" w:rsidP="00BA0FB9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E03C962" w14:textId="77777777" w:rsidR="00DC0D78" w:rsidRDefault="00DC0D78" w:rsidP="00DC0D7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="Book Antiqua" w:hAnsi="Book Antiqua"/>
        <w:sz w:val="20"/>
      </w:rPr>
      <w:id w:val="681237441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1C5FEFF4" w14:textId="7958099E" w:rsidR="00BA0FB9" w:rsidRPr="00BA0FB9" w:rsidRDefault="00BA0FB9">
        <w:pPr>
          <w:pStyle w:val="Header"/>
          <w:framePr w:wrap="none" w:vAnchor="text" w:hAnchor="margin" w:xAlign="right" w:y="1"/>
          <w:rPr>
            <w:rStyle w:val="PageNumber"/>
            <w:rFonts w:ascii="Book Antiqua" w:hAnsi="Book Antiqua"/>
            <w:sz w:val="20"/>
          </w:rPr>
        </w:pPr>
        <w:r w:rsidRPr="00BA0FB9">
          <w:rPr>
            <w:rStyle w:val="PageNumber"/>
            <w:rFonts w:ascii="Book Antiqua" w:hAnsi="Book Antiqua"/>
            <w:sz w:val="20"/>
          </w:rPr>
          <w:fldChar w:fldCharType="begin"/>
        </w:r>
        <w:r w:rsidRPr="00BA0FB9">
          <w:rPr>
            <w:rStyle w:val="PageNumber"/>
            <w:rFonts w:ascii="Book Antiqua" w:hAnsi="Book Antiqua"/>
            <w:sz w:val="20"/>
          </w:rPr>
          <w:instrText xml:space="preserve"> PAGE </w:instrText>
        </w:r>
        <w:r w:rsidRPr="00BA0FB9">
          <w:rPr>
            <w:rStyle w:val="PageNumber"/>
            <w:rFonts w:ascii="Book Antiqua" w:hAnsi="Book Antiqua"/>
            <w:sz w:val="20"/>
          </w:rPr>
          <w:fldChar w:fldCharType="separate"/>
        </w:r>
        <w:r w:rsidRPr="00BA0FB9">
          <w:rPr>
            <w:rStyle w:val="PageNumber"/>
            <w:rFonts w:ascii="Book Antiqua" w:hAnsi="Book Antiqua"/>
            <w:noProof/>
            <w:sz w:val="20"/>
          </w:rPr>
          <w:t>5</w:t>
        </w:r>
        <w:r w:rsidRPr="00BA0FB9">
          <w:rPr>
            <w:rStyle w:val="PageNumber"/>
            <w:rFonts w:ascii="Book Antiqua" w:hAnsi="Book Antiqua"/>
            <w:sz w:val="20"/>
          </w:rPr>
          <w:fldChar w:fldCharType="end"/>
        </w:r>
      </w:p>
    </w:sdtContent>
  </w:sdt>
  <w:p w14:paraId="01DC0CA7" w14:textId="0C15CEA1" w:rsidR="00017DE0" w:rsidRPr="00BA0FB9" w:rsidRDefault="00BA0FB9" w:rsidP="00BA0FB9">
    <w:pPr>
      <w:pStyle w:val="Header"/>
      <w:ind w:right="360"/>
      <w:rPr>
        <w:rFonts w:ascii="Book Antiqua" w:hAnsi="Book Antiqua"/>
        <w:sz w:val="20"/>
      </w:rPr>
    </w:pPr>
    <w:r w:rsidRPr="00BA0FB9">
      <w:rPr>
        <w:rFonts w:ascii="Book Antiqua" w:hAnsi="Book Antiqua"/>
        <w:sz w:val="20"/>
      </w:rPr>
      <w:t>Comisión de lo Jurídico</w:t>
    </w:r>
  </w:p>
  <w:p w14:paraId="63732081" w14:textId="6B8DBF08" w:rsidR="00BA0FB9" w:rsidRPr="00BA0FB9" w:rsidRDefault="00BA0FB9" w:rsidP="00BA0FB9">
    <w:pPr>
      <w:pStyle w:val="Header"/>
      <w:ind w:right="360"/>
      <w:rPr>
        <w:rFonts w:ascii="Book Antiqua" w:hAnsi="Book Antiqua"/>
        <w:sz w:val="20"/>
      </w:rPr>
    </w:pPr>
    <w:r w:rsidRPr="00BA0FB9">
      <w:rPr>
        <w:rFonts w:ascii="Book Antiqua" w:hAnsi="Book Antiqua"/>
        <w:sz w:val="20"/>
      </w:rPr>
      <w:t>Informe</w:t>
    </w:r>
    <w:r w:rsidR="00322F83">
      <w:rPr>
        <w:rFonts w:ascii="Book Antiqua" w:hAnsi="Book Antiqua"/>
        <w:sz w:val="20"/>
      </w:rPr>
      <w:t xml:space="preserve"> </w:t>
    </w:r>
    <w:r w:rsidR="00C20606">
      <w:rPr>
        <w:rFonts w:ascii="Book Antiqua" w:hAnsi="Book Antiqua"/>
        <w:sz w:val="20"/>
      </w:rPr>
      <w:t>Positivo</w:t>
    </w:r>
    <w:r w:rsidR="00322F83">
      <w:rPr>
        <w:rFonts w:ascii="Book Antiqua" w:hAnsi="Book Antiqua"/>
        <w:sz w:val="20"/>
      </w:rPr>
      <w:t xml:space="preserve"> sobre el</w:t>
    </w:r>
    <w:r w:rsidRPr="00BA0FB9">
      <w:rPr>
        <w:rFonts w:ascii="Book Antiqua" w:hAnsi="Book Antiqua"/>
        <w:sz w:val="20"/>
      </w:rPr>
      <w:t xml:space="preserve"> </w:t>
    </w:r>
    <w:r w:rsidR="00C20606">
      <w:rPr>
        <w:rFonts w:ascii="Book Antiqua" w:hAnsi="Book Antiqua"/>
        <w:sz w:val="20"/>
      </w:rPr>
      <w:t xml:space="preserve">P. del S. </w:t>
    </w:r>
    <w:r w:rsidR="00BB3A75">
      <w:rPr>
        <w:rFonts w:ascii="Book Antiqua" w:hAnsi="Book Antiqua"/>
        <w:sz w:val="20"/>
      </w:rPr>
      <w:t>924</w:t>
    </w:r>
  </w:p>
  <w:p w14:paraId="4C9DFBF4" w14:textId="77777777" w:rsidR="00BA0FB9" w:rsidRPr="00BA0FB9" w:rsidRDefault="00BA0FB9" w:rsidP="00BA0FB9">
    <w:pPr>
      <w:pStyle w:val="Header"/>
      <w:ind w:right="360"/>
      <w:rPr>
        <w:rFonts w:ascii="Book Antiqua" w:hAnsi="Book Antiqua"/>
        <w:sz w:val="20"/>
      </w:rPr>
    </w:pPr>
  </w:p>
  <w:p w14:paraId="21538D54" w14:textId="77777777" w:rsidR="00BA0FB9" w:rsidRPr="00BA0FB9" w:rsidRDefault="00BA0FB9" w:rsidP="00BA0FB9">
    <w:pPr>
      <w:pStyle w:val="Header"/>
      <w:ind w:right="360"/>
      <w:rPr>
        <w:rFonts w:ascii="Book Antiqua" w:hAnsi="Book Antiqu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E7EBB"/>
    <w:multiLevelType w:val="multilevel"/>
    <w:tmpl w:val="224E5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DD0A1D"/>
    <w:multiLevelType w:val="hybridMultilevel"/>
    <w:tmpl w:val="0B7029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C97640"/>
    <w:multiLevelType w:val="multilevel"/>
    <w:tmpl w:val="893A1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380116"/>
    <w:multiLevelType w:val="multilevel"/>
    <w:tmpl w:val="C1E86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90137F"/>
    <w:multiLevelType w:val="hybridMultilevel"/>
    <w:tmpl w:val="3FC28190"/>
    <w:lvl w:ilvl="0" w:tplc="F0DCEE2A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47962422">
    <w:abstractNumId w:val="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3842932">
    <w:abstractNumId w:val="1"/>
  </w:num>
  <w:num w:numId="3" w16cid:durableId="574238919">
    <w:abstractNumId w:val="4"/>
  </w:num>
  <w:num w:numId="4" w16cid:durableId="1949703315">
    <w:abstractNumId w:val="0"/>
  </w:num>
  <w:num w:numId="5" w16cid:durableId="6985503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BCC"/>
    <w:rsid w:val="000033B3"/>
    <w:rsid w:val="000035B6"/>
    <w:rsid w:val="0000415C"/>
    <w:rsid w:val="000120EA"/>
    <w:rsid w:val="00012671"/>
    <w:rsid w:val="000136F7"/>
    <w:rsid w:val="000140F6"/>
    <w:rsid w:val="000177B6"/>
    <w:rsid w:val="00017C76"/>
    <w:rsid w:val="00017DE0"/>
    <w:rsid w:val="00022F89"/>
    <w:rsid w:val="000277D6"/>
    <w:rsid w:val="000305F2"/>
    <w:rsid w:val="00033266"/>
    <w:rsid w:val="000341E7"/>
    <w:rsid w:val="00034B0C"/>
    <w:rsid w:val="000357A9"/>
    <w:rsid w:val="000368D3"/>
    <w:rsid w:val="00042AC4"/>
    <w:rsid w:val="00043BE3"/>
    <w:rsid w:val="000468B9"/>
    <w:rsid w:val="00046B3C"/>
    <w:rsid w:val="000510A4"/>
    <w:rsid w:val="000515C3"/>
    <w:rsid w:val="00053414"/>
    <w:rsid w:val="0005535C"/>
    <w:rsid w:val="00055A20"/>
    <w:rsid w:val="00057149"/>
    <w:rsid w:val="0005781F"/>
    <w:rsid w:val="00062B3D"/>
    <w:rsid w:val="0006757A"/>
    <w:rsid w:val="00067A08"/>
    <w:rsid w:val="00070932"/>
    <w:rsid w:val="0007153C"/>
    <w:rsid w:val="00071AFA"/>
    <w:rsid w:val="000743E5"/>
    <w:rsid w:val="000748E3"/>
    <w:rsid w:val="00075AA7"/>
    <w:rsid w:val="00076BDB"/>
    <w:rsid w:val="0008036B"/>
    <w:rsid w:val="00087EB1"/>
    <w:rsid w:val="00095BA6"/>
    <w:rsid w:val="00095FDC"/>
    <w:rsid w:val="00096272"/>
    <w:rsid w:val="000A3532"/>
    <w:rsid w:val="000A48EB"/>
    <w:rsid w:val="000A5BDE"/>
    <w:rsid w:val="000A762F"/>
    <w:rsid w:val="000B0281"/>
    <w:rsid w:val="000B15BE"/>
    <w:rsid w:val="000B2043"/>
    <w:rsid w:val="000B30BC"/>
    <w:rsid w:val="000B434F"/>
    <w:rsid w:val="000B4646"/>
    <w:rsid w:val="000B4CE4"/>
    <w:rsid w:val="000B72A1"/>
    <w:rsid w:val="000C0402"/>
    <w:rsid w:val="000C18F3"/>
    <w:rsid w:val="000C6CA5"/>
    <w:rsid w:val="000D434B"/>
    <w:rsid w:val="000D6272"/>
    <w:rsid w:val="000D6426"/>
    <w:rsid w:val="000D7951"/>
    <w:rsid w:val="000E134B"/>
    <w:rsid w:val="000E16CC"/>
    <w:rsid w:val="000E3E7B"/>
    <w:rsid w:val="000E5CE8"/>
    <w:rsid w:val="000F003E"/>
    <w:rsid w:val="000F0B24"/>
    <w:rsid w:val="000F0DF2"/>
    <w:rsid w:val="000F2B0C"/>
    <w:rsid w:val="000F3725"/>
    <w:rsid w:val="000F48F4"/>
    <w:rsid w:val="000F7BDE"/>
    <w:rsid w:val="00101518"/>
    <w:rsid w:val="00103370"/>
    <w:rsid w:val="001054C2"/>
    <w:rsid w:val="00105C76"/>
    <w:rsid w:val="001063F6"/>
    <w:rsid w:val="00110219"/>
    <w:rsid w:val="001124E2"/>
    <w:rsid w:val="001155A8"/>
    <w:rsid w:val="001259CC"/>
    <w:rsid w:val="001279AE"/>
    <w:rsid w:val="00127DAC"/>
    <w:rsid w:val="00131433"/>
    <w:rsid w:val="001325B8"/>
    <w:rsid w:val="00134979"/>
    <w:rsid w:val="00134C48"/>
    <w:rsid w:val="0013667B"/>
    <w:rsid w:val="00136D7B"/>
    <w:rsid w:val="00137636"/>
    <w:rsid w:val="001407A8"/>
    <w:rsid w:val="00141E5E"/>
    <w:rsid w:val="00145801"/>
    <w:rsid w:val="0014669D"/>
    <w:rsid w:val="00150148"/>
    <w:rsid w:val="00151944"/>
    <w:rsid w:val="00151C0B"/>
    <w:rsid w:val="00151EAB"/>
    <w:rsid w:val="00155053"/>
    <w:rsid w:val="001621DB"/>
    <w:rsid w:val="00162770"/>
    <w:rsid w:val="00163F28"/>
    <w:rsid w:val="00165172"/>
    <w:rsid w:val="00165BB2"/>
    <w:rsid w:val="00165F38"/>
    <w:rsid w:val="0016625F"/>
    <w:rsid w:val="00167D19"/>
    <w:rsid w:val="00171BA9"/>
    <w:rsid w:val="00171D05"/>
    <w:rsid w:val="001722E3"/>
    <w:rsid w:val="00172B94"/>
    <w:rsid w:val="001731D1"/>
    <w:rsid w:val="00173474"/>
    <w:rsid w:val="00176FB0"/>
    <w:rsid w:val="00183348"/>
    <w:rsid w:val="001842C6"/>
    <w:rsid w:val="001843A5"/>
    <w:rsid w:val="00186A03"/>
    <w:rsid w:val="00187592"/>
    <w:rsid w:val="00191A62"/>
    <w:rsid w:val="001A0BCA"/>
    <w:rsid w:val="001A0CF8"/>
    <w:rsid w:val="001A1EDF"/>
    <w:rsid w:val="001A1FF4"/>
    <w:rsid w:val="001A261F"/>
    <w:rsid w:val="001A2630"/>
    <w:rsid w:val="001B058C"/>
    <w:rsid w:val="001B0E86"/>
    <w:rsid w:val="001B2964"/>
    <w:rsid w:val="001B4892"/>
    <w:rsid w:val="001B7C12"/>
    <w:rsid w:val="001C1CBB"/>
    <w:rsid w:val="001C4B54"/>
    <w:rsid w:val="001C4BC4"/>
    <w:rsid w:val="001C6691"/>
    <w:rsid w:val="001C7436"/>
    <w:rsid w:val="001C766D"/>
    <w:rsid w:val="001D0ECC"/>
    <w:rsid w:val="001D2E44"/>
    <w:rsid w:val="001D69EF"/>
    <w:rsid w:val="001D7E64"/>
    <w:rsid w:val="001E00D3"/>
    <w:rsid w:val="001E040E"/>
    <w:rsid w:val="001E691C"/>
    <w:rsid w:val="001F2813"/>
    <w:rsid w:val="001F2BD5"/>
    <w:rsid w:val="001F2E26"/>
    <w:rsid w:val="001F4835"/>
    <w:rsid w:val="001F65F6"/>
    <w:rsid w:val="001F682B"/>
    <w:rsid w:val="0020014D"/>
    <w:rsid w:val="00200E2C"/>
    <w:rsid w:val="002016B5"/>
    <w:rsid w:val="00202382"/>
    <w:rsid w:val="00202B70"/>
    <w:rsid w:val="002039C9"/>
    <w:rsid w:val="00203B38"/>
    <w:rsid w:val="002044FE"/>
    <w:rsid w:val="00204A9D"/>
    <w:rsid w:val="0020602D"/>
    <w:rsid w:val="002063DA"/>
    <w:rsid w:val="00211176"/>
    <w:rsid w:val="002136CB"/>
    <w:rsid w:val="002149FE"/>
    <w:rsid w:val="002164DD"/>
    <w:rsid w:val="00217313"/>
    <w:rsid w:val="00217E90"/>
    <w:rsid w:val="002221F0"/>
    <w:rsid w:val="002236D8"/>
    <w:rsid w:val="0022747E"/>
    <w:rsid w:val="00230542"/>
    <w:rsid w:val="002310D2"/>
    <w:rsid w:val="002323A7"/>
    <w:rsid w:val="0024129A"/>
    <w:rsid w:val="00242BF0"/>
    <w:rsid w:val="00250F0F"/>
    <w:rsid w:val="00252E35"/>
    <w:rsid w:val="002541BE"/>
    <w:rsid w:val="0026053E"/>
    <w:rsid w:val="00263686"/>
    <w:rsid w:val="00265D81"/>
    <w:rsid w:val="00272B73"/>
    <w:rsid w:val="00275C5D"/>
    <w:rsid w:val="00275F07"/>
    <w:rsid w:val="002765F8"/>
    <w:rsid w:val="00277355"/>
    <w:rsid w:val="00282A9F"/>
    <w:rsid w:val="00283DF6"/>
    <w:rsid w:val="00287871"/>
    <w:rsid w:val="00287EF2"/>
    <w:rsid w:val="002918CD"/>
    <w:rsid w:val="0029494C"/>
    <w:rsid w:val="00296EC8"/>
    <w:rsid w:val="002A439F"/>
    <w:rsid w:val="002A4481"/>
    <w:rsid w:val="002A5686"/>
    <w:rsid w:val="002B1F9B"/>
    <w:rsid w:val="002B28D2"/>
    <w:rsid w:val="002B2A35"/>
    <w:rsid w:val="002B333E"/>
    <w:rsid w:val="002B3CBD"/>
    <w:rsid w:val="002B4C35"/>
    <w:rsid w:val="002B51B7"/>
    <w:rsid w:val="002B5A64"/>
    <w:rsid w:val="002C0D49"/>
    <w:rsid w:val="002C1BB9"/>
    <w:rsid w:val="002C2D88"/>
    <w:rsid w:val="002C2FE7"/>
    <w:rsid w:val="002C3099"/>
    <w:rsid w:val="002C395C"/>
    <w:rsid w:val="002C46B6"/>
    <w:rsid w:val="002D2E26"/>
    <w:rsid w:val="002D44D5"/>
    <w:rsid w:val="002D45AC"/>
    <w:rsid w:val="002D5334"/>
    <w:rsid w:val="002D6C64"/>
    <w:rsid w:val="002E1663"/>
    <w:rsid w:val="002E2CDC"/>
    <w:rsid w:val="002E3BD8"/>
    <w:rsid w:val="002E44AD"/>
    <w:rsid w:val="002E49F0"/>
    <w:rsid w:val="002E4EC1"/>
    <w:rsid w:val="002E53E1"/>
    <w:rsid w:val="002F0998"/>
    <w:rsid w:val="002F18AB"/>
    <w:rsid w:val="002F1980"/>
    <w:rsid w:val="002F4AC2"/>
    <w:rsid w:val="002F4E78"/>
    <w:rsid w:val="002F4F33"/>
    <w:rsid w:val="002F5B77"/>
    <w:rsid w:val="002F751E"/>
    <w:rsid w:val="00300B4D"/>
    <w:rsid w:val="00303A08"/>
    <w:rsid w:val="00303DE8"/>
    <w:rsid w:val="003062C9"/>
    <w:rsid w:val="003067F4"/>
    <w:rsid w:val="00306E26"/>
    <w:rsid w:val="00310674"/>
    <w:rsid w:val="00310C64"/>
    <w:rsid w:val="00313661"/>
    <w:rsid w:val="003140AD"/>
    <w:rsid w:val="0031417B"/>
    <w:rsid w:val="0031430F"/>
    <w:rsid w:val="0031443B"/>
    <w:rsid w:val="00317204"/>
    <w:rsid w:val="00320217"/>
    <w:rsid w:val="003206BB"/>
    <w:rsid w:val="003206D9"/>
    <w:rsid w:val="00322C70"/>
    <w:rsid w:val="00322F83"/>
    <w:rsid w:val="003230C7"/>
    <w:rsid w:val="003239F2"/>
    <w:rsid w:val="0032636C"/>
    <w:rsid w:val="003302D1"/>
    <w:rsid w:val="00331040"/>
    <w:rsid w:val="00332DC5"/>
    <w:rsid w:val="00333271"/>
    <w:rsid w:val="00334574"/>
    <w:rsid w:val="00337C3E"/>
    <w:rsid w:val="00337DDD"/>
    <w:rsid w:val="003429B9"/>
    <w:rsid w:val="003435EA"/>
    <w:rsid w:val="003439F8"/>
    <w:rsid w:val="00345A92"/>
    <w:rsid w:val="00345C57"/>
    <w:rsid w:val="00352885"/>
    <w:rsid w:val="00352DF9"/>
    <w:rsid w:val="0035323A"/>
    <w:rsid w:val="00361730"/>
    <w:rsid w:val="00371A01"/>
    <w:rsid w:val="00371D82"/>
    <w:rsid w:val="00374936"/>
    <w:rsid w:val="0038195D"/>
    <w:rsid w:val="00381AE9"/>
    <w:rsid w:val="003828D1"/>
    <w:rsid w:val="003835CF"/>
    <w:rsid w:val="00383600"/>
    <w:rsid w:val="00385EA0"/>
    <w:rsid w:val="003861BE"/>
    <w:rsid w:val="00387AA8"/>
    <w:rsid w:val="003927E7"/>
    <w:rsid w:val="003931EA"/>
    <w:rsid w:val="00393AFD"/>
    <w:rsid w:val="0039778D"/>
    <w:rsid w:val="003A1A56"/>
    <w:rsid w:val="003A3439"/>
    <w:rsid w:val="003A4D3E"/>
    <w:rsid w:val="003A5315"/>
    <w:rsid w:val="003A543A"/>
    <w:rsid w:val="003A56B4"/>
    <w:rsid w:val="003A7E0C"/>
    <w:rsid w:val="003B48B0"/>
    <w:rsid w:val="003B4B37"/>
    <w:rsid w:val="003C2B1D"/>
    <w:rsid w:val="003C2DBF"/>
    <w:rsid w:val="003C30E4"/>
    <w:rsid w:val="003C3D24"/>
    <w:rsid w:val="003C61C9"/>
    <w:rsid w:val="003C73EE"/>
    <w:rsid w:val="003D0732"/>
    <w:rsid w:val="003D0CCD"/>
    <w:rsid w:val="003D2144"/>
    <w:rsid w:val="003D4692"/>
    <w:rsid w:val="003D4C49"/>
    <w:rsid w:val="003E1144"/>
    <w:rsid w:val="003E2C27"/>
    <w:rsid w:val="003E2D16"/>
    <w:rsid w:val="003E3082"/>
    <w:rsid w:val="003E31B6"/>
    <w:rsid w:val="003E4B8A"/>
    <w:rsid w:val="003E5F73"/>
    <w:rsid w:val="003F07BA"/>
    <w:rsid w:val="003F353F"/>
    <w:rsid w:val="003F6738"/>
    <w:rsid w:val="003F6B6E"/>
    <w:rsid w:val="003F7A57"/>
    <w:rsid w:val="0040058A"/>
    <w:rsid w:val="00400694"/>
    <w:rsid w:val="00400BFB"/>
    <w:rsid w:val="004011C3"/>
    <w:rsid w:val="00401E40"/>
    <w:rsid w:val="00403161"/>
    <w:rsid w:val="004047BE"/>
    <w:rsid w:val="00410994"/>
    <w:rsid w:val="00413517"/>
    <w:rsid w:val="00414D73"/>
    <w:rsid w:val="00416B0C"/>
    <w:rsid w:val="0041772F"/>
    <w:rsid w:val="00417E18"/>
    <w:rsid w:val="0042009C"/>
    <w:rsid w:val="0042272E"/>
    <w:rsid w:val="0042399B"/>
    <w:rsid w:val="0042546D"/>
    <w:rsid w:val="00425F9C"/>
    <w:rsid w:val="00426675"/>
    <w:rsid w:val="0042743B"/>
    <w:rsid w:val="0042783C"/>
    <w:rsid w:val="00432086"/>
    <w:rsid w:val="00433900"/>
    <w:rsid w:val="004347CD"/>
    <w:rsid w:val="00434BA6"/>
    <w:rsid w:val="00435B78"/>
    <w:rsid w:val="00436F96"/>
    <w:rsid w:val="004406F5"/>
    <w:rsid w:val="00440ED7"/>
    <w:rsid w:val="00443AA8"/>
    <w:rsid w:val="00444A9E"/>
    <w:rsid w:val="00450143"/>
    <w:rsid w:val="0045102D"/>
    <w:rsid w:val="00452383"/>
    <w:rsid w:val="004524C9"/>
    <w:rsid w:val="00452A96"/>
    <w:rsid w:val="00453139"/>
    <w:rsid w:val="00453CFE"/>
    <w:rsid w:val="00453E8D"/>
    <w:rsid w:val="00455EAC"/>
    <w:rsid w:val="00457F21"/>
    <w:rsid w:val="004602AA"/>
    <w:rsid w:val="00460F8A"/>
    <w:rsid w:val="004642B0"/>
    <w:rsid w:val="0046497B"/>
    <w:rsid w:val="00465F31"/>
    <w:rsid w:val="004678C2"/>
    <w:rsid w:val="004708F7"/>
    <w:rsid w:val="00471331"/>
    <w:rsid w:val="00481F5C"/>
    <w:rsid w:val="00486A6E"/>
    <w:rsid w:val="0049095B"/>
    <w:rsid w:val="00491057"/>
    <w:rsid w:val="004918F4"/>
    <w:rsid w:val="004922A1"/>
    <w:rsid w:val="00492A44"/>
    <w:rsid w:val="004957F0"/>
    <w:rsid w:val="004A0E6C"/>
    <w:rsid w:val="004A4D97"/>
    <w:rsid w:val="004A5C02"/>
    <w:rsid w:val="004A7911"/>
    <w:rsid w:val="004B05BC"/>
    <w:rsid w:val="004B07E9"/>
    <w:rsid w:val="004B1234"/>
    <w:rsid w:val="004B14CC"/>
    <w:rsid w:val="004B14E8"/>
    <w:rsid w:val="004B39EC"/>
    <w:rsid w:val="004B3E0A"/>
    <w:rsid w:val="004B3E3A"/>
    <w:rsid w:val="004B4785"/>
    <w:rsid w:val="004B4944"/>
    <w:rsid w:val="004B5DE8"/>
    <w:rsid w:val="004C0DAB"/>
    <w:rsid w:val="004C0F8A"/>
    <w:rsid w:val="004C0FEA"/>
    <w:rsid w:val="004C14F1"/>
    <w:rsid w:val="004C3513"/>
    <w:rsid w:val="004C3C30"/>
    <w:rsid w:val="004D03F0"/>
    <w:rsid w:val="004D07CF"/>
    <w:rsid w:val="004D19BF"/>
    <w:rsid w:val="004D2FC8"/>
    <w:rsid w:val="004E1D46"/>
    <w:rsid w:val="004E41F9"/>
    <w:rsid w:val="004E4CBE"/>
    <w:rsid w:val="004E57E7"/>
    <w:rsid w:val="004E696C"/>
    <w:rsid w:val="004F1018"/>
    <w:rsid w:val="004F2042"/>
    <w:rsid w:val="004F380E"/>
    <w:rsid w:val="004F5503"/>
    <w:rsid w:val="004F6867"/>
    <w:rsid w:val="004F7D0C"/>
    <w:rsid w:val="005003E2"/>
    <w:rsid w:val="005007EE"/>
    <w:rsid w:val="00501D94"/>
    <w:rsid w:val="00503859"/>
    <w:rsid w:val="005044D6"/>
    <w:rsid w:val="00507D4E"/>
    <w:rsid w:val="00510A81"/>
    <w:rsid w:val="00511877"/>
    <w:rsid w:val="00511CD8"/>
    <w:rsid w:val="00512BB2"/>
    <w:rsid w:val="00512D7C"/>
    <w:rsid w:val="00513338"/>
    <w:rsid w:val="005149DD"/>
    <w:rsid w:val="00515711"/>
    <w:rsid w:val="00517B4E"/>
    <w:rsid w:val="0052051E"/>
    <w:rsid w:val="00520ACB"/>
    <w:rsid w:val="00525C21"/>
    <w:rsid w:val="00526E3D"/>
    <w:rsid w:val="0052701C"/>
    <w:rsid w:val="00532969"/>
    <w:rsid w:val="00532FBC"/>
    <w:rsid w:val="0054073A"/>
    <w:rsid w:val="005429CD"/>
    <w:rsid w:val="00544732"/>
    <w:rsid w:val="00544B79"/>
    <w:rsid w:val="005452A6"/>
    <w:rsid w:val="0054585D"/>
    <w:rsid w:val="005470D4"/>
    <w:rsid w:val="0055257F"/>
    <w:rsid w:val="005534C8"/>
    <w:rsid w:val="0055498A"/>
    <w:rsid w:val="0056544B"/>
    <w:rsid w:val="00566EB3"/>
    <w:rsid w:val="005670E8"/>
    <w:rsid w:val="00567BBD"/>
    <w:rsid w:val="00570CCC"/>
    <w:rsid w:val="00571EBB"/>
    <w:rsid w:val="00572448"/>
    <w:rsid w:val="005726E9"/>
    <w:rsid w:val="005741EB"/>
    <w:rsid w:val="00574681"/>
    <w:rsid w:val="00575F07"/>
    <w:rsid w:val="00582671"/>
    <w:rsid w:val="0058321B"/>
    <w:rsid w:val="005838C2"/>
    <w:rsid w:val="00586AF3"/>
    <w:rsid w:val="00590826"/>
    <w:rsid w:val="0059130D"/>
    <w:rsid w:val="0059332C"/>
    <w:rsid w:val="00593F67"/>
    <w:rsid w:val="00595807"/>
    <w:rsid w:val="00595B66"/>
    <w:rsid w:val="00595E03"/>
    <w:rsid w:val="005979DD"/>
    <w:rsid w:val="005A13A5"/>
    <w:rsid w:val="005A1F4B"/>
    <w:rsid w:val="005A2049"/>
    <w:rsid w:val="005A295E"/>
    <w:rsid w:val="005A2FD8"/>
    <w:rsid w:val="005A32A6"/>
    <w:rsid w:val="005A32FE"/>
    <w:rsid w:val="005A7DF9"/>
    <w:rsid w:val="005B08F8"/>
    <w:rsid w:val="005B1D73"/>
    <w:rsid w:val="005B1E02"/>
    <w:rsid w:val="005B1E47"/>
    <w:rsid w:val="005B2906"/>
    <w:rsid w:val="005B2A11"/>
    <w:rsid w:val="005B2E79"/>
    <w:rsid w:val="005B5ECB"/>
    <w:rsid w:val="005C3305"/>
    <w:rsid w:val="005C4B93"/>
    <w:rsid w:val="005C5B93"/>
    <w:rsid w:val="005C6FEA"/>
    <w:rsid w:val="005D185C"/>
    <w:rsid w:val="005D2E19"/>
    <w:rsid w:val="005D415D"/>
    <w:rsid w:val="005D55EB"/>
    <w:rsid w:val="005E4019"/>
    <w:rsid w:val="005E4419"/>
    <w:rsid w:val="005E49FD"/>
    <w:rsid w:val="005E5A77"/>
    <w:rsid w:val="005E6827"/>
    <w:rsid w:val="005F06F3"/>
    <w:rsid w:val="005F2D63"/>
    <w:rsid w:val="005F595B"/>
    <w:rsid w:val="005F5D95"/>
    <w:rsid w:val="006032A1"/>
    <w:rsid w:val="00604F86"/>
    <w:rsid w:val="00607753"/>
    <w:rsid w:val="00610995"/>
    <w:rsid w:val="00610B2E"/>
    <w:rsid w:val="0061121D"/>
    <w:rsid w:val="00612830"/>
    <w:rsid w:val="00614796"/>
    <w:rsid w:val="006156CD"/>
    <w:rsid w:val="00616C07"/>
    <w:rsid w:val="00621FFC"/>
    <w:rsid w:val="0062223E"/>
    <w:rsid w:val="006227E0"/>
    <w:rsid w:val="006238A3"/>
    <w:rsid w:val="00623ABB"/>
    <w:rsid w:val="006328D4"/>
    <w:rsid w:val="0063395F"/>
    <w:rsid w:val="00633DA8"/>
    <w:rsid w:val="00634555"/>
    <w:rsid w:val="006353BF"/>
    <w:rsid w:val="00635703"/>
    <w:rsid w:val="00635FC4"/>
    <w:rsid w:val="0063667B"/>
    <w:rsid w:val="00640225"/>
    <w:rsid w:val="0064035D"/>
    <w:rsid w:val="006425CA"/>
    <w:rsid w:val="006426E7"/>
    <w:rsid w:val="00642B14"/>
    <w:rsid w:val="0064366D"/>
    <w:rsid w:val="006440AB"/>
    <w:rsid w:val="00644953"/>
    <w:rsid w:val="00644A21"/>
    <w:rsid w:val="00645C61"/>
    <w:rsid w:val="00647AE3"/>
    <w:rsid w:val="00650E61"/>
    <w:rsid w:val="0065253D"/>
    <w:rsid w:val="00656B8F"/>
    <w:rsid w:val="00656F82"/>
    <w:rsid w:val="00660E3A"/>
    <w:rsid w:val="00661A92"/>
    <w:rsid w:val="00662077"/>
    <w:rsid w:val="00663C6C"/>
    <w:rsid w:val="00665CC0"/>
    <w:rsid w:val="00666BEA"/>
    <w:rsid w:val="0067020F"/>
    <w:rsid w:val="006702E7"/>
    <w:rsid w:val="00671E3F"/>
    <w:rsid w:val="00672235"/>
    <w:rsid w:val="00673056"/>
    <w:rsid w:val="00673104"/>
    <w:rsid w:val="006756B5"/>
    <w:rsid w:val="006776C2"/>
    <w:rsid w:val="00681750"/>
    <w:rsid w:val="00681B9E"/>
    <w:rsid w:val="00681E98"/>
    <w:rsid w:val="00683C80"/>
    <w:rsid w:val="00690458"/>
    <w:rsid w:val="00690505"/>
    <w:rsid w:val="00690C0B"/>
    <w:rsid w:val="00690FC3"/>
    <w:rsid w:val="006A151D"/>
    <w:rsid w:val="006A1F11"/>
    <w:rsid w:val="006A6918"/>
    <w:rsid w:val="006B02FF"/>
    <w:rsid w:val="006B35E8"/>
    <w:rsid w:val="006B3975"/>
    <w:rsid w:val="006B55C5"/>
    <w:rsid w:val="006B5669"/>
    <w:rsid w:val="006B6070"/>
    <w:rsid w:val="006B7588"/>
    <w:rsid w:val="006B7AF2"/>
    <w:rsid w:val="006C178D"/>
    <w:rsid w:val="006C26B3"/>
    <w:rsid w:val="006C3629"/>
    <w:rsid w:val="006C3AC9"/>
    <w:rsid w:val="006C43A2"/>
    <w:rsid w:val="006C5F9E"/>
    <w:rsid w:val="006C6271"/>
    <w:rsid w:val="006C68A1"/>
    <w:rsid w:val="006C6C95"/>
    <w:rsid w:val="006C763E"/>
    <w:rsid w:val="006D3D53"/>
    <w:rsid w:val="006D41C3"/>
    <w:rsid w:val="006D5BFE"/>
    <w:rsid w:val="006D5EC1"/>
    <w:rsid w:val="006E019A"/>
    <w:rsid w:val="006E3AB8"/>
    <w:rsid w:val="006E3AFA"/>
    <w:rsid w:val="006E40DA"/>
    <w:rsid w:val="006E413B"/>
    <w:rsid w:val="006E441B"/>
    <w:rsid w:val="006E44D0"/>
    <w:rsid w:val="006E5FFE"/>
    <w:rsid w:val="006E6FCA"/>
    <w:rsid w:val="006E7EED"/>
    <w:rsid w:val="006F2B69"/>
    <w:rsid w:val="006F62C4"/>
    <w:rsid w:val="006F687A"/>
    <w:rsid w:val="0070194A"/>
    <w:rsid w:val="007039EE"/>
    <w:rsid w:val="00703AB8"/>
    <w:rsid w:val="007059A7"/>
    <w:rsid w:val="00706C48"/>
    <w:rsid w:val="00710CB1"/>
    <w:rsid w:val="00711B31"/>
    <w:rsid w:val="00711FAB"/>
    <w:rsid w:val="00712D9C"/>
    <w:rsid w:val="007138E7"/>
    <w:rsid w:val="00715AEE"/>
    <w:rsid w:val="00717CA9"/>
    <w:rsid w:val="0072272E"/>
    <w:rsid w:val="00724D9D"/>
    <w:rsid w:val="0072787E"/>
    <w:rsid w:val="00727AFB"/>
    <w:rsid w:val="00727FE4"/>
    <w:rsid w:val="00731469"/>
    <w:rsid w:val="007323DD"/>
    <w:rsid w:val="007343F0"/>
    <w:rsid w:val="00734878"/>
    <w:rsid w:val="00734D12"/>
    <w:rsid w:val="007353C9"/>
    <w:rsid w:val="00735498"/>
    <w:rsid w:val="0073656A"/>
    <w:rsid w:val="00737B0E"/>
    <w:rsid w:val="00743BFE"/>
    <w:rsid w:val="00744E2E"/>
    <w:rsid w:val="007473BB"/>
    <w:rsid w:val="007535C4"/>
    <w:rsid w:val="00753C77"/>
    <w:rsid w:val="00754522"/>
    <w:rsid w:val="00760C41"/>
    <w:rsid w:val="00761B64"/>
    <w:rsid w:val="0076367F"/>
    <w:rsid w:val="00764B9A"/>
    <w:rsid w:val="00765490"/>
    <w:rsid w:val="0077111F"/>
    <w:rsid w:val="00773FE4"/>
    <w:rsid w:val="00781046"/>
    <w:rsid w:val="00783C56"/>
    <w:rsid w:val="0078410D"/>
    <w:rsid w:val="00791AF4"/>
    <w:rsid w:val="007926D0"/>
    <w:rsid w:val="007948CF"/>
    <w:rsid w:val="00794D28"/>
    <w:rsid w:val="007976F5"/>
    <w:rsid w:val="00797EDD"/>
    <w:rsid w:val="007A45A5"/>
    <w:rsid w:val="007A57DF"/>
    <w:rsid w:val="007A5E0C"/>
    <w:rsid w:val="007B0C03"/>
    <w:rsid w:val="007B331A"/>
    <w:rsid w:val="007B40D9"/>
    <w:rsid w:val="007B43B9"/>
    <w:rsid w:val="007B6195"/>
    <w:rsid w:val="007B7D61"/>
    <w:rsid w:val="007C0447"/>
    <w:rsid w:val="007C07C2"/>
    <w:rsid w:val="007C0944"/>
    <w:rsid w:val="007C2647"/>
    <w:rsid w:val="007C2A8D"/>
    <w:rsid w:val="007C2F35"/>
    <w:rsid w:val="007C4D01"/>
    <w:rsid w:val="007C4E34"/>
    <w:rsid w:val="007C60DB"/>
    <w:rsid w:val="007C70DB"/>
    <w:rsid w:val="007D1087"/>
    <w:rsid w:val="007D1174"/>
    <w:rsid w:val="007D1DEA"/>
    <w:rsid w:val="007D41EB"/>
    <w:rsid w:val="007D685C"/>
    <w:rsid w:val="007D6F71"/>
    <w:rsid w:val="007E0A0C"/>
    <w:rsid w:val="007E0D93"/>
    <w:rsid w:val="007E1DCE"/>
    <w:rsid w:val="007E1FA6"/>
    <w:rsid w:val="007E324B"/>
    <w:rsid w:val="007E4D0B"/>
    <w:rsid w:val="007E520E"/>
    <w:rsid w:val="007E7DD1"/>
    <w:rsid w:val="007F0DBF"/>
    <w:rsid w:val="007F4FC9"/>
    <w:rsid w:val="00800B2C"/>
    <w:rsid w:val="00801078"/>
    <w:rsid w:val="00803808"/>
    <w:rsid w:val="008048EC"/>
    <w:rsid w:val="008051A5"/>
    <w:rsid w:val="0080694C"/>
    <w:rsid w:val="00807891"/>
    <w:rsid w:val="00811153"/>
    <w:rsid w:val="00811DAD"/>
    <w:rsid w:val="00811DB3"/>
    <w:rsid w:val="0081360F"/>
    <w:rsid w:val="00813680"/>
    <w:rsid w:val="00814F73"/>
    <w:rsid w:val="008157AD"/>
    <w:rsid w:val="008169F6"/>
    <w:rsid w:val="00816BAF"/>
    <w:rsid w:val="00817714"/>
    <w:rsid w:val="00821032"/>
    <w:rsid w:val="008227D9"/>
    <w:rsid w:val="0082403E"/>
    <w:rsid w:val="008269E9"/>
    <w:rsid w:val="00827EF7"/>
    <w:rsid w:val="008317B0"/>
    <w:rsid w:val="0083327E"/>
    <w:rsid w:val="00834AA2"/>
    <w:rsid w:val="0083507A"/>
    <w:rsid w:val="0083558B"/>
    <w:rsid w:val="00836B0A"/>
    <w:rsid w:val="008414AA"/>
    <w:rsid w:val="00844890"/>
    <w:rsid w:val="00847C71"/>
    <w:rsid w:val="008511D3"/>
    <w:rsid w:val="00855337"/>
    <w:rsid w:val="0085637B"/>
    <w:rsid w:val="00860A65"/>
    <w:rsid w:val="00860DA1"/>
    <w:rsid w:val="00862C0D"/>
    <w:rsid w:val="00866738"/>
    <w:rsid w:val="008667D6"/>
    <w:rsid w:val="008703A0"/>
    <w:rsid w:val="0087092F"/>
    <w:rsid w:val="00873477"/>
    <w:rsid w:val="0087429E"/>
    <w:rsid w:val="00875E12"/>
    <w:rsid w:val="00877607"/>
    <w:rsid w:val="00880772"/>
    <w:rsid w:val="00881EB6"/>
    <w:rsid w:val="00882FA2"/>
    <w:rsid w:val="00884F8A"/>
    <w:rsid w:val="00885B16"/>
    <w:rsid w:val="00885B8D"/>
    <w:rsid w:val="00887AA1"/>
    <w:rsid w:val="00891F60"/>
    <w:rsid w:val="00897743"/>
    <w:rsid w:val="008A05ED"/>
    <w:rsid w:val="008A29AF"/>
    <w:rsid w:val="008A3186"/>
    <w:rsid w:val="008A3931"/>
    <w:rsid w:val="008A3D64"/>
    <w:rsid w:val="008A51BB"/>
    <w:rsid w:val="008A5D2F"/>
    <w:rsid w:val="008A70CD"/>
    <w:rsid w:val="008B0257"/>
    <w:rsid w:val="008B1DBA"/>
    <w:rsid w:val="008B2068"/>
    <w:rsid w:val="008B2587"/>
    <w:rsid w:val="008B2676"/>
    <w:rsid w:val="008B3B6B"/>
    <w:rsid w:val="008B5563"/>
    <w:rsid w:val="008C0062"/>
    <w:rsid w:val="008C4002"/>
    <w:rsid w:val="008C43B0"/>
    <w:rsid w:val="008D041B"/>
    <w:rsid w:val="008D2E62"/>
    <w:rsid w:val="008D4039"/>
    <w:rsid w:val="008D4790"/>
    <w:rsid w:val="008E19A5"/>
    <w:rsid w:val="008E2114"/>
    <w:rsid w:val="008E3355"/>
    <w:rsid w:val="008E47DE"/>
    <w:rsid w:val="008F0220"/>
    <w:rsid w:val="008F12F9"/>
    <w:rsid w:val="008F2F73"/>
    <w:rsid w:val="008F3FC5"/>
    <w:rsid w:val="008F509B"/>
    <w:rsid w:val="008F5B4F"/>
    <w:rsid w:val="008F681F"/>
    <w:rsid w:val="00901D6D"/>
    <w:rsid w:val="00902B84"/>
    <w:rsid w:val="00907023"/>
    <w:rsid w:val="00907242"/>
    <w:rsid w:val="00915134"/>
    <w:rsid w:val="009152B9"/>
    <w:rsid w:val="00917264"/>
    <w:rsid w:val="00917F92"/>
    <w:rsid w:val="0092080E"/>
    <w:rsid w:val="00921D43"/>
    <w:rsid w:val="009238D7"/>
    <w:rsid w:val="00924D99"/>
    <w:rsid w:val="00924EFD"/>
    <w:rsid w:val="009266B5"/>
    <w:rsid w:val="009266CF"/>
    <w:rsid w:val="00926DE5"/>
    <w:rsid w:val="00927ED0"/>
    <w:rsid w:val="00927F0D"/>
    <w:rsid w:val="00931025"/>
    <w:rsid w:val="00932679"/>
    <w:rsid w:val="009338C3"/>
    <w:rsid w:val="00935627"/>
    <w:rsid w:val="0093575A"/>
    <w:rsid w:val="00935CDF"/>
    <w:rsid w:val="00943BBA"/>
    <w:rsid w:val="00945263"/>
    <w:rsid w:val="0095282B"/>
    <w:rsid w:val="00952D5D"/>
    <w:rsid w:val="00953EB2"/>
    <w:rsid w:val="0095527E"/>
    <w:rsid w:val="009607F0"/>
    <w:rsid w:val="00962693"/>
    <w:rsid w:val="00963D5B"/>
    <w:rsid w:val="009643AD"/>
    <w:rsid w:val="0096530F"/>
    <w:rsid w:val="00965CAF"/>
    <w:rsid w:val="00970143"/>
    <w:rsid w:val="009725A9"/>
    <w:rsid w:val="00975A50"/>
    <w:rsid w:val="00975DAC"/>
    <w:rsid w:val="00977EE6"/>
    <w:rsid w:val="00981DCF"/>
    <w:rsid w:val="00982CB0"/>
    <w:rsid w:val="0098467A"/>
    <w:rsid w:val="009847AF"/>
    <w:rsid w:val="009877D1"/>
    <w:rsid w:val="00991596"/>
    <w:rsid w:val="00991F62"/>
    <w:rsid w:val="00993247"/>
    <w:rsid w:val="00993383"/>
    <w:rsid w:val="00993EAF"/>
    <w:rsid w:val="0099414C"/>
    <w:rsid w:val="00995D2A"/>
    <w:rsid w:val="00996ED7"/>
    <w:rsid w:val="00997187"/>
    <w:rsid w:val="00997AFB"/>
    <w:rsid w:val="00997B9D"/>
    <w:rsid w:val="00997EC4"/>
    <w:rsid w:val="009A04E6"/>
    <w:rsid w:val="009A04F8"/>
    <w:rsid w:val="009A0BAF"/>
    <w:rsid w:val="009A34A6"/>
    <w:rsid w:val="009A378D"/>
    <w:rsid w:val="009A40AE"/>
    <w:rsid w:val="009A497C"/>
    <w:rsid w:val="009A694F"/>
    <w:rsid w:val="009A704E"/>
    <w:rsid w:val="009B10A3"/>
    <w:rsid w:val="009B1224"/>
    <w:rsid w:val="009B217F"/>
    <w:rsid w:val="009B25AF"/>
    <w:rsid w:val="009B5C35"/>
    <w:rsid w:val="009B6234"/>
    <w:rsid w:val="009C2103"/>
    <w:rsid w:val="009C72E9"/>
    <w:rsid w:val="009D421A"/>
    <w:rsid w:val="009D6CF1"/>
    <w:rsid w:val="009D7BA0"/>
    <w:rsid w:val="009D7BA5"/>
    <w:rsid w:val="009E04CA"/>
    <w:rsid w:val="009E198A"/>
    <w:rsid w:val="009E6DB5"/>
    <w:rsid w:val="009F2BA0"/>
    <w:rsid w:val="009F4B8A"/>
    <w:rsid w:val="009F4E5C"/>
    <w:rsid w:val="009F53B4"/>
    <w:rsid w:val="009F6B5A"/>
    <w:rsid w:val="009F6E4A"/>
    <w:rsid w:val="009F7109"/>
    <w:rsid w:val="009F7A36"/>
    <w:rsid w:val="009F7E7C"/>
    <w:rsid w:val="00A006A6"/>
    <w:rsid w:val="00A0085F"/>
    <w:rsid w:val="00A01C2A"/>
    <w:rsid w:val="00A01F1A"/>
    <w:rsid w:val="00A02F26"/>
    <w:rsid w:val="00A036F8"/>
    <w:rsid w:val="00A03E58"/>
    <w:rsid w:val="00A0449E"/>
    <w:rsid w:val="00A0671A"/>
    <w:rsid w:val="00A07142"/>
    <w:rsid w:val="00A077E1"/>
    <w:rsid w:val="00A10A5B"/>
    <w:rsid w:val="00A11846"/>
    <w:rsid w:val="00A13E92"/>
    <w:rsid w:val="00A15845"/>
    <w:rsid w:val="00A22B7E"/>
    <w:rsid w:val="00A2335A"/>
    <w:rsid w:val="00A24C90"/>
    <w:rsid w:val="00A267F3"/>
    <w:rsid w:val="00A27278"/>
    <w:rsid w:val="00A30AF4"/>
    <w:rsid w:val="00A30B31"/>
    <w:rsid w:val="00A3135D"/>
    <w:rsid w:val="00A31858"/>
    <w:rsid w:val="00A332B7"/>
    <w:rsid w:val="00A36129"/>
    <w:rsid w:val="00A4357E"/>
    <w:rsid w:val="00A436EA"/>
    <w:rsid w:val="00A43EB6"/>
    <w:rsid w:val="00A441A1"/>
    <w:rsid w:val="00A4506C"/>
    <w:rsid w:val="00A453D6"/>
    <w:rsid w:val="00A456E2"/>
    <w:rsid w:val="00A45DD0"/>
    <w:rsid w:val="00A50956"/>
    <w:rsid w:val="00A50D44"/>
    <w:rsid w:val="00A619BC"/>
    <w:rsid w:val="00A63F11"/>
    <w:rsid w:val="00A65211"/>
    <w:rsid w:val="00A7305F"/>
    <w:rsid w:val="00A73ACD"/>
    <w:rsid w:val="00A74BAB"/>
    <w:rsid w:val="00A80596"/>
    <w:rsid w:val="00A816AC"/>
    <w:rsid w:val="00A82F5D"/>
    <w:rsid w:val="00A84B57"/>
    <w:rsid w:val="00A863CE"/>
    <w:rsid w:val="00A877FA"/>
    <w:rsid w:val="00A879E7"/>
    <w:rsid w:val="00A925FE"/>
    <w:rsid w:val="00A92C00"/>
    <w:rsid w:val="00A94F88"/>
    <w:rsid w:val="00A977CD"/>
    <w:rsid w:val="00AA1A70"/>
    <w:rsid w:val="00AA394D"/>
    <w:rsid w:val="00AA662B"/>
    <w:rsid w:val="00AB2D42"/>
    <w:rsid w:val="00AB6F18"/>
    <w:rsid w:val="00AC073E"/>
    <w:rsid w:val="00AC3192"/>
    <w:rsid w:val="00AC4AA0"/>
    <w:rsid w:val="00AC4B31"/>
    <w:rsid w:val="00AC78A6"/>
    <w:rsid w:val="00AC7AB9"/>
    <w:rsid w:val="00AD0962"/>
    <w:rsid w:val="00AD0E8D"/>
    <w:rsid w:val="00AD28C8"/>
    <w:rsid w:val="00AD2C7C"/>
    <w:rsid w:val="00AD56C6"/>
    <w:rsid w:val="00AD63FF"/>
    <w:rsid w:val="00AD73D0"/>
    <w:rsid w:val="00AE0139"/>
    <w:rsid w:val="00AE044E"/>
    <w:rsid w:val="00AE37EF"/>
    <w:rsid w:val="00AE50AD"/>
    <w:rsid w:val="00AF5545"/>
    <w:rsid w:val="00AF7B69"/>
    <w:rsid w:val="00B01289"/>
    <w:rsid w:val="00B01CED"/>
    <w:rsid w:val="00B01ED9"/>
    <w:rsid w:val="00B02865"/>
    <w:rsid w:val="00B03DC3"/>
    <w:rsid w:val="00B041CF"/>
    <w:rsid w:val="00B0458E"/>
    <w:rsid w:val="00B0753A"/>
    <w:rsid w:val="00B11DEA"/>
    <w:rsid w:val="00B12DE3"/>
    <w:rsid w:val="00B13836"/>
    <w:rsid w:val="00B1497F"/>
    <w:rsid w:val="00B14BFE"/>
    <w:rsid w:val="00B15700"/>
    <w:rsid w:val="00B15A72"/>
    <w:rsid w:val="00B166D9"/>
    <w:rsid w:val="00B17875"/>
    <w:rsid w:val="00B20889"/>
    <w:rsid w:val="00B20FD6"/>
    <w:rsid w:val="00B21720"/>
    <w:rsid w:val="00B22333"/>
    <w:rsid w:val="00B22D40"/>
    <w:rsid w:val="00B26939"/>
    <w:rsid w:val="00B33D70"/>
    <w:rsid w:val="00B379A4"/>
    <w:rsid w:val="00B41268"/>
    <w:rsid w:val="00B4138B"/>
    <w:rsid w:val="00B421AC"/>
    <w:rsid w:val="00B423B4"/>
    <w:rsid w:val="00B4316B"/>
    <w:rsid w:val="00B4354A"/>
    <w:rsid w:val="00B43DF3"/>
    <w:rsid w:val="00B44080"/>
    <w:rsid w:val="00B452B1"/>
    <w:rsid w:val="00B457F6"/>
    <w:rsid w:val="00B45AA5"/>
    <w:rsid w:val="00B45F61"/>
    <w:rsid w:val="00B461B7"/>
    <w:rsid w:val="00B474AB"/>
    <w:rsid w:val="00B47C44"/>
    <w:rsid w:val="00B512CC"/>
    <w:rsid w:val="00B5398B"/>
    <w:rsid w:val="00B55F44"/>
    <w:rsid w:val="00B5657E"/>
    <w:rsid w:val="00B56E27"/>
    <w:rsid w:val="00B57119"/>
    <w:rsid w:val="00B6071F"/>
    <w:rsid w:val="00B63406"/>
    <w:rsid w:val="00B636DF"/>
    <w:rsid w:val="00B643FF"/>
    <w:rsid w:val="00B6557B"/>
    <w:rsid w:val="00B66E85"/>
    <w:rsid w:val="00B675FD"/>
    <w:rsid w:val="00B67635"/>
    <w:rsid w:val="00B70A60"/>
    <w:rsid w:val="00B7115C"/>
    <w:rsid w:val="00B7159F"/>
    <w:rsid w:val="00B71ED7"/>
    <w:rsid w:val="00B72C62"/>
    <w:rsid w:val="00B72E01"/>
    <w:rsid w:val="00B749ED"/>
    <w:rsid w:val="00B752A0"/>
    <w:rsid w:val="00B763D3"/>
    <w:rsid w:val="00B77119"/>
    <w:rsid w:val="00B77CEE"/>
    <w:rsid w:val="00B77ED2"/>
    <w:rsid w:val="00B823AA"/>
    <w:rsid w:val="00B82581"/>
    <w:rsid w:val="00B86D18"/>
    <w:rsid w:val="00B9068E"/>
    <w:rsid w:val="00B93310"/>
    <w:rsid w:val="00B95B73"/>
    <w:rsid w:val="00B970C8"/>
    <w:rsid w:val="00BA02DF"/>
    <w:rsid w:val="00BA06F2"/>
    <w:rsid w:val="00BA0FB9"/>
    <w:rsid w:val="00BA1F27"/>
    <w:rsid w:val="00BA2F30"/>
    <w:rsid w:val="00BA39A6"/>
    <w:rsid w:val="00BA6F25"/>
    <w:rsid w:val="00BA793A"/>
    <w:rsid w:val="00BB040D"/>
    <w:rsid w:val="00BB0B8D"/>
    <w:rsid w:val="00BB15A0"/>
    <w:rsid w:val="00BB3354"/>
    <w:rsid w:val="00BB3A75"/>
    <w:rsid w:val="00BB4F35"/>
    <w:rsid w:val="00BB5019"/>
    <w:rsid w:val="00BB5572"/>
    <w:rsid w:val="00BC15B4"/>
    <w:rsid w:val="00BC44F1"/>
    <w:rsid w:val="00BC5449"/>
    <w:rsid w:val="00BC6187"/>
    <w:rsid w:val="00BC6D11"/>
    <w:rsid w:val="00BD11FF"/>
    <w:rsid w:val="00BD2C11"/>
    <w:rsid w:val="00BD3E7D"/>
    <w:rsid w:val="00BD61BB"/>
    <w:rsid w:val="00BD6773"/>
    <w:rsid w:val="00BD6DF0"/>
    <w:rsid w:val="00BD7F84"/>
    <w:rsid w:val="00BE3279"/>
    <w:rsid w:val="00BE38D6"/>
    <w:rsid w:val="00BE4E95"/>
    <w:rsid w:val="00BE4F07"/>
    <w:rsid w:val="00BE6F4B"/>
    <w:rsid w:val="00BF1BAF"/>
    <w:rsid w:val="00BF2BFA"/>
    <w:rsid w:val="00BF3F15"/>
    <w:rsid w:val="00BF4209"/>
    <w:rsid w:val="00BF5559"/>
    <w:rsid w:val="00BF7047"/>
    <w:rsid w:val="00BF7C69"/>
    <w:rsid w:val="00C03C24"/>
    <w:rsid w:val="00C04257"/>
    <w:rsid w:val="00C06D14"/>
    <w:rsid w:val="00C076AB"/>
    <w:rsid w:val="00C101D4"/>
    <w:rsid w:val="00C1047A"/>
    <w:rsid w:val="00C10604"/>
    <w:rsid w:val="00C11CB4"/>
    <w:rsid w:val="00C124E4"/>
    <w:rsid w:val="00C12DD1"/>
    <w:rsid w:val="00C14003"/>
    <w:rsid w:val="00C169C6"/>
    <w:rsid w:val="00C20606"/>
    <w:rsid w:val="00C206E4"/>
    <w:rsid w:val="00C222CB"/>
    <w:rsid w:val="00C256EF"/>
    <w:rsid w:val="00C31471"/>
    <w:rsid w:val="00C32493"/>
    <w:rsid w:val="00C3522B"/>
    <w:rsid w:val="00C36751"/>
    <w:rsid w:val="00C37B75"/>
    <w:rsid w:val="00C4197D"/>
    <w:rsid w:val="00C4228B"/>
    <w:rsid w:val="00C43F3E"/>
    <w:rsid w:val="00C50727"/>
    <w:rsid w:val="00C531EE"/>
    <w:rsid w:val="00C537C7"/>
    <w:rsid w:val="00C5445D"/>
    <w:rsid w:val="00C57223"/>
    <w:rsid w:val="00C60DB5"/>
    <w:rsid w:val="00C62701"/>
    <w:rsid w:val="00C6479D"/>
    <w:rsid w:val="00C662B4"/>
    <w:rsid w:val="00C665B7"/>
    <w:rsid w:val="00C66EA5"/>
    <w:rsid w:val="00C72216"/>
    <w:rsid w:val="00C723C7"/>
    <w:rsid w:val="00C74450"/>
    <w:rsid w:val="00C74EBA"/>
    <w:rsid w:val="00C7578D"/>
    <w:rsid w:val="00C7589E"/>
    <w:rsid w:val="00C843F8"/>
    <w:rsid w:val="00C851B0"/>
    <w:rsid w:val="00C9258E"/>
    <w:rsid w:val="00C925B9"/>
    <w:rsid w:val="00C94C59"/>
    <w:rsid w:val="00C97BAD"/>
    <w:rsid w:val="00CA0C44"/>
    <w:rsid w:val="00CA18D2"/>
    <w:rsid w:val="00CA31C3"/>
    <w:rsid w:val="00CA33C4"/>
    <w:rsid w:val="00CA4A6F"/>
    <w:rsid w:val="00CA69C7"/>
    <w:rsid w:val="00CA6F77"/>
    <w:rsid w:val="00CA7F00"/>
    <w:rsid w:val="00CB17EC"/>
    <w:rsid w:val="00CB1938"/>
    <w:rsid w:val="00CB4BCC"/>
    <w:rsid w:val="00CB5162"/>
    <w:rsid w:val="00CB53F1"/>
    <w:rsid w:val="00CB5CF2"/>
    <w:rsid w:val="00CC1712"/>
    <w:rsid w:val="00CC270A"/>
    <w:rsid w:val="00CC52C2"/>
    <w:rsid w:val="00CD1910"/>
    <w:rsid w:val="00CD1AA7"/>
    <w:rsid w:val="00CD2E25"/>
    <w:rsid w:val="00CD4363"/>
    <w:rsid w:val="00CD5176"/>
    <w:rsid w:val="00CD5FF6"/>
    <w:rsid w:val="00CE1B8D"/>
    <w:rsid w:val="00CE27B3"/>
    <w:rsid w:val="00CE3AB5"/>
    <w:rsid w:val="00CE5A0D"/>
    <w:rsid w:val="00CE72F1"/>
    <w:rsid w:val="00CF0B27"/>
    <w:rsid w:val="00CF1113"/>
    <w:rsid w:val="00CF137A"/>
    <w:rsid w:val="00CF3141"/>
    <w:rsid w:val="00CF4951"/>
    <w:rsid w:val="00CF6F95"/>
    <w:rsid w:val="00D0041B"/>
    <w:rsid w:val="00D00BE8"/>
    <w:rsid w:val="00D00D6E"/>
    <w:rsid w:val="00D01CCF"/>
    <w:rsid w:val="00D030F5"/>
    <w:rsid w:val="00D032B8"/>
    <w:rsid w:val="00D045AF"/>
    <w:rsid w:val="00D05647"/>
    <w:rsid w:val="00D0610E"/>
    <w:rsid w:val="00D070F5"/>
    <w:rsid w:val="00D075A4"/>
    <w:rsid w:val="00D112EB"/>
    <w:rsid w:val="00D12599"/>
    <w:rsid w:val="00D14319"/>
    <w:rsid w:val="00D15329"/>
    <w:rsid w:val="00D163E3"/>
    <w:rsid w:val="00D16885"/>
    <w:rsid w:val="00D2019A"/>
    <w:rsid w:val="00D21FDC"/>
    <w:rsid w:val="00D22AEA"/>
    <w:rsid w:val="00D25085"/>
    <w:rsid w:val="00D25253"/>
    <w:rsid w:val="00D25DA4"/>
    <w:rsid w:val="00D26763"/>
    <w:rsid w:val="00D27AA3"/>
    <w:rsid w:val="00D32AE6"/>
    <w:rsid w:val="00D3587B"/>
    <w:rsid w:val="00D362C9"/>
    <w:rsid w:val="00D4024E"/>
    <w:rsid w:val="00D4136E"/>
    <w:rsid w:val="00D43992"/>
    <w:rsid w:val="00D44CC7"/>
    <w:rsid w:val="00D467B9"/>
    <w:rsid w:val="00D53E2B"/>
    <w:rsid w:val="00D545D6"/>
    <w:rsid w:val="00D55049"/>
    <w:rsid w:val="00D5588C"/>
    <w:rsid w:val="00D56EFF"/>
    <w:rsid w:val="00D61097"/>
    <w:rsid w:val="00D61BAF"/>
    <w:rsid w:val="00D6669A"/>
    <w:rsid w:val="00D73A30"/>
    <w:rsid w:val="00D74E7F"/>
    <w:rsid w:val="00D7561F"/>
    <w:rsid w:val="00D761B6"/>
    <w:rsid w:val="00D82204"/>
    <w:rsid w:val="00D82974"/>
    <w:rsid w:val="00D83701"/>
    <w:rsid w:val="00D84B88"/>
    <w:rsid w:val="00D874CD"/>
    <w:rsid w:val="00D90CE6"/>
    <w:rsid w:val="00D91688"/>
    <w:rsid w:val="00D92694"/>
    <w:rsid w:val="00D93279"/>
    <w:rsid w:val="00D93876"/>
    <w:rsid w:val="00D93BFA"/>
    <w:rsid w:val="00D94AF4"/>
    <w:rsid w:val="00D96B2F"/>
    <w:rsid w:val="00D97A87"/>
    <w:rsid w:val="00DA0861"/>
    <w:rsid w:val="00DA233E"/>
    <w:rsid w:val="00DA2863"/>
    <w:rsid w:val="00DA2C43"/>
    <w:rsid w:val="00DA437E"/>
    <w:rsid w:val="00DA6C13"/>
    <w:rsid w:val="00DB2921"/>
    <w:rsid w:val="00DB3A41"/>
    <w:rsid w:val="00DC0BD4"/>
    <w:rsid w:val="00DC0D78"/>
    <w:rsid w:val="00DC1C4E"/>
    <w:rsid w:val="00DC35F4"/>
    <w:rsid w:val="00DC3ED7"/>
    <w:rsid w:val="00DC409D"/>
    <w:rsid w:val="00DC6B0B"/>
    <w:rsid w:val="00DC7ABF"/>
    <w:rsid w:val="00DD06E9"/>
    <w:rsid w:val="00DD0FC6"/>
    <w:rsid w:val="00DD137F"/>
    <w:rsid w:val="00DD1E4B"/>
    <w:rsid w:val="00DD2AB2"/>
    <w:rsid w:val="00DD46C9"/>
    <w:rsid w:val="00DD5E21"/>
    <w:rsid w:val="00DD5EAD"/>
    <w:rsid w:val="00DD7215"/>
    <w:rsid w:val="00DD78FE"/>
    <w:rsid w:val="00DE1A7D"/>
    <w:rsid w:val="00DE2A2E"/>
    <w:rsid w:val="00DE4263"/>
    <w:rsid w:val="00DE5009"/>
    <w:rsid w:val="00DE650E"/>
    <w:rsid w:val="00DE7240"/>
    <w:rsid w:val="00DE7346"/>
    <w:rsid w:val="00DF1135"/>
    <w:rsid w:val="00DF22F6"/>
    <w:rsid w:val="00DF2E25"/>
    <w:rsid w:val="00DF30B9"/>
    <w:rsid w:val="00DF6566"/>
    <w:rsid w:val="00E017BB"/>
    <w:rsid w:val="00E029D3"/>
    <w:rsid w:val="00E06368"/>
    <w:rsid w:val="00E068BB"/>
    <w:rsid w:val="00E1228D"/>
    <w:rsid w:val="00E1276C"/>
    <w:rsid w:val="00E13487"/>
    <w:rsid w:val="00E17BB6"/>
    <w:rsid w:val="00E22A58"/>
    <w:rsid w:val="00E2357F"/>
    <w:rsid w:val="00E242D8"/>
    <w:rsid w:val="00E24511"/>
    <w:rsid w:val="00E258F1"/>
    <w:rsid w:val="00E266C8"/>
    <w:rsid w:val="00E3066B"/>
    <w:rsid w:val="00E3093D"/>
    <w:rsid w:val="00E3179F"/>
    <w:rsid w:val="00E32D29"/>
    <w:rsid w:val="00E32E09"/>
    <w:rsid w:val="00E370D2"/>
    <w:rsid w:val="00E372BD"/>
    <w:rsid w:val="00E374DF"/>
    <w:rsid w:val="00E37F53"/>
    <w:rsid w:val="00E40788"/>
    <w:rsid w:val="00E40A24"/>
    <w:rsid w:val="00E44C53"/>
    <w:rsid w:val="00E534C0"/>
    <w:rsid w:val="00E53BD5"/>
    <w:rsid w:val="00E53F5C"/>
    <w:rsid w:val="00E54C56"/>
    <w:rsid w:val="00E54C5F"/>
    <w:rsid w:val="00E54EEA"/>
    <w:rsid w:val="00E60EB0"/>
    <w:rsid w:val="00E61E41"/>
    <w:rsid w:val="00E61E7C"/>
    <w:rsid w:val="00E634DC"/>
    <w:rsid w:val="00E63C3C"/>
    <w:rsid w:val="00E648E7"/>
    <w:rsid w:val="00E65B0A"/>
    <w:rsid w:val="00E6632B"/>
    <w:rsid w:val="00E677EF"/>
    <w:rsid w:val="00E67EED"/>
    <w:rsid w:val="00E72C81"/>
    <w:rsid w:val="00E739D1"/>
    <w:rsid w:val="00E73E8D"/>
    <w:rsid w:val="00E7548B"/>
    <w:rsid w:val="00E80252"/>
    <w:rsid w:val="00E83E01"/>
    <w:rsid w:val="00E84A93"/>
    <w:rsid w:val="00E86B01"/>
    <w:rsid w:val="00E91032"/>
    <w:rsid w:val="00E92CD9"/>
    <w:rsid w:val="00E942B8"/>
    <w:rsid w:val="00E9488F"/>
    <w:rsid w:val="00E94C07"/>
    <w:rsid w:val="00E96311"/>
    <w:rsid w:val="00E9671F"/>
    <w:rsid w:val="00EA0FC2"/>
    <w:rsid w:val="00EA1858"/>
    <w:rsid w:val="00EA2870"/>
    <w:rsid w:val="00EA2B71"/>
    <w:rsid w:val="00EA521C"/>
    <w:rsid w:val="00EA5AE0"/>
    <w:rsid w:val="00EA6BBE"/>
    <w:rsid w:val="00EB0977"/>
    <w:rsid w:val="00EB21F1"/>
    <w:rsid w:val="00EB4353"/>
    <w:rsid w:val="00EB5F3B"/>
    <w:rsid w:val="00EB6709"/>
    <w:rsid w:val="00EB69A8"/>
    <w:rsid w:val="00EC1D76"/>
    <w:rsid w:val="00EC3B17"/>
    <w:rsid w:val="00EC4BBD"/>
    <w:rsid w:val="00EC5282"/>
    <w:rsid w:val="00ED146D"/>
    <w:rsid w:val="00ED2DAA"/>
    <w:rsid w:val="00ED4AE2"/>
    <w:rsid w:val="00ED4FD9"/>
    <w:rsid w:val="00ED6374"/>
    <w:rsid w:val="00ED6628"/>
    <w:rsid w:val="00EE0837"/>
    <w:rsid w:val="00EE0DA3"/>
    <w:rsid w:val="00EE0DD3"/>
    <w:rsid w:val="00EE179A"/>
    <w:rsid w:val="00EE2704"/>
    <w:rsid w:val="00EE40F2"/>
    <w:rsid w:val="00EE4D6E"/>
    <w:rsid w:val="00EE560D"/>
    <w:rsid w:val="00EF08ED"/>
    <w:rsid w:val="00EF0B2B"/>
    <w:rsid w:val="00EF1784"/>
    <w:rsid w:val="00EF5599"/>
    <w:rsid w:val="00EF75BF"/>
    <w:rsid w:val="00F02B4A"/>
    <w:rsid w:val="00F03882"/>
    <w:rsid w:val="00F06D9A"/>
    <w:rsid w:val="00F102E7"/>
    <w:rsid w:val="00F10FD2"/>
    <w:rsid w:val="00F12193"/>
    <w:rsid w:val="00F142FB"/>
    <w:rsid w:val="00F14725"/>
    <w:rsid w:val="00F15DC7"/>
    <w:rsid w:val="00F16319"/>
    <w:rsid w:val="00F163E3"/>
    <w:rsid w:val="00F16798"/>
    <w:rsid w:val="00F2281A"/>
    <w:rsid w:val="00F2527F"/>
    <w:rsid w:val="00F2640D"/>
    <w:rsid w:val="00F32487"/>
    <w:rsid w:val="00F35191"/>
    <w:rsid w:val="00F45E7A"/>
    <w:rsid w:val="00F46CE1"/>
    <w:rsid w:val="00F50CDC"/>
    <w:rsid w:val="00F550AA"/>
    <w:rsid w:val="00F55FCC"/>
    <w:rsid w:val="00F61973"/>
    <w:rsid w:val="00F62406"/>
    <w:rsid w:val="00F62C21"/>
    <w:rsid w:val="00F64361"/>
    <w:rsid w:val="00F666B5"/>
    <w:rsid w:val="00F66F16"/>
    <w:rsid w:val="00F67A76"/>
    <w:rsid w:val="00F67BF9"/>
    <w:rsid w:val="00F73E6F"/>
    <w:rsid w:val="00F7489F"/>
    <w:rsid w:val="00F74C3D"/>
    <w:rsid w:val="00F75B7B"/>
    <w:rsid w:val="00F76110"/>
    <w:rsid w:val="00F7759E"/>
    <w:rsid w:val="00F835CD"/>
    <w:rsid w:val="00F84C36"/>
    <w:rsid w:val="00F85421"/>
    <w:rsid w:val="00F85460"/>
    <w:rsid w:val="00F85613"/>
    <w:rsid w:val="00F85AC7"/>
    <w:rsid w:val="00F86B2F"/>
    <w:rsid w:val="00F86E81"/>
    <w:rsid w:val="00F870FE"/>
    <w:rsid w:val="00F87F4D"/>
    <w:rsid w:val="00F91156"/>
    <w:rsid w:val="00F921FC"/>
    <w:rsid w:val="00F92A2E"/>
    <w:rsid w:val="00F92D14"/>
    <w:rsid w:val="00F94272"/>
    <w:rsid w:val="00F97740"/>
    <w:rsid w:val="00FA3997"/>
    <w:rsid w:val="00FA42E2"/>
    <w:rsid w:val="00FA6928"/>
    <w:rsid w:val="00FA766E"/>
    <w:rsid w:val="00FB04A7"/>
    <w:rsid w:val="00FB0FDB"/>
    <w:rsid w:val="00FB166C"/>
    <w:rsid w:val="00FB21AE"/>
    <w:rsid w:val="00FB353A"/>
    <w:rsid w:val="00FB4CAE"/>
    <w:rsid w:val="00FB5E09"/>
    <w:rsid w:val="00FB6934"/>
    <w:rsid w:val="00FB726E"/>
    <w:rsid w:val="00FC1EE8"/>
    <w:rsid w:val="00FC2512"/>
    <w:rsid w:val="00FC321F"/>
    <w:rsid w:val="00FC3A92"/>
    <w:rsid w:val="00FC413A"/>
    <w:rsid w:val="00FC6706"/>
    <w:rsid w:val="00FC7356"/>
    <w:rsid w:val="00FC7A56"/>
    <w:rsid w:val="00FC7F10"/>
    <w:rsid w:val="00FD0271"/>
    <w:rsid w:val="00FD25A5"/>
    <w:rsid w:val="00FD5230"/>
    <w:rsid w:val="00FD53B7"/>
    <w:rsid w:val="00FD57B8"/>
    <w:rsid w:val="00FD6918"/>
    <w:rsid w:val="00FD7233"/>
    <w:rsid w:val="00FE2235"/>
    <w:rsid w:val="00FE2E3C"/>
    <w:rsid w:val="00FE30E6"/>
    <w:rsid w:val="00FE3BB3"/>
    <w:rsid w:val="00FE3E9F"/>
    <w:rsid w:val="00FE51C5"/>
    <w:rsid w:val="00FF00DF"/>
    <w:rsid w:val="00FF05FA"/>
    <w:rsid w:val="00FF2005"/>
    <w:rsid w:val="00FF215A"/>
    <w:rsid w:val="00FF303C"/>
    <w:rsid w:val="00FF32BB"/>
    <w:rsid w:val="00FF3AB6"/>
    <w:rsid w:val="00FF4128"/>
    <w:rsid w:val="00FF51CF"/>
    <w:rsid w:val="00FF6204"/>
    <w:rsid w:val="00FF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2E840"/>
  <w15:chartTrackingRefBased/>
  <w15:docId w15:val="{75A74E72-65AD-E24E-8EA1-B27E01C2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BCC"/>
  </w:style>
  <w:style w:type="paragraph" w:styleId="Heading1">
    <w:name w:val="heading 1"/>
    <w:basedOn w:val="Normal"/>
    <w:next w:val="Normal"/>
    <w:link w:val="Heading1Char"/>
    <w:uiPriority w:val="9"/>
    <w:qFormat/>
    <w:rsid w:val="00CB4B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4B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4B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4B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4B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4B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4B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4B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4B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4B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4B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4B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4B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4B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4B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4B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4B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4B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4B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4B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4B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4B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4B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4B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4B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4B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4B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4B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4BC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B4BCC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CB4BCC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3C30E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C30E4"/>
  </w:style>
  <w:style w:type="paragraph" w:styleId="EndnoteText">
    <w:name w:val="endnote text"/>
    <w:basedOn w:val="Normal"/>
    <w:link w:val="EndnoteTextChar"/>
    <w:uiPriority w:val="99"/>
    <w:semiHidden/>
    <w:unhideWhenUsed/>
    <w:rsid w:val="002B2A3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B2A3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B2A35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B05B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05B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B05BC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140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7A8"/>
  </w:style>
  <w:style w:type="character" w:styleId="PageNumber">
    <w:name w:val="page number"/>
    <w:basedOn w:val="DefaultParagraphFont"/>
    <w:uiPriority w:val="99"/>
    <w:semiHidden/>
    <w:unhideWhenUsed/>
    <w:rsid w:val="00320217"/>
  </w:style>
  <w:style w:type="paragraph" w:styleId="NormalWeb">
    <w:name w:val="Normal (Web)"/>
    <w:basedOn w:val="Normal"/>
    <w:uiPriority w:val="99"/>
    <w:unhideWhenUsed/>
    <w:rsid w:val="00320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071AF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1AF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B5EC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84A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84A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84A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4A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4A93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7D68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1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23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1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8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54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7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1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16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18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2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55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6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1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0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7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28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67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85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0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2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8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86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84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45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9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5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12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92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68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5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43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79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82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5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2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9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7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30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3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29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25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9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4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0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0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84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22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1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68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5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CCCA81-C7EB-4F0C-8EE5-619A10120E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477C81-B903-48BA-A05A-1FCB72C2D2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C6BBCC-19BD-4A0D-909C-3FA397B6CD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17D3291-C7D7-43B9-AD12-6BE4D2ECBF08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1592</Words>
  <Characters>9080</Characters>
  <Application>Microsoft Office Word</Application>
  <DocSecurity>4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C. Galarza (Prog y Calendario)</dc:creator>
  <cp:keywords/>
  <dc:description/>
  <cp:lastModifiedBy>Camyl Moreno Pantojas</cp:lastModifiedBy>
  <cp:revision>2</cp:revision>
  <cp:lastPrinted>2025-04-04T20:44:00Z</cp:lastPrinted>
  <dcterms:created xsi:type="dcterms:W3CDTF">2026-05-29T17:30:00Z</dcterms:created>
  <dcterms:modified xsi:type="dcterms:W3CDTF">2026-05-29T17:30:00Z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6ae9c013-38e4-4425-a8a2-5bdaee703ffb</vt:lpwstr>
  </property>
  <property fmtid="{D5CDD505-2E9C-101B-9397-08002B2CF9AE}" pid="3" name="MediaServiceImageTags">
    <vt:lpwstr/>
  </property>
  <property fmtid="{D5CDD505-2E9C-101B-9397-08002B2CF9AE}" pid="4" name="ContentTypeId">
    <vt:lpwstr>0x010100831C0761637D684EABBCE64BDDA1E45F</vt:lpwstr>
  </property>
</Properties>
</file>