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C" w14:textId="77777777" w:rsidR="007F61B2" w:rsidRPr="008B5572" w:rsidRDefault="007F61B2">
      <w:pPr>
        <w:rPr>
          <w:rFonts w:ascii="Book Antiqua" w:hAnsi="Book Antiqua"/>
          <w:b/>
          <w:sz w:val="36"/>
          <w:szCs w:val="36"/>
          <w:lang w:val="es-PR"/>
        </w:rPr>
      </w:pPr>
    </w:p>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8B5572" w:rsidRDefault="007F61B2">
      <w:pPr>
        <w:jc w:val="center"/>
        <w:rPr>
          <w:rFonts w:ascii="Book Antiqua" w:hAnsi="Book Antiqua"/>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 xml:space="preserve">20ma. Asamblea </w:t>
      </w:r>
      <w:r w:rsidRPr="008B5572">
        <w:rPr>
          <w:rFonts w:ascii="Book Antiqua" w:hAnsi="Book Antiqua"/>
          <w:lang w:val="es-PR"/>
        </w:rPr>
        <w:tab/>
      </w:r>
      <w:r w:rsidR="00F752B4">
        <w:rPr>
          <w:rFonts w:ascii="Book Antiqua" w:hAnsi="Book Antiqua"/>
          <w:lang w:val="es-PR"/>
        </w:rPr>
        <w:t>3r</w:t>
      </w:r>
      <w:r w:rsidRPr="008B5572">
        <w:rPr>
          <w:rFonts w:ascii="Book Antiqua" w:hAnsi="Book Antiqua"/>
          <w:lang w:val="es-PR"/>
        </w:rPr>
        <w:t>a. Sesión</w:t>
      </w:r>
    </w:p>
    <w:p w14:paraId="02234000" w14:textId="77777777"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64AC090C"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FC5337">
        <w:rPr>
          <w:rFonts w:ascii="Book Antiqua" w:hAnsi="Book Antiqua"/>
          <w:b/>
          <w:sz w:val="52"/>
          <w:szCs w:val="52"/>
          <w:lang w:val="es-PR"/>
        </w:rPr>
        <w:t xml:space="preserve"> 924</w:t>
      </w:r>
    </w:p>
    <w:p w14:paraId="59074E5F" w14:textId="36DD3621" w:rsidR="00151EAB" w:rsidRPr="008B5572" w:rsidRDefault="00FC5337"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77777777" w:rsidR="00151EAB" w:rsidRPr="008B5572" w:rsidRDefault="00151EAB" w:rsidP="00151EAB">
      <w:pPr>
        <w:spacing w:before="120"/>
        <w:ind w:left="720" w:hanging="630"/>
        <w:jc w:val="both"/>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r w:rsidRPr="008B5572">
        <w:rPr>
          <w:rFonts w:ascii="Book Antiqua" w:eastAsia="Book Antiqua" w:hAnsi="Book Antiqua" w:cs="Book Antiqua"/>
          <w:color w:val="000000" w:themeColor="text1"/>
          <w:lang w:val="es-PR"/>
        </w:rPr>
        <w:t xml:space="preserve"> </w:t>
      </w:r>
    </w:p>
    <w:p w14:paraId="02234008" w14:textId="75B893AD" w:rsidR="007F61B2" w:rsidRPr="008B5572" w:rsidRDefault="007F61B2" w:rsidP="00151EAB">
      <w:pPr>
        <w:pStyle w:val="NoSpacing"/>
        <w:rPr>
          <w:rFonts w:ascii="Book Antiqua" w:hAnsi="Book Antiqua"/>
          <w:lang w:val="es-PR"/>
        </w:rPr>
      </w:pPr>
    </w:p>
    <w:p w14:paraId="02234009" w14:textId="05A6E462" w:rsidR="007F61B2" w:rsidRPr="008B5572" w:rsidRDefault="0083082B">
      <w:pPr>
        <w:pStyle w:val="NoSpacing"/>
        <w:jc w:val="center"/>
        <w:rPr>
          <w:rFonts w:ascii="Book Antiqua" w:hAnsi="Book Antiqua"/>
          <w:i/>
          <w:lang w:val="es-PR"/>
        </w:rPr>
      </w:pPr>
      <w:r w:rsidRPr="008B5572">
        <w:rPr>
          <w:rFonts w:ascii="Book Antiqua" w:hAnsi="Book Antiqua"/>
          <w:lang w:val="es-PR"/>
        </w:rPr>
        <w:t>Referido a</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8B5572" w:rsidRDefault="007F61B2">
      <w:pPr>
        <w:jc w:val="center"/>
        <w:rPr>
          <w:rFonts w:ascii="Book Antiqua" w:hAnsi="Book Antiqua"/>
          <w:b/>
          <w:szCs w:val="24"/>
          <w:lang w:val="es-PR"/>
        </w:rPr>
      </w:pPr>
    </w:p>
    <w:p w14:paraId="03165639" w14:textId="77777777" w:rsidR="004968B4" w:rsidRPr="002F48BA" w:rsidRDefault="0083082B" w:rsidP="004968B4">
      <w:pPr>
        <w:ind w:left="540" w:hanging="540"/>
        <w:jc w:val="both"/>
        <w:rPr>
          <w:rFonts w:ascii="Book Antiqua" w:eastAsia="Book Antiqua" w:hAnsi="Book Antiqua" w:cs="Book Antiqua"/>
          <w:color w:val="000000" w:themeColor="text1"/>
          <w:lang w:val="es-PR"/>
        </w:rPr>
      </w:pPr>
      <w:r w:rsidRPr="008B5572">
        <w:rPr>
          <w:rFonts w:ascii="Book Antiqua" w:hAnsi="Book Antiqua"/>
          <w:snapToGrid w:val="0"/>
          <w:szCs w:val="24"/>
          <w:lang w:val="es-PR"/>
        </w:rPr>
        <w:t xml:space="preserve">Para </w:t>
      </w:r>
      <w:r w:rsidR="004968B4">
        <w:rPr>
          <w:rFonts w:ascii="Book Antiqua" w:eastAsia="Book Antiqua" w:hAnsi="Book Antiqua" w:cs="Book Antiqua"/>
          <w:color w:val="000000" w:themeColor="text1"/>
          <w:lang w:val="es-PR"/>
        </w:rPr>
        <w:t xml:space="preserve">derogar el Artículo 44 del </w:t>
      </w:r>
      <w:r w:rsidR="004968B4" w:rsidRPr="00593C98">
        <w:rPr>
          <w:rFonts w:ascii="Book Antiqua" w:eastAsia="Book Antiqua" w:hAnsi="Book Antiqua" w:cs="Book Antiqua"/>
          <w:color w:val="000000" w:themeColor="text1"/>
          <w:lang w:val="es-PR"/>
        </w:rPr>
        <w:t>Código Político de Puerto Rico de 1902,</w:t>
      </w:r>
      <w:r w:rsidR="004968B4">
        <w:rPr>
          <w:rFonts w:ascii="Book Antiqua" w:eastAsia="Book Antiqua" w:hAnsi="Book Antiqua" w:cs="Book Antiqua"/>
          <w:color w:val="000000" w:themeColor="text1"/>
          <w:lang w:val="es-PR"/>
        </w:rPr>
        <w:t xml:space="preserve"> según enmendado, </w:t>
      </w:r>
      <w:r w:rsidR="004968B4" w:rsidRPr="00046E85">
        <w:rPr>
          <w:rFonts w:ascii="Book Antiqua" w:eastAsia="Book Antiqua" w:hAnsi="Book Antiqua" w:cs="Book Antiqua"/>
          <w:color w:val="000000" w:themeColor="text1"/>
          <w:lang w:val="es-PR"/>
        </w:rPr>
        <w:t xml:space="preserve">a los fines </w:t>
      </w:r>
      <w:r w:rsidR="004968B4">
        <w:rPr>
          <w:rFonts w:ascii="Book Antiqua" w:eastAsia="Book Antiqua" w:hAnsi="Book Antiqua" w:cs="Book Antiqua"/>
          <w:color w:val="000000" w:themeColor="text1"/>
          <w:lang w:val="es-PR"/>
        </w:rPr>
        <w:t xml:space="preserve">de eliminar lo relacionado al efecto de la derogación de una ley creando un delito, por haberse quedado sin efecto tras la aprobación de la Constitución de Puerto Rico de 1952 y de legislación posterior. </w:t>
      </w:r>
    </w:p>
    <w:p w14:paraId="11950644" w14:textId="0AF6681B" w:rsidR="0031114B" w:rsidRPr="00434FB9" w:rsidRDefault="0031114B" w:rsidP="0031114B">
      <w:pPr>
        <w:ind w:left="540" w:hanging="540"/>
        <w:jc w:val="both"/>
        <w:rPr>
          <w:rFonts w:ascii="Book Antiqua" w:eastAsia="Book Antiqua" w:hAnsi="Book Antiqua" w:cs="Book Antiqua"/>
          <w:color w:val="000000" w:themeColor="text1"/>
          <w:lang w:val="es-PR"/>
        </w:rPr>
      </w:pPr>
    </w:p>
    <w:p w14:paraId="5C7B7FAA" w14:textId="1D1E297C" w:rsidR="008E045D" w:rsidRPr="00C91865" w:rsidRDefault="008E045D" w:rsidP="0031114B">
      <w:pPr>
        <w:suppressLineNumbers/>
        <w:ind w:left="540" w:hanging="529"/>
        <w:jc w:val="both"/>
        <w:rPr>
          <w:rFonts w:ascii="Book Antiqua" w:hAnsi="Book Antiqua"/>
          <w:snapToGrid w:val="0"/>
          <w:szCs w:val="24"/>
          <w:highlight w:val="yellow"/>
          <w:lang w:val="es-PR"/>
        </w:rPr>
      </w:pPr>
    </w:p>
    <w:p w14:paraId="0223400F" w14:textId="4CE71954"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EXPOSICION DE MOTIVOS</w:t>
      </w:r>
    </w:p>
    <w:p w14:paraId="62EAC2AE" w14:textId="77777777" w:rsidR="0031114B" w:rsidRPr="008B5572" w:rsidRDefault="0031114B">
      <w:pPr>
        <w:ind w:left="720" w:hanging="720"/>
        <w:jc w:val="center"/>
        <w:rPr>
          <w:rFonts w:ascii="Book Antiqua" w:hAnsi="Book Antiqua"/>
          <w:b/>
          <w:bCs/>
          <w:snapToGrid w:val="0"/>
          <w:szCs w:val="24"/>
          <w:lang w:val="es-PR"/>
        </w:rPr>
      </w:pPr>
    </w:p>
    <w:p w14:paraId="113E8A86" w14:textId="77777777" w:rsidR="004B1CF4" w:rsidRDefault="004B1CF4" w:rsidP="00680358">
      <w:pPr>
        <w:spacing w:line="360" w:lineRule="auto"/>
        <w:jc w:val="both"/>
        <w:rPr>
          <w:rFonts w:ascii="Book Antiqua" w:eastAsia="Book Antiqua" w:hAnsi="Book Antiqua" w:cs="Book Antiqua"/>
          <w:color w:val="000000" w:themeColor="text1"/>
          <w:lang w:val="es-PR"/>
        </w:rPr>
      </w:pPr>
      <w:r w:rsidRPr="00193FC8">
        <w:rPr>
          <w:rFonts w:ascii="Book Antiqua" w:eastAsia="Book Antiqua" w:hAnsi="Book Antiqua" w:cs="Book Antiqua"/>
          <w:color w:val="000000" w:themeColor="text1"/>
          <w:lang w:val="es-PR"/>
        </w:rPr>
        <w:t xml:space="preserve">Desde su promulgación en 1902, el Código Político de Puerto Rico ha servido como una piedra angular del orden constitucional y administrativo </w:t>
      </w:r>
      <w:r>
        <w:rPr>
          <w:rFonts w:ascii="Book Antiqua" w:eastAsia="Book Antiqua" w:hAnsi="Book Antiqua" w:cs="Book Antiqua"/>
          <w:color w:val="000000" w:themeColor="text1"/>
          <w:lang w:val="es-PR"/>
        </w:rPr>
        <w:t>de la Isla</w:t>
      </w:r>
      <w:r w:rsidRPr="00193FC8">
        <w:rPr>
          <w:rFonts w:ascii="Book Antiqua" w:eastAsia="Book Antiqua" w:hAnsi="Book Antiqua" w:cs="Book Antiqua"/>
          <w:color w:val="000000" w:themeColor="text1"/>
          <w:lang w:val="es-PR"/>
        </w:rPr>
        <w:t xml:space="preserve">. No obstante, </w:t>
      </w:r>
      <w:r>
        <w:rPr>
          <w:rFonts w:ascii="Book Antiqua" w:eastAsia="Book Antiqua" w:hAnsi="Book Antiqua" w:cs="Book Antiqua"/>
          <w:color w:val="000000" w:themeColor="text1"/>
          <w:lang w:val="es-PR"/>
        </w:rPr>
        <w:t>a través de más de un siglo, varias de sus disposiciones han sido sobreseídos o dejadas sin efecto por la aprobación de estatutos posteriores y muy especialmente por la aprobación de la Constitución de Puerto Rico, Leyes Orgánicas y pronunciamientos jurisprudenciales vinculantes de los Tribunales Supremos de los Estados Unidos y Puerto Rico.</w:t>
      </w:r>
    </w:p>
    <w:p w14:paraId="2754F6F8" w14:textId="77777777" w:rsidR="004B1CF4" w:rsidRDefault="004B1CF4" w:rsidP="00680358">
      <w:pPr>
        <w:spacing w:line="360" w:lineRule="auto"/>
        <w:jc w:val="both"/>
        <w:rPr>
          <w:rFonts w:ascii="Book Antiqua" w:eastAsia="Book Antiqua" w:hAnsi="Book Antiqua" w:cs="Book Antiqua"/>
          <w:color w:val="000000" w:themeColor="text1"/>
          <w:lang w:val="es-PR"/>
        </w:rPr>
      </w:pPr>
    </w:p>
    <w:p w14:paraId="01935C18" w14:textId="77777777" w:rsidR="004B1CF4" w:rsidRDefault="004B1CF4" w:rsidP="00680358">
      <w:pPr>
        <w:spacing w:line="360" w:lineRule="auto"/>
        <w:jc w:val="both"/>
        <w:rPr>
          <w:rFonts w:ascii="Book Antiqua" w:eastAsia="Book Antiqua" w:hAnsi="Book Antiqua" w:cs="Book Antiqua"/>
          <w:bCs/>
          <w:color w:val="000000" w:themeColor="text1"/>
          <w:lang w:val="es-PR"/>
        </w:rPr>
      </w:pPr>
      <w:r>
        <w:rPr>
          <w:rFonts w:ascii="Book Antiqua" w:eastAsia="Book Antiqua" w:hAnsi="Book Antiqua" w:cs="Book Antiqua"/>
          <w:bCs/>
          <w:color w:val="000000" w:themeColor="text1"/>
          <w:lang w:val="es-PR"/>
        </w:rPr>
        <w:lastRenderedPageBreak/>
        <w:t>El Art. 44 del Código Político dispone que “[l]a revocación de una ley creando un delito, no constituye impedimento para acusar o perseguir y castigar un hecho ya cometido con infracción de la ley así revocada, a menos que no se declare expresamente en la ley derogatoria el propósito de impedir tal persecución o castigo”.</w:t>
      </w:r>
    </w:p>
    <w:p w14:paraId="0D40A996" w14:textId="77777777" w:rsidR="004B1CF4" w:rsidRDefault="004B1CF4" w:rsidP="00680358">
      <w:pPr>
        <w:spacing w:line="360" w:lineRule="auto"/>
        <w:jc w:val="both"/>
        <w:rPr>
          <w:rFonts w:ascii="Book Antiqua" w:eastAsia="Book Antiqua" w:hAnsi="Book Antiqua" w:cs="Book Antiqua"/>
          <w:bCs/>
          <w:color w:val="000000" w:themeColor="text1"/>
          <w:lang w:val="es-PR"/>
        </w:rPr>
      </w:pPr>
    </w:p>
    <w:p w14:paraId="04B6A10F" w14:textId="77777777" w:rsidR="004B1CF4" w:rsidRDefault="004B1CF4" w:rsidP="00680358">
      <w:pPr>
        <w:spacing w:line="360" w:lineRule="auto"/>
        <w:jc w:val="both"/>
        <w:rPr>
          <w:rFonts w:ascii="Book Antiqua" w:eastAsia="Book Antiqua" w:hAnsi="Book Antiqua" w:cs="Book Antiqua"/>
          <w:bCs/>
          <w:color w:val="000000" w:themeColor="text1"/>
          <w:lang w:val="es-PR"/>
        </w:rPr>
      </w:pPr>
      <w:r>
        <w:rPr>
          <w:rFonts w:ascii="Book Antiqua" w:eastAsia="Book Antiqua" w:hAnsi="Book Antiqua" w:cs="Book Antiqua"/>
          <w:bCs/>
          <w:color w:val="000000" w:themeColor="text1"/>
          <w:lang w:val="es-PR"/>
        </w:rPr>
        <w:t xml:space="preserve">Aunque la Sección 12, del Artículo II de la Constitución de Puerto Rico, conocida como la Carta de Derechos, en lo pertinente, establece que no se aprobarán leyes </w:t>
      </w:r>
      <w:r>
        <w:rPr>
          <w:rFonts w:ascii="Book Antiqua" w:eastAsia="Book Antiqua" w:hAnsi="Book Antiqua" w:cs="Book Antiqua"/>
          <w:bCs/>
          <w:i/>
          <w:iCs/>
          <w:color w:val="000000" w:themeColor="text1"/>
          <w:lang w:val="es-PR"/>
        </w:rPr>
        <w:t>ex post facto;</w:t>
      </w:r>
      <w:r>
        <w:rPr>
          <w:rFonts w:ascii="Book Antiqua" w:eastAsia="Book Antiqua" w:hAnsi="Book Antiqua" w:cs="Book Antiqua"/>
          <w:bCs/>
          <w:color w:val="000000" w:themeColor="text1"/>
          <w:lang w:val="es-PR"/>
        </w:rPr>
        <w:t xml:space="preserve"> al derogar el Código Penal que regía en desde el 1902, en Puerto Rico se adoptó el “principio de favorabilidad” que quedó consagrado en el Artículo 4 del Código Penal de 1974.  Como parte de dicho principio, el estatuto establece que, aunque la ley penal aplicable es la vigente al momento de la comisión de los hechos; la ley penal tiene efecto retroactivo en lo que favorezca a la persona imputada de delito. La Asamblea Legislativa ha mantenido dicho principio en el Artículo 9 del Código Penal de 2004, en el Artículo 4 del Código Penal de 2012, y en las enmiendas aprobadas por la Ley 246 del año 2004, por ser un principio que tiene el propósito de evitar la aplicación arbitraria e irracional de la ley penal. </w:t>
      </w:r>
      <w:r>
        <w:rPr>
          <w:rFonts w:ascii="Book Antiqua" w:eastAsia="Book Antiqua" w:hAnsi="Book Antiqua" w:cs="Book Antiqua"/>
          <w:bCs/>
          <w:i/>
          <w:iCs/>
          <w:color w:val="000000" w:themeColor="text1"/>
          <w:lang w:val="es-PR"/>
        </w:rPr>
        <w:t>Pueblo v. González. 165 D.P.R. 675 (2005), Pueblo v. Hernández García, 186 D.P.R. 656 (2012).</w:t>
      </w:r>
    </w:p>
    <w:p w14:paraId="6D4D78F4" w14:textId="77777777" w:rsidR="004B1CF4" w:rsidRDefault="004B1CF4" w:rsidP="00680358">
      <w:pPr>
        <w:spacing w:line="360" w:lineRule="auto"/>
        <w:jc w:val="both"/>
        <w:rPr>
          <w:rFonts w:ascii="Book Antiqua" w:eastAsia="Book Antiqua" w:hAnsi="Book Antiqua" w:cs="Book Antiqua"/>
          <w:bCs/>
          <w:color w:val="000000" w:themeColor="text1"/>
          <w:lang w:val="es-PR"/>
        </w:rPr>
      </w:pPr>
    </w:p>
    <w:p w14:paraId="5026092F" w14:textId="77777777" w:rsidR="004B1CF4" w:rsidRPr="00FF3EB6" w:rsidRDefault="004B1CF4" w:rsidP="00680358">
      <w:pPr>
        <w:spacing w:line="360" w:lineRule="auto"/>
        <w:jc w:val="both"/>
        <w:rPr>
          <w:rFonts w:ascii="Book Antiqua" w:eastAsia="Book Antiqua" w:hAnsi="Book Antiqua" w:cs="Book Antiqua"/>
          <w:bCs/>
          <w:color w:val="000000" w:themeColor="text1"/>
          <w:lang w:val="es-PR"/>
        </w:rPr>
      </w:pPr>
      <w:r>
        <w:rPr>
          <w:rFonts w:ascii="Book Antiqua" w:eastAsia="Book Antiqua" w:hAnsi="Book Antiqua" w:cs="Book Antiqua"/>
          <w:bCs/>
          <w:color w:val="000000" w:themeColor="text1"/>
          <w:lang w:val="es-PR"/>
        </w:rPr>
        <w:t xml:space="preserve">En la legislación más reciente, esta Asamblea Legislativa estableció expresamente, en lo pertinente, que “[s]i este Código suprime algún delito no deberá iniciarse el encausamiento, las acciones en trámite deberán sobreseerse, y las sentencias condenatorias deberán declararse nulas y liberar a la persona”. </w:t>
      </w:r>
      <w:r>
        <w:rPr>
          <w:rFonts w:ascii="Book Antiqua" w:eastAsia="Book Antiqua" w:hAnsi="Book Antiqua" w:cs="Book Antiqua"/>
          <w:bCs/>
          <w:i/>
          <w:iCs/>
          <w:color w:val="000000" w:themeColor="text1"/>
          <w:lang w:val="es-PR"/>
        </w:rPr>
        <w:t>Art. 182 de la Ley 246-2014.</w:t>
      </w:r>
      <w:r>
        <w:rPr>
          <w:rFonts w:ascii="Book Antiqua" w:eastAsia="Book Antiqua" w:hAnsi="Book Antiqua" w:cs="Book Antiqua"/>
          <w:bCs/>
          <w:color w:val="000000" w:themeColor="text1"/>
          <w:lang w:val="es-PR"/>
        </w:rPr>
        <w:t xml:space="preserve"> </w:t>
      </w:r>
    </w:p>
    <w:p w14:paraId="5E3B3EE4" w14:textId="77777777" w:rsidR="004B1CF4" w:rsidRDefault="004B1CF4" w:rsidP="00680358">
      <w:pPr>
        <w:spacing w:line="360" w:lineRule="auto"/>
        <w:jc w:val="both"/>
        <w:rPr>
          <w:rFonts w:ascii="Book Antiqua" w:eastAsia="Book Antiqua" w:hAnsi="Book Antiqua" w:cs="Book Antiqua"/>
          <w:bCs/>
          <w:color w:val="000000" w:themeColor="text1"/>
          <w:lang w:val="es-PR"/>
        </w:rPr>
      </w:pPr>
    </w:p>
    <w:p w14:paraId="21E8A378" w14:textId="77777777" w:rsidR="004B1CF4" w:rsidRPr="009C7D23" w:rsidRDefault="004B1CF4" w:rsidP="00680358">
      <w:pPr>
        <w:spacing w:line="360" w:lineRule="auto"/>
        <w:jc w:val="both"/>
        <w:rPr>
          <w:rFonts w:ascii="Book Antiqua" w:eastAsia="Book Antiqua" w:hAnsi="Book Antiqua" w:cs="Book Antiqua"/>
          <w:bCs/>
          <w:i/>
          <w:iCs/>
          <w:color w:val="000000" w:themeColor="text1"/>
          <w:lang w:val="es-PR"/>
        </w:rPr>
      </w:pPr>
      <w:r>
        <w:rPr>
          <w:rFonts w:ascii="Book Antiqua" w:eastAsia="Book Antiqua" w:hAnsi="Book Antiqua" w:cs="Book Antiqua"/>
          <w:bCs/>
          <w:color w:val="000000" w:themeColor="text1"/>
          <w:lang w:val="es-PR"/>
        </w:rPr>
        <w:t xml:space="preserve">Siendo una gracia legislativa, el principio de favorabilidad solo puede ser limitado si expresamente se legisla una cláusula de reserva como parte de la ley penal, lo cual al presente no ha sido legislado. </w:t>
      </w:r>
      <w:r>
        <w:rPr>
          <w:rFonts w:ascii="Book Antiqua" w:eastAsia="Book Antiqua" w:hAnsi="Book Antiqua" w:cs="Book Antiqua"/>
          <w:bCs/>
          <w:i/>
          <w:iCs/>
          <w:color w:val="000000" w:themeColor="text1"/>
          <w:lang w:val="es-PR"/>
        </w:rPr>
        <w:t>Pueblo v. Javier Torres Cruz, 194 D.P.R. 53 (2015).</w:t>
      </w:r>
    </w:p>
    <w:p w14:paraId="74D408FC" w14:textId="77777777" w:rsidR="004B1CF4" w:rsidRPr="00197312" w:rsidRDefault="004B1CF4" w:rsidP="00680358">
      <w:pPr>
        <w:spacing w:line="360" w:lineRule="auto"/>
        <w:jc w:val="both"/>
        <w:rPr>
          <w:rFonts w:ascii="Book Antiqua" w:eastAsia="Book Antiqua" w:hAnsi="Book Antiqua" w:cs="Book Antiqua"/>
          <w:bCs/>
          <w:color w:val="000000" w:themeColor="text1"/>
          <w:lang w:val="es-PR"/>
        </w:rPr>
      </w:pPr>
    </w:p>
    <w:p w14:paraId="5653E8C8" w14:textId="0C45FDD6" w:rsidR="0031114B" w:rsidRPr="004B1CF4" w:rsidRDefault="004B1CF4" w:rsidP="00680358">
      <w:pPr>
        <w:spacing w:line="360" w:lineRule="auto"/>
        <w:jc w:val="both"/>
        <w:rPr>
          <w:rFonts w:ascii="Book Antiqua" w:eastAsia="Book Antiqua" w:hAnsi="Book Antiqua" w:cs="Book Antiqua"/>
          <w:bCs/>
          <w:color w:val="000000" w:themeColor="text1"/>
          <w:lang w:val="es-PR"/>
        </w:rPr>
      </w:pPr>
      <w:r w:rsidRPr="00193FC8">
        <w:rPr>
          <w:rFonts w:ascii="Book Antiqua" w:eastAsia="Book Antiqua" w:hAnsi="Book Antiqua" w:cs="Book Antiqua"/>
          <w:color w:val="000000" w:themeColor="text1"/>
          <w:lang w:val="es-PR"/>
        </w:rPr>
        <w:t>Por t</w:t>
      </w:r>
      <w:r>
        <w:rPr>
          <w:rFonts w:ascii="Book Antiqua" w:eastAsia="Book Antiqua" w:hAnsi="Book Antiqua" w:cs="Book Antiqua"/>
          <w:color w:val="000000" w:themeColor="text1"/>
          <w:lang w:val="es-PR"/>
        </w:rPr>
        <w:t>odas estas razones</w:t>
      </w:r>
      <w:r w:rsidRPr="00193FC8">
        <w:rPr>
          <w:rFonts w:ascii="Book Antiqua" w:eastAsia="Book Antiqua" w:hAnsi="Book Antiqua" w:cs="Book Antiqua"/>
          <w:color w:val="000000" w:themeColor="text1"/>
          <w:lang w:val="es-PR"/>
        </w:rPr>
        <w:t xml:space="preserve">, esta </w:t>
      </w:r>
      <w:r>
        <w:rPr>
          <w:rFonts w:ascii="Book Antiqua" w:eastAsia="Book Antiqua" w:hAnsi="Book Antiqua" w:cs="Book Antiqua"/>
          <w:color w:val="000000" w:themeColor="text1"/>
          <w:lang w:val="es-PR"/>
        </w:rPr>
        <w:t>Administración</w:t>
      </w:r>
      <w:r w:rsidRPr="00193FC8">
        <w:rPr>
          <w:rFonts w:ascii="Book Antiqua" w:eastAsia="Book Antiqua" w:hAnsi="Book Antiqua" w:cs="Book Antiqua"/>
          <w:color w:val="000000" w:themeColor="text1"/>
          <w:lang w:val="es-PR"/>
        </w:rPr>
        <w:t xml:space="preserve"> entiende prudente y necesario enmendar el Código Político de 1902 a fin de armonizar su redacción con la </w:t>
      </w:r>
      <w:r>
        <w:rPr>
          <w:rFonts w:ascii="Book Antiqua" w:eastAsia="Book Antiqua" w:hAnsi="Book Antiqua" w:cs="Book Antiqua"/>
          <w:color w:val="000000" w:themeColor="text1"/>
          <w:lang w:val="es-PR"/>
        </w:rPr>
        <w:t xml:space="preserve">realidad jurídica actual. </w:t>
      </w:r>
      <w:r>
        <w:rPr>
          <w:rFonts w:ascii="Book Antiqua" w:eastAsia="Book Antiqua" w:hAnsi="Book Antiqua" w:cs="Book Antiqua"/>
          <w:color w:val="000000" w:themeColor="text1"/>
          <w:lang w:val="es-PR"/>
        </w:rPr>
        <w:lastRenderedPageBreak/>
        <w:t>De esta manera favorecemos la certeza jurídica, continuamos la modernización de nuestro ordenamiento y promovemos la eficiencia gubernamental.</w:t>
      </w:r>
    </w:p>
    <w:p w14:paraId="22F36A3E" w14:textId="77777777" w:rsidR="0031114B" w:rsidRDefault="0031114B" w:rsidP="0031114B">
      <w:pPr>
        <w:jc w:val="both"/>
        <w:textAlignment w:val="baseline"/>
        <w:rPr>
          <w:rFonts w:ascii="Book Antiqua" w:hAnsi="Book Antiqua" w:cs="Segoe UI"/>
          <w:lang w:val="es-PR"/>
        </w:rPr>
      </w:pPr>
    </w:p>
    <w:p w14:paraId="6AA32E6F" w14:textId="02F4BA1E" w:rsidR="00E028DD" w:rsidRPr="00680358" w:rsidRDefault="0083082B" w:rsidP="00C91865">
      <w:pPr>
        <w:spacing w:line="480" w:lineRule="auto"/>
        <w:jc w:val="both"/>
        <w:rPr>
          <w:rFonts w:ascii="Book Antiqua" w:hAnsi="Book Antiqua"/>
          <w:b/>
          <w:bCs/>
          <w:iCs/>
          <w:lang w:val="es-PR"/>
        </w:rPr>
      </w:pPr>
      <w:r w:rsidRPr="00680358">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0EB46ACE" w14:textId="77777777" w:rsidR="004B1CF4" w:rsidRPr="008B37EE" w:rsidRDefault="004B1CF4" w:rsidP="004B1CF4">
      <w:pPr>
        <w:spacing w:before="240" w:after="120" w:line="480" w:lineRule="auto"/>
        <w:ind w:firstLine="720"/>
        <w:contextualSpacing/>
        <w:jc w:val="both"/>
        <w:rPr>
          <w:rFonts w:ascii="Book Antiqua" w:hAnsi="Book Antiqua"/>
          <w:lang w:val="es-PR"/>
        </w:rPr>
      </w:pPr>
      <w:bookmarkStart w:id="0" w:name="_Hlk206434876"/>
      <w:r w:rsidRPr="00065FE8">
        <w:rPr>
          <w:rFonts w:ascii="Book Antiqua" w:hAnsi="Book Antiqua"/>
          <w:lang w:val="es-ES"/>
        </w:rPr>
        <w:t>Sección 1</w:t>
      </w:r>
      <w:r>
        <w:rPr>
          <w:rFonts w:ascii="Book Antiqua" w:hAnsi="Book Antiqua"/>
          <w:lang w:val="es-ES"/>
        </w:rPr>
        <w:t>. -Se deroga el Artículo 44 del Código Político de 1902, según enmendado.</w:t>
      </w:r>
    </w:p>
    <w:p w14:paraId="1B97762E" w14:textId="4A51E21F" w:rsidR="004F046B" w:rsidRPr="0031114B" w:rsidRDefault="004B1CF4" w:rsidP="004B1CF4">
      <w:pPr>
        <w:spacing w:line="480" w:lineRule="auto"/>
        <w:ind w:firstLine="720"/>
        <w:jc w:val="both"/>
        <w:rPr>
          <w:rFonts w:ascii="Book Antiqua" w:hAnsi="Book Antiqua"/>
          <w:lang w:val="es-PR"/>
        </w:rPr>
      </w:pPr>
      <w:r>
        <w:rPr>
          <w:rFonts w:ascii="Book Antiqua" w:hAnsi="Book Antiqua"/>
          <w:lang w:val="es-PR"/>
        </w:rPr>
        <w:t>Sección 2. – Esta Ley entrará en vigor inmediatamente tras</w:t>
      </w:r>
      <w:r w:rsidRPr="008B37EE">
        <w:rPr>
          <w:rFonts w:ascii="Book Antiqua" w:hAnsi="Book Antiqua"/>
          <w:lang w:val="es-PR"/>
        </w:rPr>
        <w:t xml:space="preserve"> su aprobación.  </w:t>
      </w:r>
    </w:p>
    <w:bookmarkEnd w:id="0"/>
    <w:sectPr w:rsidR="004F046B" w:rsidRPr="0031114B" w:rsidSect="0031114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104FB564" w:rsidR="007F61B2" w:rsidRPr="00C60B4E" w:rsidRDefault="00C60B4E" w:rsidP="00C60B4E">
    <w:pPr>
      <w:pStyle w:val="Header"/>
      <w:jc w:val="right"/>
      <w:rPr>
        <w:lang w:val="en-US"/>
      </w:rPr>
    </w:pPr>
    <w:r>
      <w:rPr>
        <w:lang w:val="en-US"/>
      </w:rPr>
      <w:t>A-0</w:t>
    </w:r>
    <w:r w:rsidR="00793FB1">
      <w:rPr>
        <w:lang w:val="en-US"/>
      </w:rPr>
      <w:t>9</w:t>
    </w:r>
    <w:r w:rsidR="004968B4">
      <w:rPr>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5"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2"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3"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4"/>
  </w:num>
  <w:num w:numId="2" w16cid:durableId="2037927756">
    <w:abstractNumId w:val="11"/>
  </w:num>
  <w:num w:numId="3" w16cid:durableId="508376565">
    <w:abstractNumId w:val="16"/>
  </w:num>
  <w:num w:numId="4" w16cid:durableId="216819222">
    <w:abstractNumId w:val="12"/>
  </w:num>
  <w:num w:numId="5" w16cid:durableId="517544549">
    <w:abstractNumId w:val="23"/>
  </w:num>
  <w:num w:numId="6" w16cid:durableId="478498451">
    <w:abstractNumId w:val="10"/>
  </w:num>
  <w:num w:numId="7" w16cid:durableId="46998239">
    <w:abstractNumId w:val="26"/>
  </w:num>
  <w:num w:numId="8" w16cid:durableId="275597364">
    <w:abstractNumId w:val="5"/>
  </w:num>
  <w:num w:numId="9" w16cid:durableId="1126703027">
    <w:abstractNumId w:val="3"/>
  </w:num>
  <w:num w:numId="10" w16cid:durableId="1162702400">
    <w:abstractNumId w:val="6"/>
  </w:num>
  <w:num w:numId="11" w16cid:durableId="2055156664">
    <w:abstractNumId w:val="17"/>
  </w:num>
  <w:num w:numId="12" w16cid:durableId="1121461949">
    <w:abstractNumId w:val="20"/>
  </w:num>
  <w:num w:numId="13" w16cid:durableId="261303919">
    <w:abstractNumId w:val="4"/>
  </w:num>
  <w:num w:numId="14" w16cid:durableId="1608542314">
    <w:abstractNumId w:val="0"/>
  </w:num>
  <w:num w:numId="15" w16cid:durableId="687564547">
    <w:abstractNumId w:val="1"/>
  </w:num>
  <w:num w:numId="16" w16cid:durableId="273637373">
    <w:abstractNumId w:val="13"/>
  </w:num>
  <w:num w:numId="17" w16cid:durableId="1320235784">
    <w:abstractNumId w:val="21"/>
  </w:num>
  <w:num w:numId="18" w16cid:durableId="1401176248">
    <w:abstractNumId w:val="22"/>
  </w:num>
  <w:num w:numId="19" w16cid:durableId="376929053">
    <w:abstractNumId w:val="15"/>
  </w:num>
  <w:num w:numId="20" w16cid:durableId="262231328">
    <w:abstractNumId w:val="18"/>
  </w:num>
  <w:num w:numId="21" w16cid:durableId="2065105753">
    <w:abstractNumId w:val="7"/>
  </w:num>
  <w:num w:numId="22" w16cid:durableId="1804614622">
    <w:abstractNumId w:val="24"/>
  </w:num>
  <w:num w:numId="23" w16cid:durableId="478421519">
    <w:abstractNumId w:val="2"/>
  </w:num>
  <w:num w:numId="24" w16cid:durableId="1903827703">
    <w:abstractNumId w:val="8"/>
  </w:num>
  <w:num w:numId="25" w16cid:durableId="1696074261">
    <w:abstractNumId w:val="9"/>
  </w:num>
  <w:num w:numId="26" w16cid:durableId="182674037">
    <w:abstractNumId w:val="25"/>
  </w:num>
  <w:num w:numId="27" w16cid:durableId="7715154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3426B"/>
    <w:rsid w:val="0004098B"/>
    <w:rsid w:val="00045F08"/>
    <w:rsid w:val="00057584"/>
    <w:rsid w:val="000579C4"/>
    <w:rsid w:val="00062B92"/>
    <w:rsid w:val="00063D14"/>
    <w:rsid w:val="000659E0"/>
    <w:rsid w:val="000741B3"/>
    <w:rsid w:val="00076D71"/>
    <w:rsid w:val="00076E80"/>
    <w:rsid w:val="000866CA"/>
    <w:rsid w:val="0009772C"/>
    <w:rsid w:val="000A1D21"/>
    <w:rsid w:val="000A1D5C"/>
    <w:rsid w:val="000A4C96"/>
    <w:rsid w:val="000A5112"/>
    <w:rsid w:val="000B0936"/>
    <w:rsid w:val="000C2412"/>
    <w:rsid w:val="000D129F"/>
    <w:rsid w:val="000D67C9"/>
    <w:rsid w:val="000E25DA"/>
    <w:rsid w:val="000E5ABE"/>
    <w:rsid w:val="000E6A9E"/>
    <w:rsid w:val="000F2477"/>
    <w:rsid w:val="000F3B48"/>
    <w:rsid w:val="00100AF1"/>
    <w:rsid w:val="001016AC"/>
    <w:rsid w:val="0010370A"/>
    <w:rsid w:val="0011023B"/>
    <w:rsid w:val="00112D3D"/>
    <w:rsid w:val="00121A8C"/>
    <w:rsid w:val="00151B88"/>
    <w:rsid w:val="00151EAB"/>
    <w:rsid w:val="00154D43"/>
    <w:rsid w:val="001614B1"/>
    <w:rsid w:val="00167892"/>
    <w:rsid w:val="00170D6C"/>
    <w:rsid w:val="001725E1"/>
    <w:rsid w:val="00176176"/>
    <w:rsid w:val="00183D59"/>
    <w:rsid w:val="001855E6"/>
    <w:rsid w:val="0019638B"/>
    <w:rsid w:val="00196959"/>
    <w:rsid w:val="001A2FE5"/>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114B"/>
    <w:rsid w:val="0031489E"/>
    <w:rsid w:val="0031572B"/>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B44CF"/>
    <w:rsid w:val="003C15C9"/>
    <w:rsid w:val="003C2BBB"/>
    <w:rsid w:val="003D3DB3"/>
    <w:rsid w:val="003D4D7E"/>
    <w:rsid w:val="003D6D1D"/>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19A7"/>
    <w:rsid w:val="00463D73"/>
    <w:rsid w:val="00464285"/>
    <w:rsid w:val="00467979"/>
    <w:rsid w:val="0047581C"/>
    <w:rsid w:val="00477188"/>
    <w:rsid w:val="00477788"/>
    <w:rsid w:val="0048628A"/>
    <w:rsid w:val="00486D91"/>
    <w:rsid w:val="00492CD7"/>
    <w:rsid w:val="004968B4"/>
    <w:rsid w:val="004A24C6"/>
    <w:rsid w:val="004A41D0"/>
    <w:rsid w:val="004B1CF4"/>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046B"/>
    <w:rsid w:val="004F7331"/>
    <w:rsid w:val="0050380A"/>
    <w:rsid w:val="00504471"/>
    <w:rsid w:val="00506A16"/>
    <w:rsid w:val="005130BF"/>
    <w:rsid w:val="00523805"/>
    <w:rsid w:val="005332AA"/>
    <w:rsid w:val="00557D84"/>
    <w:rsid w:val="00560A03"/>
    <w:rsid w:val="00561180"/>
    <w:rsid w:val="0056407E"/>
    <w:rsid w:val="0057356F"/>
    <w:rsid w:val="00580F55"/>
    <w:rsid w:val="00593C7F"/>
    <w:rsid w:val="00594085"/>
    <w:rsid w:val="005A119E"/>
    <w:rsid w:val="005A183F"/>
    <w:rsid w:val="005A24EE"/>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0358"/>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D5AEC"/>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045D"/>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D3F36"/>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B4B50"/>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489F"/>
    <w:rsid w:val="00FA5408"/>
    <w:rsid w:val="00FA6279"/>
    <w:rsid w:val="00FA7A68"/>
    <w:rsid w:val="00FB153D"/>
    <w:rsid w:val="00FB58AD"/>
    <w:rsid w:val="00FB63E2"/>
    <w:rsid w:val="00FC1EE1"/>
    <w:rsid w:val="00FC5337"/>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63"/>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qFormat/>
    <w:rsid w:val="00C02A40"/>
    <w:rPr>
      <w:vertAlign w:val="superscript"/>
    </w:rPr>
  </w:style>
  <w:style w:type="paragraph" w:styleId="FootnoteText">
    <w:name w:val="footnote text"/>
    <w:basedOn w:val="Normal"/>
    <w:link w:val="FootnoteTextChar"/>
    <w:qFormat/>
    <w:rsid w:val="00C02A40"/>
    <w:rPr>
      <w:sz w:val="20"/>
      <w:szCs w:val="24"/>
    </w:rPr>
  </w:style>
  <w:style w:type="character" w:customStyle="1" w:styleId="FootnoteTextChar">
    <w:name w:val="Footnote Text Char"/>
    <w:basedOn w:val="DefaultParagraphFont"/>
    <w:link w:val="FootnoteText"/>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3.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Monica Maldonado Gonzalez (Trámites y Récords)</cp:lastModifiedBy>
  <cp:revision>2</cp:revision>
  <cp:lastPrinted>2026-01-12T13:50:00Z</cp:lastPrinted>
  <dcterms:created xsi:type="dcterms:W3CDTF">2026-01-12T18:15:00Z</dcterms:created>
  <dcterms:modified xsi:type="dcterms:W3CDTF">2026-01-12T18:15:00Z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