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3.xml" ContentType="application/vnd.openxmlformats-officedocument.wordprocessingml.header+xml"/>
  <Override PartName="/word/footnotes.xml" ContentType="application/vnd.openxmlformats-officedocument.wordprocessingml.footnot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233FFD" w14:textId="77777777" w:rsidR="007F61B2" w:rsidRPr="008B5572" w:rsidRDefault="0083082B">
      <w:pPr>
        <w:jc w:val="center"/>
        <w:rPr>
          <w:rFonts w:ascii="Book Antiqua" w:hAnsi="Book Antiqua"/>
          <w:sz w:val="36"/>
          <w:szCs w:val="36"/>
          <w:lang w:val="es-PR"/>
        </w:rPr>
      </w:pPr>
      <w:r w:rsidRPr="008B5572">
        <w:rPr>
          <w:rFonts w:ascii="Book Antiqua" w:hAnsi="Book Antiqua"/>
          <w:sz w:val="36"/>
          <w:szCs w:val="36"/>
          <w:lang w:val="es-PR"/>
        </w:rPr>
        <w:t>GOBIERNO DE PUERTO RICO</w:t>
      </w:r>
    </w:p>
    <w:p w14:paraId="02233FFE" w14:textId="77777777" w:rsidR="007F61B2" w:rsidRPr="00C53447" w:rsidRDefault="007F61B2">
      <w:pPr>
        <w:jc w:val="center"/>
        <w:rPr>
          <w:rFonts w:ascii="Book Antiqua" w:hAnsi="Book Antiqua"/>
          <w:sz w:val="36"/>
          <w:szCs w:val="36"/>
          <w:lang w:val="es-PR"/>
        </w:rPr>
      </w:pPr>
    </w:p>
    <w:p w14:paraId="02233FFF" w14:textId="7385C359" w:rsidR="007F61B2" w:rsidRPr="008B5572" w:rsidRDefault="0083082B">
      <w:pPr>
        <w:pStyle w:val="Title2"/>
        <w:tabs>
          <w:tab w:val="clear" w:pos="7776"/>
        </w:tabs>
        <w:rPr>
          <w:rFonts w:ascii="Book Antiqua" w:hAnsi="Book Antiqua"/>
          <w:lang w:val="es-PR"/>
        </w:rPr>
      </w:pPr>
      <w:r w:rsidRPr="008B5572">
        <w:rPr>
          <w:rFonts w:ascii="Book Antiqua" w:hAnsi="Book Antiqua"/>
          <w:lang w:val="es-PR"/>
        </w:rPr>
        <w:t>20</w:t>
      </w:r>
      <w:r w:rsidRPr="00C53447">
        <w:rPr>
          <w:rFonts w:ascii="Book Antiqua" w:hAnsi="Book Antiqua"/>
          <w:vertAlign w:val="superscript"/>
          <w:lang w:val="es-PR"/>
        </w:rPr>
        <w:t>ma.</w:t>
      </w:r>
      <w:r w:rsidRPr="008B5572">
        <w:rPr>
          <w:rFonts w:ascii="Book Antiqua" w:hAnsi="Book Antiqua"/>
          <w:lang w:val="es-PR"/>
        </w:rPr>
        <w:t xml:space="preserve"> Asamblea </w:t>
      </w:r>
      <w:r w:rsidRPr="008B5572">
        <w:rPr>
          <w:rFonts w:ascii="Book Antiqua" w:hAnsi="Book Antiqua"/>
          <w:lang w:val="es-PR"/>
        </w:rPr>
        <w:tab/>
      </w:r>
      <w:r w:rsidR="00F752B4">
        <w:rPr>
          <w:rFonts w:ascii="Book Antiqua" w:hAnsi="Book Antiqua"/>
          <w:lang w:val="es-PR"/>
        </w:rPr>
        <w:t>3</w:t>
      </w:r>
      <w:r w:rsidR="00F752B4" w:rsidRPr="00C53447">
        <w:rPr>
          <w:rFonts w:ascii="Book Antiqua" w:hAnsi="Book Antiqua"/>
          <w:vertAlign w:val="superscript"/>
          <w:lang w:val="es-PR"/>
        </w:rPr>
        <w:t>r</w:t>
      </w:r>
      <w:r w:rsidRPr="00C53447">
        <w:rPr>
          <w:rFonts w:ascii="Book Antiqua" w:hAnsi="Book Antiqua"/>
          <w:vertAlign w:val="superscript"/>
          <w:lang w:val="es-PR"/>
        </w:rPr>
        <w:t>a.</w:t>
      </w:r>
      <w:r w:rsidRPr="008B5572">
        <w:rPr>
          <w:rFonts w:ascii="Book Antiqua" w:hAnsi="Book Antiqua"/>
          <w:lang w:val="es-PR"/>
        </w:rPr>
        <w:t xml:space="preserve"> Sesión</w:t>
      </w:r>
    </w:p>
    <w:p w14:paraId="02234000" w14:textId="66C9B6A9" w:rsidR="007F61B2" w:rsidRPr="008B5572" w:rsidRDefault="0083082B" w:rsidP="00C53447">
      <w:pPr>
        <w:pStyle w:val="Title2"/>
        <w:tabs>
          <w:tab w:val="clear" w:pos="648"/>
          <w:tab w:val="clear" w:pos="7776"/>
          <w:tab w:val="left" w:pos="540"/>
        </w:tabs>
        <w:rPr>
          <w:rFonts w:ascii="Book Antiqua" w:hAnsi="Book Antiqua"/>
          <w:lang w:val="es-PR"/>
        </w:rPr>
      </w:pPr>
      <w:r w:rsidRPr="008B5572">
        <w:rPr>
          <w:rFonts w:ascii="Book Antiqua" w:hAnsi="Book Antiqua"/>
          <w:lang w:val="es-PR"/>
        </w:rPr>
        <w:tab/>
        <w:t>Legislativa</w:t>
      </w:r>
      <w:r w:rsidRPr="008B5572">
        <w:rPr>
          <w:rFonts w:ascii="Book Antiqua" w:hAnsi="Book Antiqua"/>
          <w:lang w:val="es-PR"/>
        </w:rPr>
        <w:tab/>
      </w:r>
      <w:r w:rsidRPr="008B5572">
        <w:rPr>
          <w:rFonts w:ascii="Book Antiqua" w:hAnsi="Book Antiqua"/>
          <w:lang w:val="es-PR"/>
        </w:rPr>
        <w:tab/>
        <w:t xml:space="preserve">     Ordinaria</w:t>
      </w:r>
      <w:r w:rsidRPr="008B5572">
        <w:rPr>
          <w:rFonts w:ascii="Book Antiqua" w:hAnsi="Book Antiqua"/>
          <w:lang w:val="es-PR"/>
        </w:rPr>
        <w:tab/>
      </w:r>
      <w:r w:rsidRPr="008B5572">
        <w:rPr>
          <w:rFonts w:ascii="Book Antiqua" w:hAnsi="Book Antiqua"/>
          <w:lang w:val="es-PR"/>
        </w:rPr>
        <w:tab/>
      </w:r>
      <w:r w:rsidRPr="008B5572">
        <w:rPr>
          <w:rFonts w:ascii="Book Antiqua" w:hAnsi="Book Antiqua"/>
          <w:lang w:val="es-PR"/>
        </w:rPr>
        <w:tab/>
      </w:r>
      <w:r w:rsidRPr="008B5572">
        <w:rPr>
          <w:rFonts w:ascii="Book Antiqua" w:hAnsi="Book Antiqua"/>
          <w:lang w:val="es-PR"/>
        </w:rPr>
        <w:tab/>
      </w:r>
      <w:r w:rsidRPr="008B5572">
        <w:rPr>
          <w:rFonts w:ascii="Book Antiqua" w:hAnsi="Book Antiqua"/>
          <w:lang w:val="es-PR"/>
        </w:rPr>
        <w:tab/>
      </w:r>
    </w:p>
    <w:p w14:paraId="02234001" w14:textId="77777777" w:rsidR="007F61B2" w:rsidRPr="008B5572" w:rsidRDefault="0083082B">
      <w:pPr>
        <w:jc w:val="center"/>
        <w:rPr>
          <w:rFonts w:ascii="Book Antiqua" w:hAnsi="Book Antiqua"/>
          <w:b/>
          <w:sz w:val="36"/>
          <w:szCs w:val="36"/>
          <w:lang w:val="es-PR"/>
        </w:rPr>
      </w:pPr>
      <w:r w:rsidRPr="008B5572">
        <w:rPr>
          <w:rFonts w:ascii="Book Antiqua" w:hAnsi="Book Antiqua"/>
          <w:b/>
          <w:sz w:val="36"/>
          <w:szCs w:val="36"/>
          <w:lang w:val="es-PR"/>
        </w:rPr>
        <w:t xml:space="preserve">SENADO DE PUERTO RICO </w:t>
      </w:r>
    </w:p>
    <w:p w14:paraId="02234002" w14:textId="77777777" w:rsidR="007F61B2" w:rsidRPr="008B5572" w:rsidRDefault="007F61B2">
      <w:pPr>
        <w:jc w:val="center"/>
        <w:rPr>
          <w:rFonts w:ascii="Book Antiqua" w:hAnsi="Book Antiqua"/>
          <w:b/>
          <w:szCs w:val="24"/>
          <w:lang w:val="es-PR"/>
        </w:rPr>
      </w:pPr>
    </w:p>
    <w:p w14:paraId="02234004" w14:textId="7D6B3A21" w:rsidR="007F61B2" w:rsidRPr="000A1D5C" w:rsidRDefault="0083082B" w:rsidP="000A1D5C">
      <w:pPr>
        <w:jc w:val="center"/>
        <w:rPr>
          <w:rFonts w:ascii="Book Antiqua" w:hAnsi="Book Antiqua"/>
          <w:b/>
          <w:sz w:val="52"/>
          <w:szCs w:val="52"/>
          <w:lang w:val="es-PR"/>
        </w:rPr>
      </w:pPr>
      <w:r w:rsidRPr="008B5572">
        <w:rPr>
          <w:rFonts w:ascii="Book Antiqua" w:hAnsi="Book Antiqua"/>
          <w:b/>
          <w:sz w:val="52"/>
          <w:szCs w:val="52"/>
          <w:lang w:val="es-PR"/>
        </w:rPr>
        <w:t>P. del S.</w:t>
      </w:r>
      <w:r w:rsidR="002E0427">
        <w:rPr>
          <w:rFonts w:ascii="Book Antiqua" w:hAnsi="Book Antiqua"/>
          <w:b/>
          <w:sz w:val="52"/>
          <w:szCs w:val="52"/>
          <w:lang w:val="es-PR"/>
        </w:rPr>
        <w:t xml:space="preserve"> 925</w:t>
      </w:r>
    </w:p>
    <w:p w14:paraId="59074E5F" w14:textId="2F3E7FD5" w:rsidR="00151EAB" w:rsidRDefault="002E0427" w:rsidP="00151EAB">
      <w:pPr>
        <w:spacing w:before="120"/>
        <w:jc w:val="center"/>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12 </w:t>
      </w:r>
      <w:r w:rsidR="00151EAB" w:rsidRPr="008B5572">
        <w:rPr>
          <w:rFonts w:ascii="Book Antiqua" w:eastAsia="Book Antiqua" w:hAnsi="Book Antiqua" w:cs="Book Antiqua"/>
          <w:color w:val="000000" w:themeColor="text1"/>
          <w:lang w:val="es-PR"/>
        </w:rPr>
        <w:t xml:space="preserve">de </w:t>
      </w:r>
      <w:sdt>
        <w:sdtPr>
          <w:rPr>
            <w:color w:val="000000" w:themeColor="text1"/>
            <w:lang w:val="es-PR"/>
          </w:rPr>
          <w:tag w:val="goog_rdk_1"/>
          <w:id w:val="-1150512329"/>
        </w:sdtPr>
        <w:sdtEndPr/>
        <w:sdtContent>
          <w:r w:rsidR="00F752B4">
            <w:rPr>
              <w:color w:val="000000" w:themeColor="text1"/>
              <w:lang w:val="es-PR"/>
            </w:rPr>
            <w:t>enero</w:t>
          </w:r>
        </w:sdtContent>
      </w:sdt>
      <w:r w:rsidR="00151EAB" w:rsidRPr="008B5572">
        <w:rPr>
          <w:rFonts w:ascii="Book Antiqua" w:eastAsia="Book Antiqua" w:hAnsi="Book Antiqua" w:cs="Book Antiqua"/>
          <w:color w:val="000000" w:themeColor="text1"/>
          <w:lang w:val="es-PR"/>
        </w:rPr>
        <w:t xml:space="preserve"> de 202</w:t>
      </w:r>
      <w:r w:rsidR="00F752B4">
        <w:rPr>
          <w:rFonts w:ascii="Book Antiqua" w:eastAsia="Book Antiqua" w:hAnsi="Book Antiqua" w:cs="Book Antiqua"/>
          <w:color w:val="000000" w:themeColor="text1"/>
          <w:lang w:val="es-PR"/>
        </w:rPr>
        <w:t>6</w:t>
      </w:r>
    </w:p>
    <w:p w14:paraId="085666F6" w14:textId="48159219" w:rsidR="00151EAB" w:rsidRPr="008B5572" w:rsidRDefault="00151EAB" w:rsidP="00C53447">
      <w:pPr>
        <w:spacing w:before="120"/>
        <w:jc w:val="center"/>
        <w:rPr>
          <w:rFonts w:ascii="Book Antiqua" w:eastAsia="Book Antiqua" w:hAnsi="Book Antiqua" w:cs="Book Antiqua"/>
          <w:i/>
          <w:color w:val="000000" w:themeColor="text1"/>
          <w:lang w:val="es-PR"/>
        </w:rPr>
      </w:pPr>
      <w:r w:rsidRPr="008B5572">
        <w:rPr>
          <w:rFonts w:ascii="Book Antiqua" w:eastAsia="Book Antiqua" w:hAnsi="Book Antiqua" w:cs="Book Antiqua"/>
          <w:color w:val="000000" w:themeColor="text1"/>
          <w:lang w:val="es-PR"/>
        </w:rPr>
        <w:t xml:space="preserve">Presentado por los señores </w:t>
      </w:r>
      <w:r w:rsidRPr="008B5572">
        <w:rPr>
          <w:rFonts w:ascii="Book Antiqua" w:eastAsia="Book Antiqua" w:hAnsi="Book Antiqua" w:cs="Book Antiqua"/>
          <w:i/>
          <w:color w:val="000000" w:themeColor="text1"/>
          <w:lang w:val="es-PR"/>
        </w:rPr>
        <w:t xml:space="preserve">Rivera Schatz, Ríos Santiago, </w:t>
      </w:r>
      <w:r w:rsidRPr="008B5572">
        <w:rPr>
          <w:rFonts w:ascii="Book Antiqua" w:eastAsia="Book Antiqua" w:hAnsi="Book Antiqua" w:cs="Book Antiqua"/>
          <w:color w:val="000000" w:themeColor="text1"/>
          <w:lang w:val="es-PR"/>
        </w:rPr>
        <w:t xml:space="preserve">la señora </w:t>
      </w:r>
      <w:r w:rsidRPr="008B5572">
        <w:rPr>
          <w:rFonts w:ascii="Book Antiqua" w:eastAsia="Book Antiqua" w:hAnsi="Book Antiqua" w:cs="Book Antiqua"/>
          <w:i/>
          <w:color w:val="000000" w:themeColor="text1"/>
          <w:lang w:val="es-PR"/>
        </w:rPr>
        <w:t xml:space="preserve">Jiménez Santoni, </w:t>
      </w:r>
      <w:r w:rsidRPr="008B5572">
        <w:rPr>
          <w:rFonts w:ascii="Book Antiqua" w:eastAsia="Book Antiqua" w:hAnsi="Book Antiqua" w:cs="Book Antiqua"/>
          <w:color w:val="000000" w:themeColor="text1"/>
          <w:lang w:val="es-PR"/>
        </w:rPr>
        <w:t xml:space="preserve">los señores </w:t>
      </w:r>
      <w:r w:rsidRPr="008B5572">
        <w:rPr>
          <w:rFonts w:ascii="Book Antiqua" w:eastAsia="Book Antiqua" w:hAnsi="Book Antiqua" w:cs="Book Antiqua"/>
          <w:i/>
          <w:color w:val="000000" w:themeColor="text1"/>
          <w:lang w:val="es-PR"/>
        </w:rPr>
        <w:t xml:space="preserve">Matías Rosario, Morales Rodríguez, </w:t>
      </w:r>
      <w:r w:rsidRPr="008B5572">
        <w:rPr>
          <w:rFonts w:ascii="Book Antiqua" w:eastAsia="Book Antiqua" w:hAnsi="Book Antiqua" w:cs="Book Antiqua"/>
          <w:color w:val="000000" w:themeColor="text1"/>
          <w:lang w:val="es-PR"/>
        </w:rPr>
        <w:t>la señora</w:t>
      </w:r>
      <w:r w:rsidRPr="008B5572">
        <w:rPr>
          <w:rFonts w:ascii="Book Antiqua" w:eastAsia="Book Antiqua" w:hAnsi="Book Antiqua" w:cs="Book Antiqua"/>
          <w:i/>
          <w:color w:val="000000" w:themeColor="text1"/>
          <w:lang w:val="es-PR"/>
        </w:rPr>
        <w:t xml:space="preserve"> Barlucea Rodríguez</w:t>
      </w:r>
      <w:r w:rsidRPr="008B5572">
        <w:rPr>
          <w:rFonts w:ascii="Book Antiqua" w:eastAsia="Book Antiqua" w:hAnsi="Book Antiqua" w:cs="Book Antiqua"/>
          <w:color w:val="000000" w:themeColor="text1"/>
          <w:lang w:val="es-PR"/>
        </w:rPr>
        <w:t xml:space="preserve">, los señores </w:t>
      </w:r>
      <w:r w:rsidRPr="008B5572">
        <w:rPr>
          <w:rFonts w:ascii="Book Antiqua" w:eastAsia="Book Antiqua" w:hAnsi="Book Antiqua" w:cs="Book Antiqua"/>
          <w:i/>
          <w:color w:val="000000" w:themeColor="text1"/>
          <w:lang w:val="es-PR"/>
        </w:rPr>
        <w:t>Colón La Santa</w:t>
      </w:r>
      <w:r w:rsidRPr="008B5572">
        <w:rPr>
          <w:rFonts w:ascii="Book Antiqua" w:eastAsia="Book Antiqua" w:hAnsi="Book Antiqua" w:cs="Book Antiqua"/>
          <w:color w:val="000000" w:themeColor="text1"/>
          <w:lang w:val="es-PR"/>
        </w:rPr>
        <w:t xml:space="preserve">, </w:t>
      </w:r>
      <w:r w:rsidRPr="008B5572">
        <w:rPr>
          <w:rFonts w:ascii="Book Antiqua" w:eastAsia="Book Antiqua" w:hAnsi="Book Antiqua" w:cs="Book Antiqua"/>
          <w:i/>
          <w:color w:val="000000" w:themeColor="text1"/>
          <w:lang w:val="es-PR"/>
        </w:rPr>
        <w:t>González López</w:t>
      </w:r>
      <w:r w:rsidRPr="008B5572">
        <w:rPr>
          <w:rFonts w:ascii="Book Antiqua" w:eastAsia="Book Antiqua" w:hAnsi="Book Antiqua" w:cs="Book Antiqua"/>
          <w:color w:val="000000" w:themeColor="text1"/>
          <w:lang w:val="es-PR"/>
        </w:rPr>
        <w:t xml:space="preserve">, las señoras </w:t>
      </w:r>
      <w:r w:rsidRPr="008B5572">
        <w:rPr>
          <w:rFonts w:ascii="Book Antiqua" w:eastAsia="Book Antiqua" w:hAnsi="Book Antiqua" w:cs="Book Antiqua"/>
          <w:i/>
          <w:color w:val="000000" w:themeColor="text1"/>
          <w:lang w:val="es-PR"/>
        </w:rPr>
        <w:t>Padilla Alvelo, Moran Trinidad, Pérez Soto</w:t>
      </w:r>
      <w:r w:rsidRPr="008B5572">
        <w:rPr>
          <w:rFonts w:ascii="Book Antiqua" w:eastAsia="Book Antiqua" w:hAnsi="Book Antiqua" w:cs="Book Antiqua"/>
          <w:color w:val="000000" w:themeColor="text1"/>
          <w:lang w:val="es-PR"/>
        </w:rPr>
        <w:t xml:space="preserve">, el señor </w:t>
      </w:r>
      <w:r w:rsidRPr="008B5572">
        <w:rPr>
          <w:rFonts w:ascii="Book Antiqua" w:eastAsia="Book Antiqua" w:hAnsi="Book Antiqua" w:cs="Book Antiqua"/>
          <w:i/>
          <w:color w:val="000000" w:themeColor="text1"/>
          <w:lang w:val="es-PR"/>
        </w:rPr>
        <w:t>Reyes Berríos</w:t>
      </w:r>
      <w:r w:rsidRPr="008B5572">
        <w:rPr>
          <w:rFonts w:ascii="Book Antiqua" w:eastAsia="Book Antiqua" w:hAnsi="Book Antiqua" w:cs="Book Antiqua"/>
          <w:color w:val="000000" w:themeColor="text1"/>
          <w:lang w:val="es-PR"/>
        </w:rPr>
        <w:t xml:space="preserve">, la señora </w:t>
      </w:r>
      <w:r w:rsidRPr="008B5572">
        <w:rPr>
          <w:rFonts w:ascii="Book Antiqua" w:eastAsia="Book Antiqua" w:hAnsi="Book Antiqua" w:cs="Book Antiqua"/>
          <w:i/>
          <w:color w:val="000000" w:themeColor="text1"/>
          <w:lang w:val="es-PR"/>
        </w:rPr>
        <w:t>Román Rodríguez</w:t>
      </w:r>
      <w:r w:rsidRPr="008B5572">
        <w:rPr>
          <w:rFonts w:ascii="Book Antiqua" w:eastAsia="Book Antiqua" w:hAnsi="Book Antiqua" w:cs="Book Antiqua"/>
          <w:color w:val="000000" w:themeColor="text1"/>
          <w:lang w:val="es-PR"/>
        </w:rPr>
        <w:t xml:space="preserve">, los señores </w:t>
      </w:r>
      <w:r w:rsidRPr="008B5572">
        <w:rPr>
          <w:rFonts w:ascii="Book Antiqua" w:eastAsia="Book Antiqua" w:hAnsi="Book Antiqua" w:cs="Book Antiqua"/>
          <w:i/>
          <w:color w:val="000000" w:themeColor="text1"/>
          <w:lang w:val="es-PR"/>
        </w:rPr>
        <w:t>Rosa Ramos, Sánchez Álvarez, Santos Ortiz,</w:t>
      </w:r>
      <w:r w:rsidRPr="008B5572">
        <w:rPr>
          <w:rFonts w:ascii="Book Antiqua" w:eastAsia="Book Antiqua" w:hAnsi="Book Antiqua" w:cs="Book Antiqua"/>
          <w:color w:val="000000" w:themeColor="text1"/>
          <w:lang w:val="es-PR"/>
        </w:rPr>
        <w:t xml:space="preserve"> las señoras </w:t>
      </w:r>
      <w:r w:rsidRPr="008B5572">
        <w:rPr>
          <w:rFonts w:ascii="Book Antiqua" w:eastAsia="Book Antiqua" w:hAnsi="Book Antiqua" w:cs="Book Antiqua"/>
          <w:i/>
          <w:color w:val="000000" w:themeColor="text1"/>
          <w:lang w:val="es-PR"/>
        </w:rPr>
        <w:t>Soto Aguilú, Soto Tolentino</w:t>
      </w:r>
      <w:r w:rsidRPr="008B5572">
        <w:rPr>
          <w:rFonts w:ascii="Book Antiqua" w:eastAsia="Book Antiqua" w:hAnsi="Book Antiqua" w:cs="Book Antiqua"/>
          <w:color w:val="000000" w:themeColor="text1"/>
          <w:lang w:val="es-PR"/>
        </w:rPr>
        <w:t xml:space="preserve">, y el señor </w:t>
      </w:r>
      <w:r w:rsidRPr="008B5572">
        <w:rPr>
          <w:rFonts w:ascii="Book Antiqua" w:eastAsia="Book Antiqua" w:hAnsi="Book Antiqua" w:cs="Book Antiqua"/>
          <w:i/>
          <w:color w:val="000000" w:themeColor="text1"/>
          <w:lang w:val="es-PR"/>
        </w:rPr>
        <w:t>Toledo López</w:t>
      </w:r>
    </w:p>
    <w:p w14:paraId="02234008" w14:textId="75B893AD" w:rsidR="007F61B2" w:rsidRPr="00C53447" w:rsidRDefault="007F61B2" w:rsidP="00151EAB">
      <w:pPr>
        <w:pStyle w:val="NoSpacing"/>
        <w:rPr>
          <w:rFonts w:ascii="Book Antiqua" w:hAnsi="Book Antiqua"/>
          <w:sz w:val="12"/>
          <w:szCs w:val="12"/>
          <w:lang w:val="es-PR"/>
        </w:rPr>
      </w:pPr>
    </w:p>
    <w:p w14:paraId="7B3D219F" w14:textId="6FF5FFDB" w:rsidR="00C53447" w:rsidRPr="007A4177" w:rsidRDefault="0083082B" w:rsidP="00C53447">
      <w:pPr>
        <w:spacing w:line="360" w:lineRule="auto"/>
        <w:jc w:val="center"/>
        <w:rPr>
          <w:rFonts w:ascii="Book Antiqua" w:hAnsi="Book Antiqua"/>
          <w:i/>
          <w:iCs/>
          <w:szCs w:val="24"/>
          <w:lang w:val="es-419"/>
        </w:rPr>
      </w:pPr>
      <w:r w:rsidRPr="00C53447">
        <w:rPr>
          <w:rFonts w:ascii="Book Antiqua" w:hAnsi="Book Antiqua"/>
          <w:i/>
          <w:iCs/>
          <w:lang w:val="es-PR"/>
        </w:rPr>
        <w:t>Referido a</w:t>
      </w:r>
      <w:r w:rsidR="00C53447">
        <w:rPr>
          <w:rFonts w:ascii="Book Antiqua" w:hAnsi="Book Antiqua"/>
          <w:i/>
          <w:iCs/>
          <w:lang w:val="es-PR"/>
        </w:rPr>
        <w:t xml:space="preserve"> la Comisión de</w:t>
      </w:r>
      <w:r w:rsidR="00C53447" w:rsidRPr="00C53447">
        <w:rPr>
          <w:rFonts w:ascii="Book Antiqua" w:hAnsi="Book Antiqua"/>
          <w:i/>
          <w:iCs/>
          <w:szCs w:val="24"/>
          <w:lang w:val="es-419"/>
        </w:rPr>
        <w:t xml:space="preserve"> </w:t>
      </w:r>
      <w:r w:rsidR="00C53447" w:rsidRPr="007A4177">
        <w:rPr>
          <w:rFonts w:ascii="Book Antiqua" w:hAnsi="Book Antiqua"/>
          <w:i/>
          <w:iCs/>
          <w:szCs w:val="24"/>
          <w:lang w:val="es-419"/>
        </w:rPr>
        <w:t>Innovación, Reforma y Nombramientos</w:t>
      </w:r>
    </w:p>
    <w:p w14:paraId="0223400A" w14:textId="77777777" w:rsidR="007F61B2" w:rsidRPr="00C53447" w:rsidRDefault="007F61B2">
      <w:pPr>
        <w:jc w:val="both"/>
        <w:rPr>
          <w:rFonts w:ascii="Book Antiqua" w:hAnsi="Book Antiqua"/>
          <w:sz w:val="12"/>
          <w:szCs w:val="12"/>
          <w:lang w:val="es-PR"/>
        </w:rPr>
      </w:pPr>
    </w:p>
    <w:p w14:paraId="0223400B" w14:textId="77777777" w:rsidR="007F61B2" w:rsidRPr="008B5572" w:rsidRDefault="0083082B">
      <w:pPr>
        <w:jc w:val="center"/>
        <w:rPr>
          <w:rFonts w:ascii="Book Antiqua" w:hAnsi="Book Antiqua"/>
          <w:b/>
          <w:szCs w:val="24"/>
          <w:lang w:val="es-PR"/>
        </w:rPr>
      </w:pPr>
      <w:r w:rsidRPr="008B5572">
        <w:rPr>
          <w:rFonts w:ascii="Book Antiqua" w:hAnsi="Book Antiqua"/>
          <w:b/>
          <w:szCs w:val="24"/>
          <w:lang w:val="es-PR"/>
        </w:rPr>
        <w:t>LEY</w:t>
      </w:r>
    </w:p>
    <w:p w14:paraId="0223400C" w14:textId="77777777" w:rsidR="007F61B2" w:rsidRPr="00C53447" w:rsidRDefault="007F61B2">
      <w:pPr>
        <w:jc w:val="center"/>
        <w:rPr>
          <w:rFonts w:ascii="Book Antiqua" w:hAnsi="Book Antiqua"/>
          <w:b/>
          <w:sz w:val="12"/>
          <w:szCs w:val="12"/>
          <w:lang w:val="es-PR"/>
        </w:rPr>
      </w:pPr>
    </w:p>
    <w:p w14:paraId="11950644" w14:textId="26457183" w:rsidR="0031114B" w:rsidRPr="00190AC9" w:rsidRDefault="0083082B" w:rsidP="00190AC9">
      <w:pPr>
        <w:suppressLineNumbers/>
        <w:spacing w:after="240"/>
        <w:ind w:left="446" w:hanging="446"/>
        <w:jc w:val="both"/>
        <w:rPr>
          <w:rFonts w:ascii="Book Antiqua" w:hAnsi="Book Antiqua"/>
          <w:lang w:val="es-PR"/>
        </w:rPr>
      </w:pPr>
      <w:r w:rsidRPr="008B5572">
        <w:rPr>
          <w:rFonts w:ascii="Book Antiqua" w:hAnsi="Book Antiqua"/>
          <w:snapToGrid w:val="0"/>
          <w:szCs w:val="24"/>
          <w:lang w:val="es-PR"/>
        </w:rPr>
        <w:t xml:space="preserve">Para </w:t>
      </w:r>
      <w:r w:rsidR="00D709A1" w:rsidRPr="006A2546">
        <w:rPr>
          <w:rFonts w:ascii="Book Antiqua" w:hAnsi="Book Antiqua"/>
          <w:lang w:val="es-PR"/>
        </w:rPr>
        <w:t>enmendar el Artículo 2</w:t>
      </w:r>
      <w:r w:rsidR="00D709A1">
        <w:rPr>
          <w:rFonts w:ascii="Book Antiqua" w:hAnsi="Book Antiqua"/>
          <w:lang w:val="es-PR"/>
        </w:rPr>
        <w:t xml:space="preserve"> y añadir nuevos Artículos 18 al 28 y </w:t>
      </w:r>
      <w:r w:rsidR="00D709A1" w:rsidRPr="006A2546">
        <w:rPr>
          <w:rFonts w:ascii="Book Antiqua" w:hAnsi="Book Antiqua"/>
          <w:lang w:val="es-PR"/>
        </w:rPr>
        <w:t>reenumerar</w:t>
      </w:r>
      <w:r w:rsidR="00D709A1">
        <w:rPr>
          <w:rFonts w:ascii="Book Antiqua" w:hAnsi="Book Antiqua"/>
          <w:lang w:val="es-PR"/>
        </w:rPr>
        <w:t xml:space="preserve"> los actuales Artículos 18 y 19 como Artículos 29 y 30 </w:t>
      </w:r>
      <w:r w:rsidR="00860AEF">
        <w:rPr>
          <w:rFonts w:ascii="Book Antiqua" w:hAnsi="Book Antiqua"/>
          <w:lang w:val="es-PR"/>
        </w:rPr>
        <w:t>de</w:t>
      </w:r>
      <w:r w:rsidR="00D709A1" w:rsidRPr="006A2546">
        <w:rPr>
          <w:rFonts w:ascii="Book Antiqua" w:hAnsi="Book Antiqua"/>
          <w:lang w:val="es-PR"/>
        </w:rPr>
        <w:t xml:space="preserve"> la </w:t>
      </w:r>
      <w:bookmarkStart w:id="0" w:name="OLE_LINK7"/>
      <w:bookmarkStart w:id="1" w:name="OLE_LINK8"/>
      <w:r w:rsidR="00D709A1" w:rsidRPr="006A2546">
        <w:rPr>
          <w:rFonts w:ascii="Book Antiqua" w:hAnsi="Book Antiqua"/>
          <w:lang w:val="es-PR"/>
        </w:rPr>
        <w:t>Ley 238-2004, según enmendada, mejor conocida como “</w:t>
      </w:r>
      <w:r w:rsidR="00D709A1">
        <w:rPr>
          <w:rFonts w:ascii="Book Antiqua" w:hAnsi="Book Antiqua"/>
          <w:lang w:val="es-PR"/>
        </w:rPr>
        <w:t xml:space="preserve">La </w:t>
      </w:r>
      <w:r w:rsidR="00D709A1" w:rsidRPr="006A2546">
        <w:rPr>
          <w:rFonts w:ascii="Book Antiqua" w:hAnsi="Book Antiqua"/>
          <w:lang w:val="es-PR"/>
        </w:rPr>
        <w:t>Carta de Derechos de las Personas con Impedimentos”</w:t>
      </w:r>
      <w:bookmarkEnd w:id="0"/>
      <w:bookmarkEnd w:id="1"/>
      <w:r w:rsidR="00D709A1" w:rsidRPr="006A2546">
        <w:rPr>
          <w:rFonts w:ascii="Book Antiqua" w:hAnsi="Book Antiqua"/>
          <w:lang w:val="es-PR"/>
        </w:rPr>
        <w:t xml:space="preserve">, </w:t>
      </w:r>
      <w:r w:rsidR="00D709A1">
        <w:rPr>
          <w:rFonts w:ascii="Book Antiqua" w:hAnsi="Book Antiqua"/>
          <w:lang w:val="es-PR"/>
        </w:rPr>
        <w:t>a los fines de incorporar</w:t>
      </w:r>
      <w:r w:rsidR="00D709A1" w:rsidRPr="006A2546">
        <w:rPr>
          <w:rFonts w:ascii="Book Antiqua" w:hAnsi="Book Antiqua"/>
          <w:lang w:val="es-PR"/>
        </w:rPr>
        <w:t xml:space="preserve"> nuevas definiciones</w:t>
      </w:r>
      <w:r w:rsidR="00D709A1">
        <w:rPr>
          <w:rFonts w:ascii="Book Antiqua" w:hAnsi="Book Antiqua"/>
          <w:lang w:val="es-PR"/>
        </w:rPr>
        <w:t xml:space="preserve"> para </w:t>
      </w:r>
      <w:r w:rsidR="00D709A1" w:rsidRPr="006A2546">
        <w:rPr>
          <w:rFonts w:ascii="Book Antiqua" w:hAnsi="Book Antiqua"/>
          <w:lang w:val="es-PR"/>
        </w:rPr>
        <w:t>disponer el derecho de las personas con impedimentos o diversidad funcional a solicitar una orden de protección por la violación de ciertos derechos dispuestos en la Ley; establecer la competencia del Tribunal de Primera Instancia para expedirlas y disponer el trámite procesal; disponer penalidades por la violación de las condiciones de las órdenes de protección; tipificar nuevos delitos y penalidades por actos</w:t>
      </w:r>
      <w:r w:rsidR="00D709A1">
        <w:rPr>
          <w:rFonts w:ascii="Book Antiqua" w:hAnsi="Book Antiqua"/>
          <w:lang w:val="es-PR"/>
        </w:rPr>
        <w:t xml:space="preserve">; y </w:t>
      </w:r>
      <w:r w:rsidR="00D709A1" w:rsidRPr="006A2546">
        <w:rPr>
          <w:rFonts w:ascii="Book Antiqua" w:hAnsi="Book Antiqua"/>
          <w:lang w:val="es-PR"/>
        </w:rPr>
        <w:t>para otros  fines relacionados.</w:t>
      </w:r>
    </w:p>
    <w:p w14:paraId="0223400F" w14:textId="0F16C851" w:rsidR="007F61B2" w:rsidRDefault="0083082B">
      <w:pPr>
        <w:ind w:left="720" w:hanging="720"/>
        <w:jc w:val="center"/>
        <w:rPr>
          <w:rFonts w:ascii="Book Antiqua" w:hAnsi="Book Antiqua"/>
          <w:b/>
          <w:bCs/>
          <w:snapToGrid w:val="0"/>
          <w:szCs w:val="24"/>
          <w:lang w:val="es-PR"/>
        </w:rPr>
      </w:pPr>
      <w:r w:rsidRPr="008B5572">
        <w:rPr>
          <w:rFonts w:ascii="Book Antiqua" w:hAnsi="Book Antiqua"/>
          <w:b/>
          <w:bCs/>
          <w:snapToGrid w:val="0"/>
          <w:szCs w:val="24"/>
          <w:lang w:val="es-PR"/>
        </w:rPr>
        <w:t>EXPOSICI</w:t>
      </w:r>
      <w:r w:rsidR="00C53447">
        <w:rPr>
          <w:rFonts w:ascii="Book Antiqua" w:hAnsi="Book Antiqua"/>
          <w:b/>
          <w:bCs/>
          <w:snapToGrid w:val="0"/>
          <w:szCs w:val="24"/>
          <w:lang w:val="es-PR"/>
        </w:rPr>
        <w:t>Ó</w:t>
      </w:r>
      <w:r w:rsidRPr="008B5572">
        <w:rPr>
          <w:rFonts w:ascii="Book Antiqua" w:hAnsi="Book Antiqua"/>
          <w:b/>
          <w:bCs/>
          <w:snapToGrid w:val="0"/>
          <w:szCs w:val="24"/>
          <w:lang w:val="es-PR"/>
        </w:rPr>
        <w:t>N DE MOTIVOS</w:t>
      </w:r>
    </w:p>
    <w:p w14:paraId="62EAC2AE" w14:textId="77777777" w:rsidR="0031114B" w:rsidRDefault="0031114B">
      <w:pPr>
        <w:ind w:left="720" w:hanging="720"/>
        <w:jc w:val="center"/>
        <w:rPr>
          <w:rFonts w:ascii="Book Antiqua" w:hAnsi="Book Antiqua"/>
          <w:b/>
          <w:bCs/>
          <w:snapToGrid w:val="0"/>
          <w:szCs w:val="24"/>
          <w:lang w:val="es-PR"/>
        </w:rPr>
      </w:pPr>
    </w:p>
    <w:p w14:paraId="27A74179" w14:textId="77777777" w:rsidR="00190AC9" w:rsidRPr="006A2546" w:rsidRDefault="00190AC9" w:rsidP="00C53447">
      <w:pPr>
        <w:suppressLineNumbers/>
        <w:spacing w:before="120" w:after="120" w:line="360" w:lineRule="auto"/>
        <w:ind w:firstLine="547"/>
        <w:jc w:val="both"/>
        <w:rPr>
          <w:rFonts w:ascii="Book Antiqua" w:hAnsi="Book Antiqua"/>
          <w:lang w:val="es-PR"/>
        </w:rPr>
      </w:pPr>
      <w:r w:rsidRPr="006A2546">
        <w:rPr>
          <w:rFonts w:ascii="Book Antiqua" w:hAnsi="Book Antiqua"/>
          <w:lang w:val="es-PR"/>
        </w:rPr>
        <w:t xml:space="preserve">Mediante la Ley 238-2004, según enmendada, mejor conocida como “La Carta de Derechos de las Personas con Impedimentos”, y conforme al principio de la igualdad de todos los seres humanos, el Gobierno de Puerto Rico reconoció su responsabilidad de establecer las condiciones adecuadas para promover en las personas con impedimentos o diversidad funcional el goce de una vida plena y el disfrute de sus derechos naturales, humanos y legales, libre de discrimen y barreras de todo tipo. A esos efectos, la referida </w:t>
      </w:r>
      <w:r w:rsidRPr="006A2546">
        <w:rPr>
          <w:rFonts w:ascii="Book Antiqua" w:hAnsi="Book Antiqua"/>
          <w:lang w:val="es-PR"/>
        </w:rPr>
        <w:lastRenderedPageBreak/>
        <w:t>ley garantiza a las personas con impedimentos o diversidad funcional el acceso a los derechos consignados en la Carta de Derechos de la Constitución de Puerto Rico y las</w:t>
      </w:r>
      <w:r w:rsidRPr="00FD5A1F">
        <w:rPr>
          <w:rFonts w:ascii="Book Antiqua" w:hAnsi="Book Antiqua"/>
          <w:lang w:val="es-PR"/>
        </w:rPr>
        <w:t xml:space="preserve"> </w:t>
      </w:r>
      <w:r w:rsidRPr="006A2546">
        <w:rPr>
          <w:rFonts w:ascii="Book Antiqua" w:hAnsi="Book Antiqua"/>
          <w:lang w:val="es-PR"/>
        </w:rPr>
        <w:t>leyes y reglamentos aplicables. Garantiza, además, la coordinación de los recursos y servicios del Estado para atender las necesidades colectivas y particulares de las personas con impedimentos o diversidad funcional de acuerdo con su condición.</w:t>
      </w:r>
    </w:p>
    <w:p w14:paraId="568777D4" w14:textId="77777777" w:rsidR="00190AC9" w:rsidRPr="006A2546" w:rsidRDefault="00190AC9" w:rsidP="00C53447">
      <w:pPr>
        <w:suppressLineNumbers/>
        <w:spacing w:before="120" w:after="120" w:line="360" w:lineRule="auto"/>
        <w:ind w:firstLine="547"/>
        <w:jc w:val="both"/>
        <w:rPr>
          <w:rFonts w:ascii="Book Antiqua" w:hAnsi="Book Antiqua"/>
          <w:lang w:val="es-PR"/>
        </w:rPr>
      </w:pPr>
      <w:r w:rsidRPr="006A2546">
        <w:rPr>
          <w:rFonts w:ascii="Book Antiqua" w:hAnsi="Book Antiqua"/>
          <w:lang w:val="es-PR"/>
        </w:rPr>
        <w:t>No obstante, a pesar de que entre los derechos que se establecen específicamente en la Carta de Derechos de las Personas con Impedimentos está el de “</w:t>
      </w:r>
      <w:r w:rsidRPr="006A2546">
        <w:rPr>
          <w:rFonts w:ascii="Book Antiqua" w:hAnsi="Book Antiqua"/>
          <w:lang w:val="es-ES"/>
        </w:rPr>
        <w:t>[r]</w:t>
      </w:r>
      <w:proofErr w:type="spellStart"/>
      <w:r w:rsidRPr="006A2546">
        <w:rPr>
          <w:rFonts w:ascii="Book Antiqua" w:hAnsi="Book Antiqua"/>
          <w:lang w:val="es-ES"/>
        </w:rPr>
        <w:t>ecibir</w:t>
      </w:r>
      <w:proofErr w:type="spellEnd"/>
      <w:r w:rsidRPr="006A2546">
        <w:rPr>
          <w:rFonts w:ascii="Book Antiqua" w:hAnsi="Book Antiqua"/>
          <w:lang w:val="es-ES"/>
        </w:rPr>
        <w:t xml:space="preserve"> protección contra negligencia, maltrato, prejuicio, abuso o descuido por parte de sus familiares, proveedores de servicios o comunidad”</w:t>
      </w:r>
      <w:r w:rsidRPr="006A2546">
        <w:rPr>
          <w:rStyle w:val="FootnoteReference"/>
          <w:rFonts w:ascii="Book Antiqua" w:hAnsi="Book Antiqua"/>
          <w:lang w:val="es-ES"/>
        </w:rPr>
        <w:footnoteReference w:id="2"/>
      </w:r>
      <w:r w:rsidRPr="006A2546">
        <w:rPr>
          <w:rFonts w:ascii="Book Antiqua" w:hAnsi="Book Antiqua"/>
          <w:lang w:val="es-ES"/>
        </w:rPr>
        <w:t>,</w:t>
      </w:r>
      <w:r w:rsidRPr="006A2546">
        <w:rPr>
          <w:rFonts w:ascii="Book Antiqua" w:hAnsi="Book Antiqua"/>
          <w:lang w:val="es-PR"/>
        </w:rPr>
        <w:t xml:space="preserve"> no se ha dispuesto un proceso para hacer efectivo dicho derecho mediante la obtención de una orden de protección. Tampoco se ha dispuesto un procedimiento para que personas con impedimentos o diversidad funcional reciban protección de conductas constitutivas de delito en violación de los derechos establecidos en la Carta de Derechos de las Personas con Impedimentos, ni por conductas delictivas tipificadas en el Código Penal de Puerto Rico u otras leyes especiales. </w:t>
      </w:r>
    </w:p>
    <w:p w14:paraId="22F36A3E" w14:textId="503C5816" w:rsidR="0031114B" w:rsidRPr="00190AC9" w:rsidRDefault="00190AC9" w:rsidP="00C53447">
      <w:pPr>
        <w:suppressLineNumbers/>
        <w:spacing w:before="120" w:after="120" w:line="360" w:lineRule="auto"/>
        <w:ind w:firstLine="547"/>
        <w:jc w:val="both"/>
        <w:rPr>
          <w:rFonts w:ascii="Book Antiqua" w:hAnsi="Book Antiqua"/>
          <w:lang w:val="es-PR"/>
        </w:rPr>
      </w:pPr>
      <w:r w:rsidRPr="006A2546">
        <w:rPr>
          <w:rFonts w:ascii="Book Antiqua" w:hAnsi="Book Antiqua"/>
          <w:lang w:val="es-PR"/>
        </w:rPr>
        <w:t>Es por esto que la Asamblea Legislativa de Puerto Rico entiende que resulta imperativo legislar un procedimiento para la obtención de una orden de protección al amparo de la Ley 238-2004, según enmendada; tipificar ciertos delitos y sus penalidades por la violación de las condiciones de las órdenes de protección y por actos de maltrato contra personas con impedimentos o diversidad funcional; y aclarar una serie de términos, entre otros, con el fin de garantizarles el disfrute digno de su vida, con todas las protecciones provistas por ley y la participación protectora activa de las agencias concernidas cuando se atente contra cualquier miembro de esta comunidad.</w:t>
      </w:r>
    </w:p>
    <w:p w14:paraId="6AA32E6F" w14:textId="02F4BA1E" w:rsidR="00E028DD" w:rsidRPr="00515DE4" w:rsidRDefault="0083082B" w:rsidP="00C91865">
      <w:pPr>
        <w:spacing w:line="480" w:lineRule="auto"/>
        <w:jc w:val="both"/>
        <w:rPr>
          <w:rFonts w:ascii="Book Antiqua" w:hAnsi="Book Antiqua"/>
          <w:b/>
          <w:bCs/>
          <w:iCs/>
          <w:lang w:val="es-PR"/>
        </w:rPr>
      </w:pPr>
      <w:r w:rsidRPr="00515DE4">
        <w:rPr>
          <w:rFonts w:ascii="Book Antiqua" w:hAnsi="Book Antiqua"/>
          <w:b/>
          <w:bCs/>
          <w:iCs/>
          <w:lang w:val="es-PR"/>
        </w:rPr>
        <w:t>DECRÉTASE POR LA ASAMBLEA LEGISLATIVA DE PUERTO RICO:</w:t>
      </w:r>
    </w:p>
    <w:p w14:paraId="0223401D" w14:textId="77777777" w:rsidR="00C91865" w:rsidRPr="008B5572" w:rsidRDefault="00C91865">
      <w:pPr>
        <w:spacing w:line="480" w:lineRule="auto"/>
        <w:jc w:val="both"/>
        <w:rPr>
          <w:rFonts w:ascii="Book Antiqua" w:hAnsi="Book Antiqua"/>
          <w:szCs w:val="24"/>
          <w:lang w:val="es-PR"/>
        </w:rPr>
        <w:sectPr w:rsidR="00C91865" w:rsidRPr="008B5572">
          <w:headerReference w:type="even" r:id="rId12"/>
          <w:headerReference w:type="default" r:id="rId13"/>
          <w:headerReference w:type="first" r:id="rId14"/>
          <w:pgSz w:w="12240" w:h="15840"/>
          <w:pgMar w:top="1440" w:right="1440" w:bottom="1440" w:left="1440" w:header="720" w:footer="720" w:gutter="0"/>
          <w:cols w:space="720"/>
          <w:titlePg/>
        </w:sectPr>
      </w:pPr>
    </w:p>
    <w:p w14:paraId="4ACDAA12" w14:textId="77777777" w:rsidR="00190AC9" w:rsidRDefault="00190AC9" w:rsidP="00190AC9">
      <w:pPr>
        <w:spacing w:line="480" w:lineRule="auto"/>
        <w:ind w:firstLine="720"/>
        <w:jc w:val="both"/>
        <w:rPr>
          <w:rFonts w:ascii="Book Antiqua" w:hAnsi="Book Antiqua"/>
          <w:lang w:val="es-ES"/>
        </w:rPr>
      </w:pPr>
      <w:bookmarkStart w:id="2" w:name="_Hlk206434876"/>
      <w:r w:rsidRPr="00E9507A">
        <w:rPr>
          <w:rFonts w:ascii="Book Antiqua" w:hAnsi="Book Antiqua"/>
          <w:lang w:val="es-ES"/>
        </w:rPr>
        <w:t xml:space="preserve">Sección 1.- Se enmienda el Artículo 2 de la Ley 238-2004, según enmendada, para que </w:t>
      </w:r>
      <w:r>
        <w:rPr>
          <w:rFonts w:ascii="Book Antiqua" w:hAnsi="Book Antiqua"/>
          <w:lang w:val="es-ES"/>
        </w:rPr>
        <w:t xml:space="preserve">se </w:t>
      </w:r>
      <w:r w:rsidRPr="00E9507A">
        <w:rPr>
          <w:rFonts w:ascii="Book Antiqua" w:hAnsi="Book Antiqua"/>
          <w:lang w:val="es-ES"/>
        </w:rPr>
        <w:t>lea como sigue:</w:t>
      </w:r>
    </w:p>
    <w:p w14:paraId="4F02533F" w14:textId="77777777" w:rsidR="00190AC9" w:rsidRPr="009D12DA" w:rsidRDefault="00190AC9" w:rsidP="00190AC9">
      <w:pPr>
        <w:spacing w:line="480" w:lineRule="auto"/>
        <w:ind w:firstLine="720"/>
        <w:jc w:val="both"/>
        <w:rPr>
          <w:rFonts w:ascii="Book Antiqua" w:hAnsi="Book Antiqua"/>
          <w:lang w:val="es-PR"/>
        </w:rPr>
      </w:pPr>
      <w:r w:rsidRPr="00E9507A">
        <w:rPr>
          <w:rFonts w:ascii="Book Antiqua" w:hAnsi="Book Antiqua"/>
          <w:lang w:val="es-ES"/>
        </w:rPr>
        <w:lastRenderedPageBreak/>
        <w:t>“Artículo 2.– Definiciones</w:t>
      </w:r>
      <w:r>
        <w:rPr>
          <w:rFonts w:ascii="Book Antiqua" w:hAnsi="Book Antiqua"/>
          <w:lang w:val="es-ES"/>
        </w:rPr>
        <w:t xml:space="preserve"> </w:t>
      </w:r>
      <w:r>
        <w:rPr>
          <w:rFonts w:ascii="Book Antiqua" w:hAnsi="Book Antiqua"/>
          <w:b/>
          <w:bCs/>
          <w:lang w:val="es-ES"/>
        </w:rPr>
        <w:t>[</w:t>
      </w:r>
      <w:r w:rsidRPr="009D12DA">
        <w:rPr>
          <w:rFonts w:ascii="Book Antiqua" w:hAnsi="Book Antiqua"/>
          <w:b/>
          <w:bCs/>
          <w:lang w:val="es-PR"/>
        </w:rPr>
        <w:t>de Persona con Impedimentos</w:t>
      </w:r>
      <w:r>
        <w:rPr>
          <w:rFonts w:ascii="Book Antiqua" w:hAnsi="Book Antiqua"/>
          <w:b/>
          <w:bCs/>
          <w:lang w:val="es-PR"/>
        </w:rPr>
        <w:t>]</w:t>
      </w:r>
    </w:p>
    <w:p w14:paraId="27408881" w14:textId="77777777" w:rsidR="00190AC9" w:rsidRPr="009D12DA" w:rsidRDefault="00190AC9" w:rsidP="00190AC9">
      <w:pPr>
        <w:spacing w:line="480" w:lineRule="auto"/>
        <w:ind w:firstLine="720"/>
        <w:jc w:val="both"/>
        <w:rPr>
          <w:rFonts w:ascii="Book Antiqua" w:hAnsi="Book Antiqua"/>
          <w:b/>
          <w:bCs/>
          <w:lang w:val="es-PR"/>
        </w:rPr>
      </w:pPr>
      <w:r>
        <w:rPr>
          <w:rFonts w:ascii="Book Antiqua" w:hAnsi="Book Antiqua"/>
          <w:b/>
          <w:bCs/>
          <w:lang w:val="es-ES"/>
        </w:rPr>
        <w:t>[</w:t>
      </w:r>
      <w:r w:rsidRPr="009D12DA">
        <w:rPr>
          <w:rFonts w:ascii="Book Antiqua" w:hAnsi="Book Antiqua"/>
          <w:b/>
          <w:bCs/>
          <w:lang w:val="es-PR"/>
        </w:rPr>
        <w:t>Para efectos de esta Ley, el término “persona con impedimentos” se refiere a toda persona que tiene un impedimento físico, mental o sensorial que limita sustancialmente una o más actividades esenciales de su vida; tiene un historial o récord médico de impedimento físico, mental o sensorial; o es considerada que tiene un impedimento físico, mental o sensorial.</w:t>
      </w:r>
      <w:r>
        <w:rPr>
          <w:rFonts w:ascii="Book Antiqua" w:hAnsi="Book Antiqua"/>
          <w:b/>
          <w:bCs/>
          <w:lang w:val="es-PR"/>
        </w:rPr>
        <w:t>]</w:t>
      </w:r>
    </w:p>
    <w:p w14:paraId="71C196ED" w14:textId="77777777" w:rsidR="00190AC9" w:rsidRPr="009D12DA" w:rsidRDefault="00190AC9" w:rsidP="00190AC9">
      <w:pPr>
        <w:spacing w:line="480" w:lineRule="auto"/>
        <w:ind w:firstLine="720"/>
        <w:jc w:val="both"/>
        <w:rPr>
          <w:rFonts w:ascii="Book Antiqua" w:hAnsi="Book Antiqua"/>
          <w:i/>
          <w:iCs/>
          <w:lang w:val="es-ES"/>
        </w:rPr>
      </w:pPr>
      <w:r w:rsidRPr="009D12DA">
        <w:rPr>
          <w:rFonts w:ascii="Book Antiqua" w:hAnsi="Book Antiqua"/>
          <w:i/>
          <w:iCs/>
          <w:lang w:val="es-ES"/>
        </w:rPr>
        <w:t xml:space="preserve">Para efectos de esta Ley, los siguientes términos tendrán el significado que se establece a continuación: </w:t>
      </w:r>
    </w:p>
    <w:p w14:paraId="2AC7E8AD" w14:textId="77777777" w:rsidR="00190AC9" w:rsidRPr="009D12DA" w:rsidRDefault="00190AC9" w:rsidP="00190AC9">
      <w:pPr>
        <w:spacing w:line="480" w:lineRule="auto"/>
        <w:ind w:firstLine="720"/>
        <w:jc w:val="both"/>
        <w:rPr>
          <w:rFonts w:ascii="Book Antiqua" w:hAnsi="Book Antiqua"/>
          <w:i/>
          <w:iCs/>
          <w:lang w:val="es-ES"/>
        </w:rPr>
      </w:pPr>
      <w:r w:rsidRPr="009D12DA">
        <w:rPr>
          <w:rFonts w:ascii="Book Antiqua" w:hAnsi="Book Antiqua"/>
          <w:i/>
          <w:iCs/>
          <w:lang w:val="es-ES"/>
        </w:rPr>
        <w:t>(1) Agente del orden público: Significa cualquier miembro u oficial de la Policía de Puerto Rico o un Policía Municipal debidamente adiestrado y acreditado por la Policía de Puerto Rico.</w:t>
      </w:r>
    </w:p>
    <w:p w14:paraId="523601F3" w14:textId="77777777" w:rsidR="00190AC9" w:rsidRPr="009D12DA" w:rsidRDefault="00190AC9" w:rsidP="00190AC9">
      <w:pPr>
        <w:spacing w:line="480" w:lineRule="auto"/>
        <w:ind w:firstLine="720"/>
        <w:jc w:val="both"/>
        <w:rPr>
          <w:rFonts w:ascii="Book Antiqua" w:hAnsi="Book Antiqua"/>
          <w:i/>
          <w:iCs/>
          <w:lang w:val="es-ES"/>
        </w:rPr>
      </w:pPr>
      <w:r w:rsidRPr="009D12DA">
        <w:rPr>
          <w:rFonts w:ascii="Book Antiqua" w:hAnsi="Book Antiqua"/>
          <w:i/>
          <w:iCs/>
          <w:lang w:val="es-ES"/>
        </w:rPr>
        <w:t xml:space="preserve"> (2) Coacción: fuerza o violencia, física o psicológica, que se emplea contra una persona para obligarla a que exprese o haga alguna acción u omisión. </w:t>
      </w:r>
    </w:p>
    <w:p w14:paraId="7CF59D97" w14:textId="77777777" w:rsidR="00190AC9" w:rsidRPr="009D12DA" w:rsidRDefault="00190AC9" w:rsidP="00190AC9">
      <w:pPr>
        <w:spacing w:line="480" w:lineRule="auto"/>
        <w:ind w:firstLine="720"/>
        <w:jc w:val="both"/>
        <w:rPr>
          <w:rFonts w:ascii="Book Antiqua" w:hAnsi="Book Antiqua"/>
          <w:i/>
          <w:iCs/>
          <w:lang w:val="es-ES"/>
        </w:rPr>
      </w:pPr>
      <w:r w:rsidRPr="009D12DA">
        <w:rPr>
          <w:rFonts w:ascii="Book Antiqua" w:hAnsi="Book Antiqua"/>
          <w:i/>
          <w:iCs/>
          <w:lang w:val="es-ES"/>
        </w:rPr>
        <w:t xml:space="preserve"> (3) Explotación financiera: el uso impropio de los fondos, de la propiedad mueble o inmueble, o de los recursos de una persona con impedimentos o diversidad funcional por otra persona, incluyendo, pero no limitándose a, coacción, fraude, falsas pretensiones, malversaciones de fondos, falsificación de documentos, falsificación de expedientes o récords, coerción, enajenación de bienes, o negación de acceso a bienes.</w:t>
      </w:r>
    </w:p>
    <w:p w14:paraId="75ABB3A5" w14:textId="77777777" w:rsidR="00190AC9" w:rsidRPr="009D12DA" w:rsidRDefault="00190AC9" w:rsidP="00190AC9">
      <w:pPr>
        <w:spacing w:line="480" w:lineRule="auto"/>
        <w:ind w:firstLine="720"/>
        <w:jc w:val="both"/>
        <w:rPr>
          <w:rFonts w:ascii="Book Antiqua" w:hAnsi="Book Antiqua"/>
          <w:i/>
          <w:iCs/>
          <w:lang w:val="es-ES"/>
        </w:rPr>
      </w:pPr>
      <w:r w:rsidRPr="009D12DA">
        <w:rPr>
          <w:rFonts w:ascii="Book Antiqua" w:hAnsi="Book Antiqua"/>
          <w:i/>
          <w:iCs/>
          <w:lang w:val="es-ES"/>
        </w:rPr>
        <w:t xml:space="preserve"> (4) Daño emocional: Significa y surge cuando, como resultado del maltrato y la violencia, haya evidencia de que la víctima manifiesta en forma recurrente una o varias de las características siguientes: miedo paralizador, sentimientos de desamparo o desesperanza, sentimientos de frustración y fracaso, sentimientos de inseguridad, o que está desvalido, aislado, con su autoestima debilitada u otra conducta similar, cuando sea producto de actos u omisiones reiteradas.</w:t>
      </w:r>
    </w:p>
    <w:p w14:paraId="5717C2A4" w14:textId="77777777" w:rsidR="00190AC9" w:rsidRPr="009D12DA" w:rsidRDefault="00190AC9" w:rsidP="00190AC9">
      <w:pPr>
        <w:spacing w:line="480" w:lineRule="auto"/>
        <w:ind w:firstLine="720"/>
        <w:jc w:val="both"/>
        <w:rPr>
          <w:rFonts w:ascii="Book Antiqua" w:hAnsi="Book Antiqua"/>
          <w:i/>
          <w:iCs/>
          <w:lang w:val="es-ES"/>
        </w:rPr>
      </w:pPr>
      <w:r w:rsidRPr="009D12DA">
        <w:rPr>
          <w:rFonts w:ascii="Book Antiqua" w:hAnsi="Book Antiqua"/>
          <w:i/>
          <w:iCs/>
          <w:lang w:val="es-ES"/>
        </w:rPr>
        <w:lastRenderedPageBreak/>
        <w:t xml:space="preserve"> (5) Institución: es cualquier establecimiento, asilo, instituto, residencia, albergue, anexo, centro, hogar, fundación, casa, misión o refugio que se dedique al cuidado de adultos con impedimentos o diversidad funcional, durante las veinticuatro (24) horas del día, con o sin fines pecuniarios, independientemente del número de residentes.</w:t>
      </w:r>
    </w:p>
    <w:p w14:paraId="4592F79A" w14:textId="77777777" w:rsidR="00190AC9" w:rsidRPr="009D12DA" w:rsidRDefault="00190AC9" w:rsidP="00190AC9">
      <w:pPr>
        <w:spacing w:line="480" w:lineRule="auto"/>
        <w:ind w:firstLine="720"/>
        <w:jc w:val="both"/>
        <w:rPr>
          <w:rFonts w:ascii="Book Antiqua" w:hAnsi="Book Antiqua"/>
          <w:i/>
          <w:iCs/>
          <w:lang w:val="es-ES"/>
        </w:rPr>
      </w:pPr>
      <w:r w:rsidRPr="009D12DA">
        <w:rPr>
          <w:rFonts w:ascii="Book Antiqua" w:hAnsi="Book Antiqua"/>
          <w:i/>
          <w:iCs/>
          <w:lang w:val="es-ES"/>
        </w:rPr>
        <w:t xml:space="preserve"> (6) Intimidación: Significa toda acción o palabra que manifestada en forma recurrente tenga el efecto de ejercer una presión moral sobre el ánimo de la persona con impedimento o diversidad funcional, la que, por temor a sufrir algún daño físico o emocional en su persona, sus bienes o en la persona de otro, es obligada a llevar a cabo un acto contrario a su voluntad. </w:t>
      </w:r>
    </w:p>
    <w:p w14:paraId="3231A99C" w14:textId="77777777" w:rsidR="00190AC9" w:rsidRPr="009D12DA" w:rsidRDefault="00190AC9" w:rsidP="00190AC9">
      <w:pPr>
        <w:spacing w:line="480" w:lineRule="auto"/>
        <w:ind w:firstLine="720"/>
        <w:jc w:val="both"/>
        <w:rPr>
          <w:rFonts w:ascii="Book Antiqua" w:hAnsi="Book Antiqua"/>
          <w:i/>
          <w:iCs/>
          <w:lang w:val="es-ES"/>
        </w:rPr>
      </w:pPr>
      <w:r w:rsidRPr="009D12DA">
        <w:rPr>
          <w:rFonts w:ascii="Book Antiqua" w:hAnsi="Book Antiqua"/>
          <w:i/>
          <w:iCs/>
          <w:lang w:val="es-ES"/>
        </w:rPr>
        <w:t xml:space="preserve"> (7) Negligencia: una modalidad de maltrato que consiste en faltar a los deberes o dejar de ejercer las obligaciones, por acción u omisión, teniendo la obligación que le impone la ley o el tribunal de proveer alimentos y cuidado a una persona con impedimentos o diversidad funcional, incluyendo, sin limitarse a, ropa, albergue o atención médica poniendo tal manera que ponga en peligro su vida, o en riesgo su salud o integridad física o mental, o su indemnidad sexual, o que atente contra su dignidad, o poniendo en riesgo sus bienes, pertenencias o posesiones de valor, incluyendo sus mascotas. </w:t>
      </w:r>
    </w:p>
    <w:p w14:paraId="36449745" w14:textId="77777777" w:rsidR="00190AC9" w:rsidRPr="009D12DA" w:rsidRDefault="00190AC9" w:rsidP="00190AC9">
      <w:pPr>
        <w:spacing w:line="480" w:lineRule="auto"/>
        <w:ind w:firstLine="720"/>
        <w:jc w:val="both"/>
        <w:rPr>
          <w:rFonts w:ascii="Book Antiqua" w:hAnsi="Book Antiqua"/>
          <w:i/>
          <w:iCs/>
          <w:lang w:val="es-ES"/>
        </w:rPr>
      </w:pPr>
      <w:r w:rsidRPr="009D12DA">
        <w:rPr>
          <w:rFonts w:ascii="Book Antiqua" w:hAnsi="Book Antiqua"/>
          <w:i/>
          <w:iCs/>
          <w:lang w:val="es-ES"/>
        </w:rPr>
        <w:t xml:space="preserve"> (8) Orden de protección: Significa todo mandato expedido por escrito bajo el sello de un tribunal con competencia y jurisdicción, en la cual se dictan las medidas a una persona para que se abstenga de incurrir o llevar a cabo determinados actos o conductas establecidas en esta Ley que atentan contra la salud, la integridad física, mental o emocional, en casos de “indemnidad sexual”, cuando los actos atenten contra la integridad sexual de la víctima o los bienes de una persona con impedimentos o diversidad funcional, o conductas constitutivas de delito, según tipificado en esta Ley, en el Código Penal de Puerto Rico o en cualquier otra ley especial.</w:t>
      </w:r>
    </w:p>
    <w:p w14:paraId="006C047E" w14:textId="77777777" w:rsidR="00190AC9" w:rsidRPr="009D12DA" w:rsidRDefault="00190AC9" w:rsidP="00190AC9">
      <w:pPr>
        <w:spacing w:line="480" w:lineRule="auto"/>
        <w:ind w:firstLine="720"/>
        <w:jc w:val="both"/>
        <w:rPr>
          <w:rFonts w:ascii="Book Antiqua" w:hAnsi="Book Antiqua"/>
          <w:i/>
          <w:iCs/>
          <w:lang w:val="es-ES"/>
        </w:rPr>
      </w:pPr>
      <w:r w:rsidRPr="009D12DA">
        <w:rPr>
          <w:rFonts w:ascii="Book Antiqua" w:hAnsi="Book Antiqua"/>
          <w:i/>
          <w:iCs/>
          <w:lang w:val="es-ES"/>
        </w:rPr>
        <w:lastRenderedPageBreak/>
        <w:t xml:space="preserve"> (9) Persona con impedimentos o diversidad funcional: se refiere a toda persona que tiene un impedimento físico, mental o sensorial, o deterioro o condición cognitiva, que limita sustancialmente una o más actividades esenciales de su vida; tiene un historial o récord médico de impedimento físico, mental o sensorial; o es considerada que tiene un impedimento físico, mental o sensorial. </w:t>
      </w:r>
    </w:p>
    <w:p w14:paraId="4AF501C2" w14:textId="77777777" w:rsidR="00190AC9" w:rsidRPr="009D12DA" w:rsidRDefault="00190AC9" w:rsidP="00190AC9">
      <w:pPr>
        <w:spacing w:line="480" w:lineRule="auto"/>
        <w:ind w:firstLine="720"/>
        <w:jc w:val="both"/>
        <w:rPr>
          <w:rFonts w:ascii="Book Antiqua" w:hAnsi="Book Antiqua"/>
          <w:i/>
          <w:iCs/>
          <w:lang w:val="es-ES"/>
        </w:rPr>
      </w:pPr>
      <w:r w:rsidRPr="009D12DA">
        <w:rPr>
          <w:rFonts w:ascii="Book Antiqua" w:hAnsi="Book Antiqua"/>
          <w:i/>
          <w:iCs/>
          <w:lang w:val="es-ES"/>
        </w:rPr>
        <w:t xml:space="preserve"> (10) Peticionado: Significa toda persona contra la cual se solicita una orden de protección.</w:t>
      </w:r>
    </w:p>
    <w:p w14:paraId="34513ADB" w14:textId="77777777" w:rsidR="00190AC9" w:rsidRPr="009D12DA" w:rsidRDefault="00190AC9" w:rsidP="00190AC9">
      <w:pPr>
        <w:spacing w:line="480" w:lineRule="auto"/>
        <w:ind w:firstLine="720"/>
        <w:jc w:val="both"/>
        <w:rPr>
          <w:rFonts w:ascii="Book Antiqua" w:hAnsi="Book Antiqua"/>
          <w:i/>
          <w:iCs/>
          <w:lang w:val="es-ES"/>
        </w:rPr>
      </w:pPr>
      <w:r w:rsidRPr="009D12DA">
        <w:rPr>
          <w:rFonts w:ascii="Book Antiqua" w:hAnsi="Book Antiqua"/>
          <w:i/>
          <w:iCs/>
          <w:lang w:val="es-ES"/>
        </w:rPr>
        <w:t xml:space="preserve"> (11) Peticionario: Significa la persona con impedimento o diversidad funcional que solicita al tribunal que expida una orden de protección para sí, o la persona con impedimento o diversidad funcional en cuyo beneficio se solicita una orden de protección cuando por cualquier razón no pueda solicitarla por sí misma.</w:t>
      </w:r>
    </w:p>
    <w:p w14:paraId="2B4BBE86" w14:textId="77777777" w:rsidR="00190AC9" w:rsidRPr="009D12DA" w:rsidRDefault="00190AC9" w:rsidP="00190AC9">
      <w:pPr>
        <w:spacing w:line="480" w:lineRule="auto"/>
        <w:ind w:firstLine="720"/>
        <w:jc w:val="both"/>
        <w:rPr>
          <w:rFonts w:ascii="Book Antiqua" w:hAnsi="Book Antiqua"/>
          <w:i/>
          <w:iCs/>
          <w:lang w:val="es-ES"/>
        </w:rPr>
      </w:pPr>
      <w:r w:rsidRPr="009D12DA">
        <w:rPr>
          <w:rFonts w:ascii="Book Antiqua" w:hAnsi="Book Antiqua"/>
          <w:i/>
          <w:iCs/>
          <w:lang w:val="es-ES"/>
        </w:rPr>
        <w:t xml:space="preserve"> (12) Tribunal: Significa el Tribunal de Primera Instancia con competencia y jurisdicción.”</w:t>
      </w:r>
    </w:p>
    <w:p w14:paraId="13D8E1CA" w14:textId="77777777" w:rsidR="00190AC9" w:rsidRPr="00E9507A" w:rsidRDefault="00190AC9" w:rsidP="00190AC9">
      <w:pPr>
        <w:spacing w:line="480" w:lineRule="auto"/>
        <w:ind w:firstLine="720"/>
        <w:jc w:val="both"/>
        <w:rPr>
          <w:rFonts w:ascii="Book Antiqua" w:hAnsi="Book Antiqua"/>
          <w:lang w:val="es-ES"/>
        </w:rPr>
      </w:pPr>
      <w:r w:rsidRPr="00E9507A">
        <w:rPr>
          <w:rFonts w:ascii="Book Antiqua" w:hAnsi="Book Antiqua"/>
          <w:lang w:val="es-ES"/>
        </w:rPr>
        <w:t xml:space="preserve">Sección 2.- Se </w:t>
      </w:r>
      <w:r>
        <w:rPr>
          <w:rFonts w:ascii="Book Antiqua" w:hAnsi="Book Antiqua"/>
          <w:lang w:val="es-ES"/>
        </w:rPr>
        <w:t>añade un</w:t>
      </w:r>
      <w:r w:rsidRPr="00E9507A">
        <w:rPr>
          <w:rFonts w:ascii="Book Antiqua" w:hAnsi="Book Antiqua"/>
          <w:lang w:val="es-ES"/>
        </w:rPr>
        <w:t xml:space="preserve"> nuevo Artículo</w:t>
      </w:r>
      <w:r>
        <w:rPr>
          <w:rFonts w:ascii="Book Antiqua" w:hAnsi="Book Antiqua"/>
          <w:lang w:val="es-ES"/>
        </w:rPr>
        <w:t xml:space="preserve"> 18 </w:t>
      </w:r>
      <w:r w:rsidRPr="00E9507A">
        <w:rPr>
          <w:rFonts w:ascii="Book Antiqua" w:hAnsi="Book Antiqua"/>
          <w:lang w:val="es-ES"/>
        </w:rPr>
        <w:t xml:space="preserve">a la Ley 238-2004, según enmendada, para que </w:t>
      </w:r>
      <w:r>
        <w:rPr>
          <w:rFonts w:ascii="Book Antiqua" w:hAnsi="Book Antiqua"/>
          <w:lang w:val="es-ES"/>
        </w:rPr>
        <w:t xml:space="preserve">se </w:t>
      </w:r>
      <w:r w:rsidRPr="00E9507A">
        <w:rPr>
          <w:rFonts w:ascii="Book Antiqua" w:hAnsi="Book Antiqua"/>
          <w:lang w:val="es-ES"/>
        </w:rPr>
        <w:t>lea como sigue:</w:t>
      </w:r>
    </w:p>
    <w:p w14:paraId="025AC453" w14:textId="77777777" w:rsidR="00190AC9" w:rsidRPr="009D12DA" w:rsidRDefault="00190AC9" w:rsidP="00190AC9">
      <w:pPr>
        <w:spacing w:line="480" w:lineRule="auto"/>
        <w:ind w:firstLine="720"/>
        <w:jc w:val="both"/>
        <w:rPr>
          <w:rFonts w:ascii="Book Antiqua" w:hAnsi="Book Antiqua"/>
          <w:i/>
          <w:iCs/>
          <w:lang w:val="es-ES"/>
        </w:rPr>
      </w:pPr>
      <w:r w:rsidRPr="009D12DA">
        <w:rPr>
          <w:rFonts w:ascii="Book Antiqua" w:hAnsi="Book Antiqua"/>
          <w:i/>
          <w:iCs/>
          <w:lang w:val="es-ES"/>
        </w:rPr>
        <w:t>“Artículo 18.- Órdenes de protección</w:t>
      </w:r>
    </w:p>
    <w:p w14:paraId="6F2A51A2" w14:textId="77777777" w:rsidR="00190AC9" w:rsidRPr="009D12DA" w:rsidRDefault="00190AC9" w:rsidP="00190AC9">
      <w:pPr>
        <w:spacing w:line="480" w:lineRule="auto"/>
        <w:ind w:firstLine="720"/>
        <w:jc w:val="both"/>
        <w:rPr>
          <w:rFonts w:ascii="Book Antiqua" w:hAnsi="Book Antiqua"/>
          <w:i/>
          <w:iCs/>
          <w:lang w:val="es-ES"/>
        </w:rPr>
      </w:pPr>
      <w:r w:rsidRPr="009D12DA">
        <w:rPr>
          <w:rFonts w:ascii="Book Antiqua" w:hAnsi="Book Antiqua"/>
          <w:i/>
          <w:iCs/>
          <w:lang w:val="es-ES"/>
        </w:rPr>
        <w:t>Podrá solicitar una orden de protección cualquier persona con impedimentos o diversidad funcional que ha sido víctima, que esté siendo víctima o que está amenazada de ser víctima de actos de negligencia, hostigamiento, maltrato físico o psicológico, coacción, intimidación, descuido, abuso, abuso sexual, amenazas, explotación financiera, en cualquiera de sus modalidades, o conducta constitutiva de delito tipificado en esta Ley, en el Código Penal de Puerto Rico o en cualquier otra ley especial; cometidos en su contra por cualquier persona natural o jurídica.</w:t>
      </w:r>
    </w:p>
    <w:p w14:paraId="458A9782" w14:textId="77777777" w:rsidR="00190AC9" w:rsidRPr="009D12DA" w:rsidRDefault="00190AC9" w:rsidP="00190AC9">
      <w:pPr>
        <w:spacing w:line="480" w:lineRule="auto"/>
        <w:ind w:firstLine="720"/>
        <w:jc w:val="both"/>
        <w:rPr>
          <w:rFonts w:ascii="Book Antiqua" w:hAnsi="Book Antiqua"/>
          <w:i/>
          <w:iCs/>
          <w:lang w:val="es-ES"/>
        </w:rPr>
      </w:pPr>
      <w:r w:rsidRPr="009D12DA">
        <w:rPr>
          <w:rFonts w:ascii="Book Antiqua" w:hAnsi="Book Antiqua"/>
          <w:i/>
          <w:iCs/>
          <w:lang w:val="es-ES"/>
        </w:rPr>
        <w:t xml:space="preserve">Cualquier persona con impedimentos o diversidad funcional podrá radicar en el tribunal una solicitud de orden de protección por las anteriores causas, por sí, o por conducto de su </w:t>
      </w:r>
      <w:r w:rsidRPr="009D12DA">
        <w:rPr>
          <w:rFonts w:ascii="Book Antiqua" w:hAnsi="Book Antiqua"/>
          <w:i/>
          <w:iCs/>
          <w:lang w:val="es-ES"/>
        </w:rPr>
        <w:lastRenderedPageBreak/>
        <w:t xml:space="preserve">representante legal, de su tutor legal, de un agente del orden público o de un funcionario público en defensa del bienestar de la persona con impedimentos o diversidad funcional. Se podrá peticionar esta orden de protección sin que sea necesaria la radicación previa de una denuncia o acusación. </w:t>
      </w:r>
    </w:p>
    <w:p w14:paraId="70E3371B" w14:textId="77777777" w:rsidR="00190AC9" w:rsidRPr="009D12DA" w:rsidRDefault="00190AC9" w:rsidP="00190AC9">
      <w:pPr>
        <w:spacing w:line="480" w:lineRule="auto"/>
        <w:ind w:firstLine="720"/>
        <w:jc w:val="both"/>
        <w:rPr>
          <w:rFonts w:ascii="Book Antiqua" w:hAnsi="Book Antiqua"/>
          <w:i/>
          <w:iCs/>
          <w:lang w:val="es-ES"/>
        </w:rPr>
      </w:pPr>
      <w:r w:rsidRPr="009D12DA">
        <w:rPr>
          <w:rFonts w:ascii="Book Antiqua" w:hAnsi="Book Antiqua"/>
          <w:i/>
          <w:iCs/>
          <w:lang w:val="es-ES"/>
        </w:rPr>
        <w:t>El tribunal expedirá la orden de protección solicitada cuando determine que existen motivos suficientes para creer que la parte peticionaria ha sido víctima, está siendo víctima o que existe una amenaza real de que pueda ser víctima, de cualquiera de las causas establecidas en esta Ley para solicitar una orden de protección. La orden de protección podrá incluir, sin que se entienda como una limitación, lo siguiente:</w:t>
      </w:r>
    </w:p>
    <w:p w14:paraId="57C601B1" w14:textId="77777777" w:rsidR="00190AC9" w:rsidRPr="009D12DA" w:rsidRDefault="00190AC9" w:rsidP="00190AC9">
      <w:pPr>
        <w:spacing w:line="480" w:lineRule="auto"/>
        <w:ind w:firstLine="720"/>
        <w:jc w:val="both"/>
        <w:rPr>
          <w:rFonts w:ascii="Book Antiqua" w:hAnsi="Book Antiqua"/>
          <w:i/>
          <w:iCs/>
          <w:lang w:val="es-ES"/>
        </w:rPr>
      </w:pPr>
      <w:r w:rsidRPr="009D12DA">
        <w:rPr>
          <w:rFonts w:ascii="Book Antiqua" w:hAnsi="Book Antiqua"/>
          <w:i/>
          <w:iCs/>
          <w:lang w:val="es-ES"/>
        </w:rPr>
        <w:t>(a)</w:t>
      </w:r>
      <w:r w:rsidRPr="009D12DA">
        <w:rPr>
          <w:rFonts w:ascii="Book Antiqua" w:hAnsi="Book Antiqua"/>
          <w:i/>
          <w:iCs/>
          <w:lang w:val="es-ES"/>
        </w:rPr>
        <w:tab/>
        <w:t>Ordenar a la parte peticionada desalojar la residencia que comparte con la parte peticionaria, independientemente del derecho que se reclame sobre la misma.</w:t>
      </w:r>
    </w:p>
    <w:p w14:paraId="623BB8F1" w14:textId="77777777" w:rsidR="00190AC9" w:rsidRPr="009D12DA" w:rsidRDefault="00190AC9" w:rsidP="00190AC9">
      <w:pPr>
        <w:spacing w:line="480" w:lineRule="auto"/>
        <w:ind w:firstLine="720"/>
        <w:jc w:val="both"/>
        <w:rPr>
          <w:rFonts w:ascii="Book Antiqua" w:hAnsi="Book Antiqua"/>
          <w:i/>
          <w:iCs/>
          <w:lang w:val="es-ES"/>
        </w:rPr>
      </w:pPr>
      <w:r w:rsidRPr="009D12DA">
        <w:rPr>
          <w:rFonts w:ascii="Book Antiqua" w:hAnsi="Book Antiqua"/>
          <w:i/>
          <w:iCs/>
          <w:lang w:val="es-ES"/>
        </w:rPr>
        <w:t>(b)</w:t>
      </w:r>
      <w:r w:rsidRPr="009D12DA">
        <w:rPr>
          <w:rFonts w:ascii="Book Antiqua" w:hAnsi="Book Antiqua"/>
          <w:i/>
          <w:iCs/>
          <w:lang w:val="es-ES"/>
        </w:rPr>
        <w:tab/>
        <w:t>Ordenar a la parte peticionada abstenerse de molestar, hostigar, perseguir, intimidar, amenazar con hacer daño a la propiedad, a terceros, pertenencias, posesiones de valor, incluyendo sus mascotas, o de cualquier otra forma interferir con el ejercicio de los derechos que se le reconocen en esta Ley.</w:t>
      </w:r>
    </w:p>
    <w:p w14:paraId="2832E6FE" w14:textId="77777777" w:rsidR="00190AC9" w:rsidRPr="009D12DA" w:rsidRDefault="00190AC9" w:rsidP="00190AC9">
      <w:pPr>
        <w:spacing w:line="480" w:lineRule="auto"/>
        <w:ind w:firstLine="720"/>
        <w:jc w:val="both"/>
        <w:rPr>
          <w:rFonts w:ascii="Book Antiqua" w:hAnsi="Book Antiqua"/>
          <w:i/>
          <w:iCs/>
          <w:lang w:val="es-ES"/>
        </w:rPr>
      </w:pPr>
      <w:r w:rsidRPr="009D12DA">
        <w:rPr>
          <w:rFonts w:ascii="Book Antiqua" w:hAnsi="Book Antiqua"/>
          <w:i/>
          <w:iCs/>
          <w:lang w:val="es-ES"/>
        </w:rPr>
        <w:t>(c)</w:t>
      </w:r>
      <w:r w:rsidRPr="009D12DA">
        <w:rPr>
          <w:rFonts w:ascii="Book Antiqua" w:hAnsi="Book Antiqua"/>
          <w:i/>
          <w:iCs/>
          <w:lang w:val="es-ES"/>
        </w:rPr>
        <w:tab/>
        <w:t>Ordenar a la parte peticionada abstenerse de acercarse o penetrar en cualquier lugar donde se encuentre la parte peticionaria cuando a discreción del tribunal dicha limitación resulte necesaria para prevenir que la parte peticionada moleste, intimide, amenace, perturbe la tranquilidad o de cualquier otra forma interfiera con la parte peticionaria.</w:t>
      </w:r>
    </w:p>
    <w:p w14:paraId="43D47843" w14:textId="77777777" w:rsidR="00190AC9" w:rsidRPr="009D12DA" w:rsidRDefault="00190AC9" w:rsidP="00190AC9">
      <w:pPr>
        <w:spacing w:line="480" w:lineRule="auto"/>
        <w:ind w:firstLine="720"/>
        <w:jc w:val="both"/>
        <w:rPr>
          <w:rFonts w:ascii="Book Antiqua" w:hAnsi="Book Antiqua"/>
          <w:i/>
          <w:iCs/>
          <w:lang w:val="es-ES"/>
        </w:rPr>
      </w:pPr>
      <w:r w:rsidRPr="009D12DA">
        <w:rPr>
          <w:rFonts w:ascii="Book Antiqua" w:hAnsi="Book Antiqua"/>
          <w:i/>
          <w:iCs/>
          <w:lang w:val="es-ES"/>
        </w:rPr>
        <w:t>(d)</w:t>
      </w:r>
      <w:r w:rsidRPr="009D12DA">
        <w:rPr>
          <w:rFonts w:ascii="Book Antiqua" w:hAnsi="Book Antiqua"/>
          <w:i/>
          <w:iCs/>
          <w:lang w:val="es-ES"/>
        </w:rPr>
        <w:tab/>
        <w:t>Ordenar a la parte peticionada pagar una pensión si procede conforme a derecho.</w:t>
      </w:r>
    </w:p>
    <w:p w14:paraId="491681F3" w14:textId="77777777" w:rsidR="00190AC9" w:rsidRPr="009D12DA" w:rsidRDefault="00190AC9" w:rsidP="00190AC9">
      <w:pPr>
        <w:spacing w:line="480" w:lineRule="auto"/>
        <w:ind w:firstLine="720"/>
        <w:jc w:val="both"/>
        <w:rPr>
          <w:rFonts w:ascii="Book Antiqua" w:hAnsi="Book Antiqua"/>
          <w:i/>
          <w:iCs/>
          <w:lang w:val="es-ES"/>
        </w:rPr>
      </w:pPr>
      <w:r w:rsidRPr="009D12DA">
        <w:rPr>
          <w:rFonts w:ascii="Book Antiqua" w:hAnsi="Book Antiqua"/>
          <w:i/>
          <w:iCs/>
          <w:lang w:val="es-ES"/>
        </w:rPr>
        <w:t>(e)</w:t>
      </w:r>
      <w:r w:rsidRPr="009D12DA">
        <w:rPr>
          <w:rFonts w:ascii="Book Antiqua" w:hAnsi="Book Antiqua"/>
          <w:i/>
          <w:iCs/>
          <w:lang w:val="es-ES"/>
        </w:rPr>
        <w:tab/>
        <w:t xml:space="preserve">Prohibir a la parte peticionada disponer en cualquier forma de los bienes de la parte peticionaria. Disponiéndose, que cuando se trate de actos de administración de negocio, comercio o industria, la parte contra la cual se expida la orden deberá someter un informe financiero mensual </w:t>
      </w:r>
      <w:r w:rsidRPr="009D12DA">
        <w:rPr>
          <w:rFonts w:ascii="Book Antiqua" w:hAnsi="Book Antiqua"/>
          <w:i/>
          <w:iCs/>
          <w:lang w:val="es-ES"/>
        </w:rPr>
        <w:lastRenderedPageBreak/>
        <w:t>al tribunal de sus gestiones administrativas. De no radicarse el informe en el término provisto, se impondrá una multa de veinte (20) dólares diarios hasta que sea radicado el informe antes mencionado, que pagará la parte responsable de radicar dicho informe de su pecunio.</w:t>
      </w:r>
    </w:p>
    <w:p w14:paraId="7F84186C" w14:textId="77777777" w:rsidR="00190AC9" w:rsidRPr="009D12DA" w:rsidRDefault="00190AC9" w:rsidP="00190AC9">
      <w:pPr>
        <w:spacing w:line="480" w:lineRule="auto"/>
        <w:ind w:firstLine="720"/>
        <w:jc w:val="both"/>
        <w:rPr>
          <w:rFonts w:ascii="Book Antiqua" w:hAnsi="Book Antiqua"/>
          <w:i/>
          <w:iCs/>
          <w:lang w:val="es-ES"/>
        </w:rPr>
      </w:pPr>
      <w:r w:rsidRPr="009D12DA">
        <w:rPr>
          <w:rFonts w:ascii="Book Antiqua" w:hAnsi="Book Antiqua"/>
          <w:i/>
          <w:iCs/>
          <w:lang w:val="es-ES"/>
        </w:rPr>
        <w:t>(f)</w:t>
      </w:r>
      <w:r w:rsidRPr="009D12DA">
        <w:rPr>
          <w:rFonts w:ascii="Book Antiqua" w:hAnsi="Book Antiqua"/>
          <w:i/>
          <w:iCs/>
          <w:lang w:val="es-ES"/>
        </w:rPr>
        <w:tab/>
        <w:t>Ordenar cualesquiera de las medidas provisionales respecto a la posesión y uso de la residencia de las partes, de ser este el caso, o sobre aquellos bienes muebles de propiedad común.</w:t>
      </w:r>
    </w:p>
    <w:p w14:paraId="09A9DC93" w14:textId="77777777" w:rsidR="00190AC9" w:rsidRPr="009D12DA" w:rsidRDefault="00190AC9" w:rsidP="00190AC9">
      <w:pPr>
        <w:spacing w:line="480" w:lineRule="auto"/>
        <w:ind w:firstLine="720"/>
        <w:jc w:val="both"/>
        <w:rPr>
          <w:rFonts w:ascii="Book Antiqua" w:hAnsi="Book Antiqua"/>
          <w:i/>
          <w:iCs/>
          <w:lang w:val="es-ES"/>
        </w:rPr>
      </w:pPr>
      <w:r w:rsidRPr="009D12DA">
        <w:rPr>
          <w:rFonts w:ascii="Book Antiqua" w:hAnsi="Book Antiqua"/>
          <w:i/>
          <w:iCs/>
          <w:lang w:val="es-ES"/>
        </w:rPr>
        <w:t>(g)</w:t>
      </w:r>
      <w:r w:rsidRPr="009D12DA">
        <w:rPr>
          <w:rFonts w:ascii="Book Antiqua" w:hAnsi="Book Antiqua"/>
          <w:i/>
          <w:iCs/>
          <w:lang w:val="es-ES"/>
        </w:rPr>
        <w:tab/>
        <w:t>Ordenar a la parte peticionada pagar una indemnización económica de su caudal por los daños que fueren causados por la conducta constitutiva de maltrato y/o negligencia. Dicha indemnización podrá incluir, pero no estará limitada a compensación por gastos de mudanza, gastos por reparaciones a la propiedad, gastos legales, gastos médicos, psiquiátricos, psicológicos, de consejería, orientación, alojamiento, albergue, asistencia tecnológica y otros gastos similares para el perjudicado, incluyendo posesiones valiosas y sentimentales, sin perjuicio de otras acciones civiles a las que tenga derecho la parte peticionaria.</w:t>
      </w:r>
    </w:p>
    <w:p w14:paraId="547FB843" w14:textId="77777777" w:rsidR="00190AC9" w:rsidRPr="009D12DA" w:rsidRDefault="00190AC9" w:rsidP="00190AC9">
      <w:pPr>
        <w:spacing w:line="480" w:lineRule="auto"/>
        <w:ind w:firstLine="720"/>
        <w:jc w:val="both"/>
        <w:rPr>
          <w:rFonts w:ascii="Book Antiqua" w:hAnsi="Book Antiqua"/>
          <w:i/>
          <w:iCs/>
          <w:lang w:val="es-ES"/>
        </w:rPr>
      </w:pPr>
      <w:r w:rsidRPr="009D12DA">
        <w:rPr>
          <w:rFonts w:ascii="Book Antiqua" w:hAnsi="Book Antiqua"/>
          <w:i/>
          <w:iCs/>
          <w:lang w:val="es-ES"/>
        </w:rPr>
        <w:t>(h)</w:t>
      </w:r>
      <w:r w:rsidRPr="009D12DA">
        <w:rPr>
          <w:rFonts w:ascii="Book Antiqua" w:hAnsi="Book Antiqua"/>
          <w:i/>
          <w:iCs/>
          <w:lang w:val="es-ES"/>
        </w:rPr>
        <w:tab/>
        <w:t>Ordenar al dueño o encargado de una institución, un establecimiento residencial u hospitalario donde se encuentre la parte peticionaria, y ordenar al patrono de la parte peticionaria, a tomar las medidas necesarias para garantizar el cumplimiento de la orden, o cualquier parte de esta.</w:t>
      </w:r>
    </w:p>
    <w:p w14:paraId="42CCB968" w14:textId="77777777" w:rsidR="00190AC9" w:rsidRDefault="00190AC9" w:rsidP="00190AC9">
      <w:pPr>
        <w:spacing w:line="480" w:lineRule="auto"/>
        <w:ind w:firstLine="720"/>
        <w:jc w:val="both"/>
        <w:rPr>
          <w:rFonts w:ascii="Book Antiqua" w:hAnsi="Book Antiqua"/>
          <w:i/>
          <w:iCs/>
          <w:lang w:val="es-ES"/>
        </w:rPr>
      </w:pPr>
      <w:r w:rsidRPr="009D12DA">
        <w:rPr>
          <w:rFonts w:ascii="Book Antiqua" w:hAnsi="Book Antiqua"/>
          <w:i/>
          <w:iCs/>
          <w:lang w:val="es-ES"/>
        </w:rPr>
        <w:t>(i)</w:t>
      </w:r>
      <w:r w:rsidRPr="009D12DA">
        <w:rPr>
          <w:rFonts w:ascii="Book Antiqua" w:hAnsi="Book Antiqua"/>
          <w:i/>
          <w:iCs/>
          <w:lang w:val="es-ES"/>
        </w:rPr>
        <w:tab/>
        <w:t>Emitir cualquier orden necesaria para dar cumplimiento a los propósitos y política pública de esta Ley.</w:t>
      </w:r>
      <w:r>
        <w:rPr>
          <w:rFonts w:ascii="Book Antiqua" w:hAnsi="Book Antiqua"/>
          <w:i/>
          <w:iCs/>
          <w:lang w:val="es-ES"/>
        </w:rPr>
        <w:t>”</w:t>
      </w:r>
    </w:p>
    <w:p w14:paraId="42F1A72B" w14:textId="77777777" w:rsidR="00190AC9" w:rsidRPr="007A02DE" w:rsidRDefault="00190AC9" w:rsidP="00190AC9">
      <w:pPr>
        <w:spacing w:line="480" w:lineRule="auto"/>
        <w:ind w:firstLine="720"/>
        <w:jc w:val="both"/>
        <w:rPr>
          <w:rFonts w:ascii="Book Antiqua" w:hAnsi="Book Antiqua"/>
          <w:lang w:val="es-ES"/>
        </w:rPr>
      </w:pPr>
      <w:bookmarkStart w:id="3" w:name="_Hlk219058566"/>
      <w:r w:rsidRPr="00E9507A">
        <w:rPr>
          <w:rFonts w:ascii="Book Antiqua" w:hAnsi="Book Antiqua"/>
          <w:lang w:val="es-ES"/>
        </w:rPr>
        <w:t xml:space="preserve">Sección </w:t>
      </w:r>
      <w:r>
        <w:rPr>
          <w:rFonts w:ascii="Book Antiqua" w:hAnsi="Book Antiqua"/>
          <w:lang w:val="es-ES"/>
        </w:rPr>
        <w:t>3</w:t>
      </w:r>
      <w:r w:rsidRPr="00E9507A">
        <w:rPr>
          <w:rFonts w:ascii="Book Antiqua" w:hAnsi="Book Antiqua"/>
          <w:lang w:val="es-ES"/>
        </w:rPr>
        <w:t xml:space="preserve">.- Se </w:t>
      </w:r>
      <w:r>
        <w:rPr>
          <w:rFonts w:ascii="Book Antiqua" w:hAnsi="Book Antiqua"/>
          <w:lang w:val="es-ES"/>
        </w:rPr>
        <w:t>añade un</w:t>
      </w:r>
      <w:r w:rsidRPr="00E9507A">
        <w:rPr>
          <w:rFonts w:ascii="Book Antiqua" w:hAnsi="Book Antiqua"/>
          <w:lang w:val="es-ES"/>
        </w:rPr>
        <w:t xml:space="preserve"> nuevo Artículo</w:t>
      </w:r>
      <w:r>
        <w:rPr>
          <w:rFonts w:ascii="Book Antiqua" w:hAnsi="Book Antiqua"/>
          <w:lang w:val="es-ES"/>
        </w:rPr>
        <w:t xml:space="preserve"> </w:t>
      </w:r>
      <w:r w:rsidRPr="00E9507A">
        <w:rPr>
          <w:rFonts w:ascii="Book Antiqua" w:hAnsi="Book Antiqua"/>
          <w:lang w:val="es-ES"/>
        </w:rPr>
        <w:t>1</w:t>
      </w:r>
      <w:r>
        <w:rPr>
          <w:rFonts w:ascii="Book Antiqua" w:hAnsi="Book Antiqua"/>
          <w:lang w:val="es-ES"/>
        </w:rPr>
        <w:t>9</w:t>
      </w:r>
      <w:r w:rsidRPr="00E9507A">
        <w:rPr>
          <w:rFonts w:ascii="Book Antiqua" w:hAnsi="Book Antiqua"/>
          <w:lang w:val="es-ES"/>
        </w:rPr>
        <w:t xml:space="preserve"> a la Ley 238-2004, según enmendada, para que </w:t>
      </w:r>
      <w:r>
        <w:rPr>
          <w:rFonts w:ascii="Book Antiqua" w:hAnsi="Book Antiqua"/>
          <w:lang w:val="es-ES"/>
        </w:rPr>
        <w:t xml:space="preserve">se </w:t>
      </w:r>
      <w:r w:rsidRPr="00E9507A">
        <w:rPr>
          <w:rFonts w:ascii="Book Antiqua" w:hAnsi="Book Antiqua"/>
          <w:lang w:val="es-ES"/>
        </w:rPr>
        <w:t>lea como sigue:</w:t>
      </w:r>
    </w:p>
    <w:bookmarkEnd w:id="3"/>
    <w:p w14:paraId="4BA6F509" w14:textId="77777777" w:rsidR="00190AC9" w:rsidRPr="009A5681" w:rsidRDefault="00190AC9" w:rsidP="00190AC9">
      <w:pPr>
        <w:spacing w:line="480" w:lineRule="auto"/>
        <w:ind w:firstLine="720"/>
        <w:jc w:val="both"/>
        <w:rPr>
          <w:rFonts w:ascii="Book Antiqua" w:hAnsi="Book Antiqua"/>
          <w:i/>
          <w:iCs/>
          <w:lang w:val="es-ES"/>
        </w:rPr>
      </w:pPr>
      <w:r>
        <w:rPr>
          <w:rFonts w:ascii="Book Antiqua" w:hAnsi="Book Antiqua"/>
          <w:i/>
          <w:iCs/>
          <w:lang w:val="es-ES"/>
        </w:rPr>
        <w:lastRenderedPageBreak/>
        <w:t>“</w:t>
      </w:r>
      <w:r w:rsidRPr="009A5681">
        <w:rPr>
          <w:rFonts w:ascii="Book Antiqua" w:hAnsi="Book Antiqua"/>
          <w:i/>
          <w:iCs/>
          <w:lang w:val="es-ES"/>
        </w:rPr>
        <w:t>Artículo 19.- Competencia. Cualquier juez del Tribunal de Primera Instancia podrá dictar una orden de protección conforme a esta Ley. Toda orden de protección podrá ser revisada en cualquier sala de superior jerarquía.</w:t>
      </w:r>
      <w:r>
        <w:rPr>
          <w:rFonts w:ascii="Book Antiqua" w:hAnsi="Book Antiqua"/>
          <w:i/>
          <w:iCs/>
          <w:lang w:val="es-ES"/>
        </w:rPr>
        <w:t>”</w:t>
      </w:r>
    </w:p>
    <w:p w14:paraId="5F1340FF" w14:textId="77777777" w:rsidR="00190AC9" w:rsidRPr="007A02DE" w:rsidRDefault="00190AC9" w:rsidP="00190AC9">
      <w:pPr>
        <w:spacing w:line="480" w:lineRule="auto"/>
        <w:ind w:firstLine="720"/>
        <w:jc w:val="both"/>
        <w:rPr>
          <w:rFonts w:ascii="Book Antiqua" w:hAnsi="Book Antiqua"/>
          <w:lang w:val="es-ES"/>
        </w:rPr>
      </w:pPr>
      <w:r w:rsidRPr="00E9507A">
        <w:rPr>
          <w:rFonts w:ascii="Book Antiqua" w:hAnsi="Book Antiqua"/>
          <w:lang w:val="es-ES"/>
        </w:rPr>
        <w:t xml:space="preserve">Sección </w:t>
      </w:r>
      <w:r>
        <w:rPr>
          <w:rFonts w:ascii="Book Antiqua" w:hAnsi="Book Antiqua"/>
          <w:lang w:val="es-ES"/>
        </w:rPr>
        <w:t>4</w:t>
      </w:r>
      <w:r w:rsidRPr="00E9507A">
        <w:rPr>
          <w:rFonts w:ascii="Book Antiqua" w:hAnsi="Book Antiqua"/>
          <w:lang w:val="es-ES"/>
        </w:rPr>
        <w:t xml:space="preserve">.- Se </w:t>
      </w:r>
      <w:r>
        <w:rPr>
          <w:rFonts w:ascii="Book Antiqua" w:hAnsi="Book Antiqua"/>
          <w:lang w:val="es-ES"/>
        </w:rPr>
        <w:t>añade un</w:t>
      </w:r>
      <w:r w:rsidRPr="00E9507A">
        <w:rPr>
          <w:rFonts w:ascii="Book Antiqua" w:hAnsi="Book Antiqua"/>
          <w:lang w:val="es-ES"/>
        </w:rPr>
        <w:t xml:space="preserve"> nuevo Artículo</w:t>
      </w:r>
      <w:r>
        <w:rPr>
          <w:rFonts w:ascii="Book Antiqua" w:hAnsi="Book Antiqua"/>
          <w:lang w:val="es-ES"/>
        </w:rPr>
        <w:t xml:space="preserve"> 20</w:t>
      </w:r>
      <w:r w:rsidRPr="00E9507A">
        <w:rPr>
          <w:rFonts w:ascii="Book Antiqua" w:hAnsi="Book Antiqua"/>
          <w:lang w:val="es-ES"/>
        </w:rPr>
        <w:t xml:space="preserve"> a la Ley 238-2004, según enmendada, para que </w:t>
      </w:r>
      <w:r>
        <w:rPr>
          <w:rFonts w:ascii="Book Antiqua" w:hAnsi="Book Antiqua"/>
          <w:lang w:val="es-ES"/>
        </w:rPr>
        <w:t xml:space="preserve">se </w:t>
      </w:r>
      <w:r w:rsidRPr="00E9507A">
        <w:rPr>
          <w:rFonts w:ascii="Book Antiqua" w:hAnsi="Book Antiqua"/>
          <w:lang w:val="es-ES"/>
        </w:rPr>
        <w:t>lea como sigue:</w:t>
      </w:r>
    </w:p>
    <w:p w14:paraId="00B1519B" w14:textId="77777777" w:rsidR="00190AC9" w:rsidRPr="009A5681" w:rsidRDefault="00190AC9" w:rsidP="00190AC9">
      <w:pPr>
        <w:spacing w:line="480" w:lineRule="auto"/>
        <w:ind w:firstLine="720"/>
        <w:jc w:val="both"/>
        <w:rPr>
          <w:rFonts w:ascii="Book Antiqua" w:hAnsi="Book Antiqua"/>
          <w:i/>
          <w:iCs/>
          <w:lang w:val="es-ES"/>
        </w:rPr>
      </w:pPr>
      <w:r>
        <w:rPr>
          <w:rFonts w:ascii="Book Antiqua" w:hAnsi="Book Antiqua"/>
          <w:i/>
          <w:iCs/>
          <w:lang w:val="es-ES"/>
        </w:rPr>
        <w:t>“</w:t>
      </w:r>
      <w:r w:rsidRPr="009A5681">
        <w:rPr>
          <w:rFonts w:ascii="Book Antiqua" w:hAnsi="Book Antiqua"/>
          <w:i/>
          <w:iCs/>
          <w:lang w:val="es-ES"/>
        </w:rPr>
        <w:t>Artículo 20.-Procedimiento</w:t>
      </w:r>
    </w:p>
    <w:p w14:paraId="2D94480E" w14:textId="77777777" w:rsidR="00190AC9" w:rsidRPr="009A5681" w:rsidRDefault="00190AC9" w:rsidP="00190AC9">
      <w:pPr>
        <w:spacing w:line="480" w:lineRule="auto"/>
        <w:ind w:firstLine="720"/>
        <w:jc w:val="both"/>
        <w:rPr>
          <w:rFonts w:ascii="Book Antiqua" w:hAnsi="Book Antiqua"/>
          <w:i/>
          <w:iCs/>
          <w:lang w:val="es-ES"/>
        </w:rPr>
      </w:pPr>
      <w:r w:rsidRPr="009A5681">
        <w:rPr>
          <w:rFonts w:ascii="Book Antiqua" w:hAnsi="Book Antiqua"/>
          <w:i/>
          <w:iCs/>
          <w:lang w:val="es-ES"/>
        </w:rPr>
        <w:t>A. Podrá solicitar una orden de protección o cualesquiera remedios civiles que establece esta Ley:</w:t>
      </w:r>
    </w:p>
    <w:p w14:paraId="2C9D0307" w14:textId="77777777" w:rsidR="00190AC9" w:rsidRPr="009A5681" w:rsidRDefault="00190AC9" w:rsidP="00190AC9">
      <w:pPr>
        <w:spacing w:line="480" w:lineRule="auto"/>
        <w:ind w:firstLine="720"/>
        <w:jc w:val="both"/>
        <w:rPr>
          <w:rFonts w:ascii="Book Antiqua" w:hAnsi="Book Antiqua"/>
          <w:i/>
          <w:iCs/>
          <w:lang w:val="es-ES"/>
        </w:rPr>
      </w:pPr>
      <w:r w:rsidRPr="009A5681">
        <w:rPr>
          <w:rFonts w:ascii="Book Antiqua" w:hAnsi="Book Antiqua"/>
          <w:i/>
          <w:iCs/>
          <w:lang w:val="es-ES"/>
        </w:rPr>
        <w:t>(1) Cualquier persona con impedimentos o diversidad funcional de dieciocho (18) años o mayor, para sí.</w:t>
      </w:r>
    </w:p>
    <w:p w14:paraId="1E89DC87" w14:textId="77777777" w:rsidR="00190AC9" w:rsidRPr="009A5681" w:rsidRDefault="00190AC9" w:rsidP="00190AC9">
      <w:pPr>
        <w:spacing w:line="480" w:lineRule="auto"/>
        <w:ind w:firstLine="720"/>
        <w:jc w:val="both"/>
        <w:rPr>
          <w:rFonts w:ascii="Book Antiqua" w:hAnsi="Book Antiqua"/>
          <w:i/>
          <w:iCs/>
          <w:lang w:val="es-ES"/>
        </w:rPr>
      </w:pPr>
      <w:r w:rsidRPr="009A5681">
        <w:rPr>
          <w:rFonts w:ascii="Book Antiqua" w:hAnsi="Book Antiqua"/>
          <w:i/>
          <w:iCs/>
          <w:lang w:val="es-ES"/>
        </w:rPr>
        <w:t xml:space="preserve">(2) Cualquier persona de dieciocho (18) años o mayor, a favor de otra persona con impedimentos o diversidad funcional cuando esta sufra de incapacidad física o mental, en el caso de una emergencia, o cuando la persona con impedimentos o diversidad funcional no pueda solicitarla por sí misma. </w:t>
      </w:r>
    </w:p>
    <w:p w14:paraId="29DDF2FC" w14:textId="77777777" w:rsidR="00190AC9" w:rsidRPr="009A5681" w:rsidRDefault="00190AC9" w:rsidP="00190AC9">
      <w:pPr>
        <w:spacing w:line="480" w:lineRule="auto"/>
        <w:ind w:firstLine="720"/>
        <w:jc w:val="both"/>
        <w:rPr>
          <w:rFonts w:ascii="Book Antiqua" w:hAnsi="Book Antiqua"/>
          <w:i/>
          <w:iCs/>
          <w:lang w:val="es-ES"/>
        </w:rPr>
      </w:pPr>
      <w:r w:rsidRPr="009A5681">
        <w:rPr>
          <w:rFonts w:ascii="Book Antiqua" w:hAnsi="Book Antiqua"/>
          <w:i/>
          <w:iCs/>
          <w:lang w:val="es-ES"/>
        </w:rPr>
        <w:t xml:space="preserve">(3) El padre o la madre a favor de un hijo menor de edad con impedimentos o diversidad funcional y los tutores legales a favor de su tutelado. </w:t>
      </w:r>
    </w:p>
    <w:p w14:paraId="42BF77C3" w14:textId="77777777" w:rsidR="00190AC9" w:rsidRPr="009A5681" w:rsidRDefault="00190AC9" w:rsidP="00190AC9">
      <w:pPr>
        <w:spacing w:line="480" w:lineRule="auto"/>
        <w:ind w:firstLine="720"/>
        <w:jc w:val="both"/>
        <w:rPr>
          <w:rFonts w:ascii="Book Antiqua" w:hAnsi="Book Antiqua"/>
          <w:i/>
          <w:iCs/>
          <w:lang w:val="es-ES"/>
        </w:rPr>
      </w:pPr>
      <w:r w:rsidRPr="009A5681">
        <w:rPr>
          <w:rFonts w:ascii="Book Antiqua" w:hAnsi="Book Antiqua"/>
          <w:i/>
          <w:iCs/>
          <w:lang w:val="es-ES"/>
        </w:rPr>
        <w:t>(4) Un agente del orden público.</w:t>
      </w:r>
    </w:p>
    <w:p w14:paraId="46625D9A" w14:textId="77777777" w:rsidR="00190AC9" w:rsidRPr="009A5681" w:rsidRDefault="00190AC9" w:rsidP="00190AC9">
      <w:pPr>
        <w:spacing w:line="480" w:lineRule="auto"/>
        <w:ind w:firstLine="720"/>
        <w:jc w:val="both"/>
        <w:rPr>
          <w:rFonts w:ascii="Book Antiqua" w:hAnsi="Book Antiqua"/>
          <w:i/>
          <w:iCs/>
          <w:lang w:val="es-ES"/>
        </w:rPr>
      </w:pPr>
      <w:r w:rsidRPr="009A5681">
        <w:rPr>
          <w:rFonts w:ascii="Book Antiqua" w:hAnsi="Book Antiqua"/>
          <w:i/>
          <w:iCs/>
          <w:lang w:val="es-ES"/>
        </w:rPr>
        <w:t xml:space="preserve">(5) Un funcionario público, en defensa del bienestar de la persona con impedimentos o diversidad funcional. </w:t>
      </w:r>
    </w:p>
    <w:p w14:paraId="46ADB25D" w14:textId="77777777" w:rsidR="00190AC9" w:rsidRPr="009A5681" w:rsidRDefault="00190AC9" w:rsidP="00190AC9">
      <w:pPr>
        <w:spacing w:line="480" w:lineRule="auto"/>
        <w:ind w:firstLine="720"/>
        <w:jc w:val="both"/>
        <w:rPr>
          <w:rFonts w:ascii="Book Antiqua" w:hAnsi="Book Antiqua"/>
          <w:i/>
          <w:iCs/>
          <w:lang w:val="es-ES"/>
        </w:rPr>
      </w:pPr>
      <w:r w:rsidRPr="009A5681">
        <w:rPr>
          <w:rFonts w:ascii="Book Antiqua" w:hAnsi="Book Antiqua"/>
          <w:i/>
          <w:iCs/>
          <w:lang w:val="es-ES"/>
        </w:rPr>
        <w:t xml:space="preserve">B. Un patrono podrá solicitar una orden de protección a favor de un empleado, visitante y cualquier otra persona con impedimentos o diversidad funcional, que se encuentre en su lugar de trabajo si dicho empleado, visitante o persona es o ha sido víctima, o está amenazado de sufrir o ser </w:t>
      </w:r>
      <w:r w:rsidRPr="009A5681">
        <w:rPr>
          <w:rFonts w:ascii="Book Antiqua" w:hAnsi="Book Antiqua"/>
          <w:i/>
          <w:iCs/>
          <w:lang w:val="es-ES"/>
        </w:rPr>
        <w:lastRenderedPageBreak/>
        <w:t>víctima de cualquiera de las causas para solicitar una orden de protección establecidas en esta Ley. El derecho a solicitar los remedios aquí establecidos no se verá afectado porque la parte peticionaria haya abandonado su lugar de trabajo para evitar ser víctima de la conducta prohibida o constitutiva de delito.</w:t>
      </w:r>
    </w:p>
    <w:p w14:paraId="10A07653" w14:textId="77777777" w:rsidR="00190AC9" w:rsidRDefault="00190AC9" w:rsidP="00190AC9">
      <w:pPr>
        <w:spacing w:line="480" w:lineRule="auto"/>
        <w:ind w:firstLine="720"/>
        <w:jc w:val="both"/>
        <w:rPr>
          <w:rFonts w:ascii="Book Antiqua" w:hAnsi="Book Antiqua"/>
          <w:i/>
          <w:iCs/>
          <w:lang w:val="es-ES"/>
        </w:rPr>
      </w:pPr>
      <w:r w:rsidRPr="009A5681">
        <w:rPr>
          <w:rFonts w:ascii="Book Antiqua" w:hAnsi="Book Antiqua"/>
          <w:i/>
          <w:iCs/>
          <w:lang w:val="es-ES"/>
        </w:rPr>
        <w:t>C. Cuando el peticionario solicite una orden de protección a favor de otra persona; o cuando un patrono solicite una orden de protección a favor de un empleado, visitante u otra persona con impedimentos o diversidad funcional que se encuentre en un lugar de trabajo; deberán haber presenciado los actos que constituyen causa para la solicitud de la orden de protección, o la persona a favor de la que se solicita la orden debe haber confiado o revelado al peticionario que ha sido víctima, que está siendo víctima o que está amenazada de sufrir o ser víctima de cualquiera de las causas para la solicitud de una orden de protección.</w:t>
      </w:r>
      <w:r>
        <w:rPr>
          <w:rFonts w:ascii="Book Antiqua" w:hAnsi="Book Antiqua"/>
          <w:i/>
          <w:iCs/>
          <w:lang w:val="es-ES"/>
        </w:rPr>
        <w:t>”</w:t>
      </w:r>
    </w:p>
    <w:p w14:paraId="76E80E23" w14:textId="77777777" w:rsidR="00190AC9" w:rsidRPr="007A02DE" w:rsidRDefault="00190AC9" w:rsidP="00190AC9">
      <w:pPr>
        <w:spacing w:line="480" w:lineRule="auto"/>
        <w:ind w:firstLine="720"/>
        <w:jc w:val="both"/>
        <w:rPr>
          <w:rFonts w:ascii="Book Antiqua" w:hAnsi="Book Antiqua"/>
          <w:lang w:val="es-ES"/>
        </w:rPr>
      </w:pPr>
      <w:r w:rsidRPr="00E9507A">
        <w:rPr>
          <w:rFonts w:ascii="Book Antiqua" w:hAnsi="Book Antiqua"/>
          <w:lang w:val="es-ES"/>
        </w:rPr>
        <w:t xml:space="preserve">Sección </w:t>
      </w:r>
      <w:r>
        <w:rPr>
          <w:rFonts w:ascii="Book Antiqua" w:hAnsi="Book Antiqua"/>
          <w:lang w:val="es-ES"/>
        </w:rPr>
        <w:t>5</w:t>
      </w:r>
      <w:r w:rsidRPr="00E9507A">
        <w:rPr>
          <w:rFonts w:ascii="Book Antiqua" w:hAnsi="Book Antiqua"/>
          <w:lang w:val="es-ES"/>
        </w:rPr>
        <w:t xml:space="preserve">.- Se </w:t>
      </w:r>
      <w:r>
        <w:rPr>
          <w:rFonts w:ascii="Book Antiqua" w:hAnsi="Book Antiqua"/>
          <w:lang w:val="es-ES"/>
        </w:rPr>
        <w:t>añade un</w:t>
      </w:r>
      <w:r w:rsidRPr="00E9507A">
        <w:rPr>
          <w:rFonts w:ascii="Book Antiqua" w:hAnsi="Book Antiqua"/>
          <w:lang w:val="es-ES"/>
        </w:rPr>
        <w:t xml:space="preserve"> nuevo Artículo</w:t>
      </w:r>
      <w:r>
        <w:rPr>
          <w:rFonts w:ascii="Book Antiqua" w:hAnsi="Book Antiqua"/>
          <w:lang w:val="es-ES"/>
        </w:rPr>
        <w:t xml:space="preserve"> 21</w:t>
      </w:r>
      <w:r w:rsidRPr="00E9507A">
        <w:rPr>
          <w:rFonts w:ascii="Book Antiqua" w:hAnsi="Book Antiqua"/>
          <w:lang w:val="es-ES"/>
        </w:rPr>
        <w:t xml:space="preserve"> a la Ley 238-2004, según enmendada, para que </w:t>
      </w:r>
      <w:r>
        <w:rPr>
          <w:rFonts w:ascii="Book Antiqua" w:hAnsi="Book Antiqua"/>
          <w:lang w:val="es-ES"/>
        </w:rPr>
        <w:t xml:space="preserve">se </w:t>
      </w:r>
      <w:r w:rsidRPr="00E9507A">
        <w:rPr>
          <w:rFonts w:ascii="Book Antiqua" w:hAnsi="Book Antiqua"/>
          <w:lang w:val="es-ES"/>
        </w:rPr>
        <w:t>lea como sigue:</w:t>
      </w:r>
    </w:p>
    <w:p w14:paraId="3F735990" w14:textId="77777777" w:rsidR="00190AC9" w:rsidRPr="009A5681" w:rsidRDefault="00190AC9" w:rsidP="00190AC9">
      <w:pPr>
        <w:spacing w:line="480" w:lineRule="auto"/>
        <w:ind w:firstLine="720"/>
        <w:jc w:val="both"/>
        <w:rPr>
          <w:rFonts w:ascii="Book Antiqua" w:hAnsi="Book Antiqua"/>
          <w:i/>
          <w:iCs/>
          <w:lang w:val="es-ES"/>
        </w:rPr>
      </w:pPr>
      <w:r>
        <w:rPr>
          <w:rFonts w:ascii="Book Antiqua" w:hAnsi="Book Antiqua"/>
          <w:i/>
          <w:iCs/>
          <w:lang w:val="es-ES"/>
        </w:rPr>
        <w:t>“</w:t>
      </w:r>
      <w:r w:rsidRPr="009A5681">
        <w:rPr>
          <w:rFonts w:ascii="Book Antiqua" w:hAnsi="Book Antiqua"/>
          <w:i/>
          <w:iCs/>
          <w:lang w:val="es-ES"/>
        </w:rPr>
        <w:t>Artículo 21.- Inicio de la acción</w:t>
      </w:r>
    </w:p>
    <w:p w14:paraId="473FC519" w14:textId="77777777" w:rsidR="00190AC9" w:rsidRPr="009A5681" w:rsidRDefault="00190AC9" w:rsidP="00190AC9">
      <w:pPr>
        <w:spacing w:line="480" w:lineRule="auto"/>
        <w:ind w:firstLine="720"/>
        <w:jc w:val="both"/>
        <w:rPr>
          <w:rFonts w:ascii="Book Antiqua" w:hAnsi="Book Antiqua"/>
          <w:i/>
          <w:iCs/>
          <w:lang w:val="es-ES"/>
        </w:rPr>
      </w:pPr>
      <w:r w:rsidRPr="009A5681">
        <w:rPr>
          <w:rFonts w:ascii="Book Antiqua" w:hAnsi="Book Antiqua"/>
          <w:i/>
          <w:iCs/>
          <w:lang w:val="es-ES"/>
        </w:rPr>
        <w:t>El procedimiento para obtener una orden de protección se podrá comenzar:</w:t>
      </w:r>
    </w:p>
    <w:p w14:paraId="74793D79" w14:textId="77777777" w:rsidR="00190AC9" w:rsidRPr="009A5681" w:rsidRDefault="00190AC9" w:rsidP="00190AC9">
      <w:pPr>
        <w:spacing w:line="480" w:lineRule="auto"/>
        <w:ind w:firstLine="720"/>
        <w:jc w:val="both"/>
        <w:rPr>
          <w:rFonts w:ascii="Book Antiqua" w:hAnsi="Book Antiqua"/>
          <w:i/>
          <w:iCs/>
          <w:lang w:val="es-ES"/>
        </w:rPr>
      </w:pPr>
      <w:r w:rsidRPr="009A5681">
        <w:rPr>
          <w:rFonts w:ascii="Book Antiqua" w:hAnsi="Book Antiqua"/>
          <w:i/>
          <w:iCs/>
          <w:lang w:val="es-ES"/>
        </w:rPr>
        <w:t xml:space="preserve"> (1) Mediante la radicación de una petición verbal o escrita; o</w:t>
      </w:r>
    </w:p>
    <w:p w14:paraId="6A3852A6" w14:textId="77777777" w:rsidR="00190AC9" w:rsidRPr="009A5681" w:rsidRDefault="00190AC9" w:rsidP="00190AC9">
      <w:pPr>
        <w:spacing w:line="480" w:lineRule="auto"/>
        <w:ind w:firstLine="720"/>
        <w:jc w:val="both"/>
        <w:rPr>
          <w:rFonts w:ascii="Book Antiqua" w:hAnsi="Book Antiqua"/>
          <w:i/>
          <w:iCs/>
          <w:lang w:val="es-ES"/>
        </w:rPr>
      </w:pPr>
      <w:r w:rsidRPr="009A5681">
        <w:rPr>
          <w:rFonts w:ascii="Book Antiqua" w:hAnsi="Book Antiqua"/>
          <w:i/>
          <w:iCs/>
          <w:lang w:val="es-ES"/>
        </w:rPr>
        <w:t xml:space="preserve"> (2) dentro de cualquier caso pendiente entre las partes, o</w:t>
      </w:r>
    </w:p>
    <w:p w14:paraId="0DC7A8B6" w14:textId="77777777" w:rsidR="00190AC9" w:rsidRPr="009A5681" w:rsidRDefault="00190AC9" w:rsidP="00190AC9">
      <w:pPr>
        <w:spacing w:line="480" w:lineRule="auto"/>
        <w:ind w:firstLine="720"/>
        <w:jc w:val="both"/>
        <w:rPr>
          <w:rFonts w:ascii="Book Antiqua" w:hAnsi="Book Antiqua"/>
          <w:i/>
          <w:iCs/>
          <w:lang w:val="es-ES"/>
        </w:rPr>
      </w:pPr>
      <w:r w:rsidRPr="009A5681">
        <w:rPr>
          <w:rFonts w:ascii="Book Antiqua" w:hAnsi="Book Antiqua"/>
          <w:i/>
          <w:iCs/>
          <w:lang w:val="es-ES"/>
        </w:rPr>
        <w:t xml:space="preserve"> (3) a solicitud del Ministerio Fiscal en un procedimiento penal, o como una condición para una probatoria o libertad condicional.</w:t>
      </w:r>
    </w:p>
    <w:p w14:paraId="3FA01201" w14:textId="77777777" w:rsidR="00190AC9" w:rsidRDefault="00190AC9" w:rsidP="00190AC9">
      <w:pPr>
        <w:spacing w:line="480" w:lineRule="auto"/>
        <w:ind w:firstLine="720"/>
        <w:jc w:val="both"/>
        <w:rPr>
          <w:rFonts w:ascii="Book Antiqua" w:hAnsi="Book Antiqua"/>
          <w:i/>
          <w:iCs/>
          <w:lang w:val="es-ES"/>
        </w:rPr>
      </w:pPr>
      <w:r w:rsidRPr="009A5681">
        <w:rPr>
          <w:rFonts w:ascii="Book Antiqua" w:hAnsi="Book Antiqua"/>
          <w:i/>
          <w:iCs/>
          <w:lang w:val="es-ES"/>
        </w:rPr>
        <w:t xml:space="preserve">Para facilitar a las personas interesadas el trámite de obtener una orden de protección bajo esta Ley, la Administración de los Tribunales tendrá disponible en la Secretaría de los Tribunales de Puerto Rico formularios sencillos para solicitar y tramitar dicha orden, diseñados en forma tal </w:t>
      </w:r>
      <w:r w:rsidRPr="009A5681">
        <w:rPr>
          <w:rFonts w:ascii="Book Antiqua" w:hAnsi="Book Antiqua"/>
          <w:i/>
          <w:iCs/>
          <w:lang w:val="es-ES"/>
        </w:rPr>
        <w:lastRenderedPageBreak/>
        <w:t>que puedan consignarse o declararse sustancialmente la información, circunstancias y datos que justifican la orden de protección solicitada. Asimismo, les proveerá la ayuda y orientación necesaria para cumplimentarlos y presentarlos.</w:t>
      </w:r>
      <w:r>
        <w:rPr>
          <w:rFonts w:ascii="Book Antiqua" w:hAnsi="Book Antiqua"/>
          <w:i/>
          <w:iCs/>
          <w:lang w:val="es-ES"/>
        </w:rPr>
        <w:t>”</w:t>
      </w:r>
    </w:p>
    <w:p w14:paraId="7ADF7991" w14:textId="77777777" w:rsidR="00190AC9" w:rsidRPr="007A02DE" w:rsidRDefault="00190AC9" w:rsidP="00190AC9">
      <w:pPr>
        <w:spacing w:line="480" w:lineRule="auto"/>
        <w:ind w:firstLine="720"/>
        <w:jc w:val="both"/>
        <w:rPr>
          <w:rFonts w:ascii="Book Antiqua" w:hAnsi="Book Antiqua"/>
          <w:lang w:val="es-ES"/>
        </w:rPr>
      </w:pPr>
      <w:r w:rsidRPr="00E9507A">
        <w:rPr>
          <w:rFonts w:ascii="Book Antiqua" w:hAnsi="Book Antiqua"/>
          <w:lang w:val="es-ES"/>
        </w:rPr>
        <w:t xml:space="preserve">Sección </w:t>
      </w:r>
      <w:r>
        <w:rPr>
          <w:rFonts w:ascii="Book Antiqua" w:hAnsi="Book Antiqua"/>
          <w:lang w:val="es-ES"/>
        </w:rPr>
        <w:t>6</w:t>
      </w:r>
      <w:r w:rsidRPr="00E9507A">
        <w:rPr>
          <w:rFonts w:ascii="Book Antiqua" w:hAnsi="Book Antiqua"/>
          <w:lang w:val="es-ES"/>
        </w:rPr>
        <w:t xml:space="preserve">.- Se </w:t>
      </w:r>
      <w:r>
        <w:rPr>
          <w:rFonts w:ascii="Book Antiqua" w:hAnsi="Book Antiqua"/>
          <w:lang w:val="es-ES"/>
        </w:rPr>
        <w:t>añade un</w:t>
      </w:r>
      <w:r w:rsidRPr="00E9507A">
        <w:rPr>
          <w:rFonts w:ascii="Book Antiqua" w:hAnsi="Book Antiqua"/>
          <w:lang w:val="es-ES"/>
        </w:rPr>
        <w:t xml:space="preserve"> nuevo Artículo</w:t>
      </w:r>
      <w:r>
        <w:rPr>
          <w:rFonts w:ascii="Book Antiqua" w:hAnsi="Book Antiqua"/>
          <w:lang w:val="es-ES"/>
        </w:rPr>
        <w:t xml:space="preserve"> 22</w:t>
      </w:r>
      <w:r w:rsidRPr="00E9507A">
        <w:rPr>
          <w:rFonts w:ascii="Book Antiqua" w:hAnsi="Book Antiqua"/>
          <w:lang w:val="es-ES"/>
        </w:rPr>
        <w:t xml:space="preserve"> a la Ley 238-2004, según enmendada, para que </w:t>
      </w:r>
      <w:r>
        <w:rPr>
          <w:rFonts w:ascii="Book Antiqua" w:hAnsi="Book Antiqua"/>
          <w:lang w:val="es-ES"/>
        </w:rPr>
        <w:t xml:space="preserve">se </w:t>
      </w:r>
      <w:r w:rsidRPr="00E9507A">
        <w:rPr>
          <w:rFonts w:ascii="Book Antiqua" w:hAnsi="Book Antiqua"/>
          <w:lang w:val="es-ES"/>
        </w:rPr>
        <w:t>lea como sigue:</w:t>
      </w:r>
    </w:p>
    <w:p w14:paraId="6A479B45" w14:textId="77777777" w:rsidR="00190AC9" w:rsidRPr="009A5681" w:rsidRDefault="00190AC9" w:rsidP="00190AC9">
      <w:pPr>
        <w:spacing w:line="480" w:lineRule="auto"/>
        <w:ind w:firstLine="720"/>
        <w:jc w:val="both"/>
        <w:rPr>
          <w:rFonts w:ascii="Book Antiqua" w:hAnsi="Book Antiqua"/>
          <w:i/>
          <w:iCs/>
          <w:lang w:val="es-ES"/>
        </w:rPr>
      </w:pPr>
      <w:r>
        <w:rPr>
          <w:rFonts w:ascii="Book Antiqua" w:hAnsi="Book Antiqua"/>
          <w:i/>
          <w:iCs/>
          <w:lang w:val="es-ES"/>
        </w:rPr>
        <w:t>“</w:t>
      </w:r>
      <w:r w:rsidRPr="009A5681">
        <w:rPr>
          <w:rFonts w:ascii="Book Antiqua" w:hAnsi="Book Antiqua"/>
          <w:i/>
          <w:iCs/>
          <w:lang w:val="es-ES"/>
        </w:rPr>
        <w:t>Artículo 22.- Notificación</w:t>
      </w:r>
    </w:p>
    <w:p w14:paraId="581C9FF9" w14:textId="77777777" w:rsidR="00190AC9" w:rsidRPr="009A5681" w:rsidRDefault="00190AC9" w:rsidP="00190AC9">
      <w:pPr>
        <w:spacing w:line="480" w:lineRule="auto"/>
        <w:ind w:firstLine="720"/>
        <w:jc w:val="both"/>
        <w:rPr>
          <w:rFonts w:ascii="Book Antiqua" w:hAnsi="Book Antiqua"/>
          <w:i/>
          <w:iCs/>
          <w:lang w:val="es-ES"/>
        </w:rPr>
      </w:pPr>
      <w:r w:rsidRPr="009A5681">
        <w:rPr>
          <w:rFonts w:ascii="Book Antiqua" w:hAnsi="Book Antiqua"/>
          <w:i/>
          <w:iCs/>
          <w:lang w:val="es-ES"/>
        </w:rPr>
        <w:t>Una vez radicada una petición de orden de protección conforme lo dispuesto en esta Ley, el tribunal expedirá una citación a las partes bajo apercibimiento de desacato para comparecer a una vista dentro de un término que no excederá de cinco (5) días. La notificación de las citaciones y copia de la petición se hará conforme a las Reglas de Procedimiento Civil y será diligenciada por un alguacil del tribunal o por cualquier otro oficial del orden público a la brevedad posible y tomará preferencia sobre otro tipo de citación, excepto aquellas de similar naturaleza. A solicitud de la parte peticionaria el tribunal podrá ordenar que la entrega de la citación se efectúe por cualquier persona mayor de 18 años que no sea parte del caso.</w:t>
      </w:r>
    </w:p>
    <w:p w14:paraId="5D32019A" w14:textId="77777777" w:rsidR="00190AC9" w:rsidRPr="009A5681" w:rsidRDefault="00190AC9" w:rsidP="00190AC9">
      <w:pPr>
        <w:spacing w:line="480" w:lineRule="auto"/>
        <w:ind w:firstLine="720"/>
        <w:jc w:val="both"/>
        <w:rPr>
          <w:rFonts w:ascii="Book Antiqua" w:hAnsi="Book Antiqua"/>
          <w:i/>
          <w:iCs/>
          <w:lang w:val="es-ES"/>
        </w:rPr>
      </w:pPr>
      <w:r w:rsidRPr="009A5681">
        <w:rPr>
          <w:rFonts w:ascii="Book Antiqua" w:hAnsi="Book Antiqua"/>
          <w:i/>
          <w:iCs/>
          <w:lang w:val="es-ES"/>
        </w:rPr>
        <w:t>El tribunal mantendrá un expediente para cada caso en el cual se anotará toda citación emitida al amparo de esta Ley.</w:t>
      </w:r>
    </w:p>
    <w:p w14:paraId="62744B3B" w14:textId="77777777" w:rsidR="00190AC9" w:rsidRDefault="00190AC9" w:rsidP="00190AC9">
      <w:pPr>
        <w:spacing w:line="480" w:lineRule="auto"/>
        <w:ind w:firstLine="720"/>
        <w:jc w:val="both"/>
        <w:rPr>
          <w:rFonts w:ascii="Book Antiqua" w:hAnsi="Book Antiqua"/>
          <w:i/>
          <w:iCs/>
          <w:lang w:val="es-ES"/>
        </w:rPr>
      </w:pPr>
      <w:r w:rsidRPr="009A5681">
        <w:rPr>
          <w:rFonts w:ascii="Book Antiqua" w:hAnsi="Book Antiqua"/>
          <w:i/>
          <w:iCs/>
          <w:lang w:val="es-ES"/>
        </w:rPr>
        <w:t xml:space="preserve"> La incomparecencia de una persona debidamente citada al amparo de esta Ley conllevará una pena por desacato al tribunal.</w:t>
      </w:r>
      <w:r>
        <w:rPr>
          <w:rFonts w:ascii="Book Antiqua" w:hAnsi="Book Antiqua"/>
          <w:i/>
          <w:iCs/>
          <w:lang w:val="es-ES"/>
        </w:rPr>
        <w:t>”</w:t>
      </w:r>
    </w:p>
    <w:p w14:paraId="227711EB" w14:textId="77777777" w:rsidR="00190AC9" w:rsidRPr="007A02DE" w:rsidRDefault="00190AC9" w:rsidP="00190AC9">
      <w:pPr>
        <w:spacing w:line="480" w:lineRule="auto"/>
        <w:ind w:firstLine="720"/>
        <w:jc w:val="both"/>
        <w:rPr>
          <w:rFonts w:ascii="Book Antiqua" w:hAnsi="Book Antiqua"/>
          <w:lang w:val="es-ES"/>
        </w:rPr>
      </w:pPr>
      <w:r w:rsidRPr="00E9507A">
        <w:rPr>
          <w:rFonts w:ascii="Book Antiqua" w:hAnsi="Book Antiqua"/>
          <w:lang w:val="es-ES"/>
        </w:rPr>
        <w:t xml:space="preserve">Sección </w:t>
      </w:r>
      <w:r>
        <w:rPr>
          <w:rFonts w:ascii="Book Antiqua" w:hAnsi="Book Antiqua"/>
          <w:lang w:val="es-ES"/>
        </w:rPr>
        <w:t>7</w:t>
      </w:r>
      <w:r w:rsidRPr="00E9507A">
        <w:rPr>
          <w:rFonts w:ascii="Book Antiqua" w:hAnsi="Book Antiqua"/>
          <w:lang w:val="es-ES"/>
        </w:rPr>
        <w:t xml:space="preserve">.- Se </w:t>
      </w:r>
      <w:r>
        <w:rPr>
          <w:rFonts w:ascii="Book Antiqua" w:hAnsi="Book Antiqua"/>
          <w:lang w:val="es-ES"/>
        </w:rPr>
        <w:t>añade un</w:t>
      </w:r>
      <w:r w:rsidRPr="00E9507A">
        <w:rPr>
          <w:rFonts w:ascii="Book Antiqua" w:hAnsi="Book Antiqua"/>
          <w:lang w:val="es-ES"/>
        </w:rPr>
        <w:t xml:space="preserve"> nuevo Artículo</w:t>
      </w:r>
      <w:r>
        <w:rPr>
          <w:rFonts w:ascii="Book Antiqua" w:hAnsi="Book Antiqua"/>
          <w:lang w:val="es-ES"/>
        </w:rPr>
        <w:t xml:space="preserve"> 23</w:t>
      </w:r>
      <w:r w:rsidRPr="00E9507A">
        <w:rPr>
          <w:rFonts w:ascii="Book Antiqua" w:hAnsi="Book Antiqua"/>
          <w:lang w:val="es-ES"/>
        </w:rPr>
        <w:t xml:space="preserve"> a la Ley 238-2004, según enmendada, para que </w:t>
      </w:r>
      <w:r>
        <w:rPr>
          <w:rFonts w:ascii="Book Antiqua" w:hAnsi="Book Antiqua"/>
          <w:lang w:val="es-ES"/>
        </w:rPr>
        <w:t xml:space="preserve">se </w:t>
      </w:r>
      <w:r w:rsidRPr="00E9507A">
        <w:rPr>
          <w:rFonts w:ascii="Book Antiqua" w:hAnsi="Book Antiqua"/>
          <w:lang w:val="es-ES"/>
        </w:rPr>
        <w:t>lea como sigue:</w:t>
      </w:r>
    </w:p>
    <w:p w14:paraId="4CF72509" w14:textId="77777777" w:rsidR="00190AC9" w:rsidRPr="009A5681" w:rsidRDefault="00190AC9" w:rsidP="00190AC9">
      <w:pPr>
        <w:spacing w:line="480" w:lineRule="auto"/>
        <w:ind w:firstLine="720"/>
        <w:jc w:val="both"/>
        <w:rPr>
          <w:rFonts w:ascii="Book Antiqua" w:hAnsi="Book Antiqua"/>
          <w:i/>
          <w:iCs/>
          <w:lang w:val="es-ES"/>
        </w:rPr>
      </w:pPr>
      <w:r>
        <w:rPr>
          <w:rFonts w:ascii="Book Antiqua" w:hAnsi="Book Antiqua"/>
          <w:i/>
          <w:iCs/>
          <w:lang w:val="es-ES"/>
        </w:rPr>
        <w:t>“</w:t>
      </w:r>
      <w:r w:rsidRPr="009A5681">
        <w:rPr>
          <w:rFonts w:ascii="Book Antiqua" w:hAnsi="Book Antiqua"/>
          <w:i/>
          <w:iCs/>
          <w:lang w:val="es-ES"/>
        </w:rPr>
        <w:t>Artículo 23.- Órdenes ex parte</w:t>
      </w:r>
    </w:p>
    <w:p w14:paraId="40549ABE" w14:textId="77777777" w:rsidR="00190AC9" w:rsidRPr="009A5681" w:rsidRDefault="00190AC9" w:rsidP="00190AC9">
      <w:pPr>
        <w:spacing w:line="480" w:lineRule="auto"/>
        <w:ind w:firstLine="720"/>
        <w:jc w:val="both"/>
        <w:rPr>
          <w:rFonts w:ascii="Book Antiqua" w:hAnsi="Book Antiqua"/>
          <w:i/>
          <w:iCs/>
          <w:lang w:val="es-ES"/>
        </w:rPr>
      </w:pPr>
      <w:r w:rsidRPr="009A5681">
        <w:rPr>
          <w:rFonts w:ascii="Book Antiqua" w:hAnsi="Book Antiqua"/>
          <w:i/>
          <w:iCs/>
          <w:lang w:val="es-ES"/>
        </w:rPr>
        <w:lastRenderedPageBreak/>
        <w:t>No obstante, lo establecido en otras disposiciones legales, el tribunal podrá emitir una orden de protección de forma ex parte si determina que:</w:t>
      </w:r>
    </w:p>
    <w:p w14:paraId="08C14803" w14:textId="77777777" w:rsidR="00190AC9" w:rsidRPr="009A5681" w:rsidRDefault="00190AC9" w:rsidP="00190AC9">
      <w:pPr>
        <w:spacing w:line="480" w:lineRule="auto"/>
        <w:ind w:firstLine="720"/>
        <w:jc w:val="both"/>
        <w:rPr>
          <w:rFonts w:ascii="Book Antiqua" w:hAnsi="Book Antiqua"/>
          <w:i/>
          <w:iCs/>
          <w:lang w:val="es-ES"/>
        </w:rPr>
      </w:pPr>
      <w:r w:rsidRPr="009A5681">
        <w:rPr>
          <w:rFonts w:ascii="Book Antiqua" w:hAnsi="Book Antiqua"/>
          <w:i/>
          <w:iCs/>
          <w:lang w:val="es-ES"/>
        </w:rPr>
        <w:t>(a) Se han hecho gestiones de forma diligente para notificar a la parte peticionada con copia de la petición que se ha radicado ante el tribunal y de la citación expedida por el tribunal y no se ha tenido éxito; o</w:t>
      </w:r>
    </w:p>
    <w:p w14:paraId="79F45E86" w14:textId="77777777" w:rsidR="00190AC9" w:rsidRPr="009A5681" w:rsidRDefault="00190AC9" w:rsidP="00190AC9">
      <w:pPr>
        <w:spacing w:line="480" w:lineRule="auto"/>
        <w:ind w:firstLine="720"/>
        <w:jc w:val="both"/>
        <w:rPr>
          <w:rFonts w:ascii="Book Antiqua" w:hAnsi="Book Antiqua"/>
          <w:i/>
          <w:iCs/>
          <w:lang w:val="es-ES"/>
        </w:rPr>
      </w:pPr>
      <w:r w:rsidRPr="009A5681">
        <w:rPr>
          <w:rFonts w:ascii="Book Antiqua" w:hAnsi="Book Antiqua"/>
          <w:i/>
          <w:iCs/>
          <w:lang w:val="es-ES"/>
        </w:rPr>
        <w:t>(b) existe la probabilidad de que dar notificación previa a la parte peticionada provocará el daño que se intenta prevenir al solicitar la orden de protección, o</w:t>
      </w:r>
    </w:p>
    <w:p w14:paraId="2EDB26CD" w14:textId="77777777" w:rsidR="00190AC9" w:rsidRPr="009A5681" w:rsidRDefault="00190AC9" w:rsidP="00190AC9">
      <w:pPr>
        <w:spacing w:line="480" w:lineRule="auto"/>
        <w:ind w:firstLine="720"/>
        <w:jc w:val="both"/>
        <w:rPr>
          <w:rFonts w:ascii="Book Antiqua" w:hAnsi="Book Antiqua"/>
          <w:i/>
          <w:iCs/>
          <w:lang w:val="es-ES"/>
        </w:rPr>
      </w:pPr>
      <w:r w:rsidRPr="009A5681">
        <w:rPr>
          <w:rFonts w:ascii="Book Antiqua" w:hAnsi="Book Antiqua"/>
          <w:i/>
          <w:iCs/>
          <w:lang w:val="es-ES"/>
        </w:rPr>
        <w:t>(c) la parte peticionaria ha demostrado a satisfacción del tribunal que existe una probabilidad sustancial de riesgo inmediato del daño que se intenta prevenir.</w:t>
      </w:r>
    </w:p>
    <w:p w14:paraId="286C6482" w14:textId="77777777" w:rsidR="00190AC9" w:rsidRDefault="00190AC9" w:rsidP="00190AC9">
      <w:pPr>
        <w:spacing w:line="480" w:lineRule="auto"/>
        <w:ind w:firstLine="720"/>
        <w:jc w:val="both"/>
        <w:rPr>
          <w:rFonts w:ascii="Book Antiqua" w:hAnsi="Book Antiqua"/>
          <w:i/>
          <w:iCs/>
          <w:lang w:val="es-ES"/>
        </w:rPr>
      </w:pPr>
      <w:r w:rsidRPr="009A5681">
        <w:rPr>
          <w:rFonts w:ascii="Book Antiqua" w:hAnsi="Book Antiqua"/>
          <w:i/>
          <w:iCs/>
          <w:lang w:val="es-ES"/>
        </w:rPr>
        <w:t>Siempre que el tribunal expida una orden de protección de manera ex parte lo hará con carácter provisional. Notificará inmediatamente a la parte peticionada con copia de la orden o de cualquier otra forma y le brindará una oportunidad para oponerse a la misma. A esos efectos, señalará una vista a celebrarse dentro de los próximos cinco (5) días de haberse expedido dicha orden ex parte, salvo que la parte peticionada solicite prórroga a tal efecto y muestre justa causa. Durante esta vista el tribunal podrá dejar sin efecto la orden, modificarla o extender los efectos de esta por el término que estime necesario.</w:t>
      </w:r>
      <w:r>
        <w:rPr>
          <w:rFonts w:ascii="Book Antiqua" w:hAnsi="Book Antiqua"/>
          <w:i/>
          <w:iCs/>
          <w:lang w:val="es-ES"/>
        </w:rPr>
        <w:t>”</w:t>
      </w:r>
    </w:p>
    <w:p w14:paraId="6158A77E" w14:textId="77777777" w:rsidR="00190AC9" w:rsidRPr="00A01F58" w:rsidRDefault="00190AC9" w:rsidP="00190AC9">
      <w:pPr>
        <w:spacing w:line="480" w:lineRule="auto"/>
        <w:ind w:firstLine="720"/>
        <w:jc w:val="both"/>
        <w:rPr>
          <w:rFonts w:ascii="Book Antiqua" w:hAnsi="Book Antiqua"/>
          <w:lang w:val="es-ES"/>
        </w:rPr>
      </w:pPr>
      <w:bookmarkStart w:id="4" w:name="_Hlk219058638"/>
      <w:r w:rsidRPr="00E9507A">
        <w:rPr>
          <w:rFonts w:ascii="Book Antiqua" w:hAnsi="Book Antiqua"/>
          <w:lang w:val="es-ES"/>
        </w:rPr>
        <w:t xml:space="preserve">Sección </w:t>
      </w:r>
      <w:r>
        <w:rPr>
          <w:rFonts w:ascii="Book Antiqua" w:hAnsi="Book Antiqua"/>
          <w:lang w:val="es-ES"/>
        </w:rPr>
        <w:t>8</w:t>
      </w:r>
      <w:r w:rsidRPr="00E9507A">
        <w:rPr>
          <w:rFonts w:ascii="Book Antiqua" w:hAnsi="Book Antiqua"/>
          <w:lang w:val="es-ES"/>
        </w:rPr>
        <w:t xml:space="preserve">.- Se </w:t>
      </w:r>
      <w:r>
        <w:rPr>
          <w:rFonts w:ascii="Book Antiqua" w:hAnsi="Book Antiqua"/>
          <w:lang w:val="es-ES"/>
        </w:rPr>
        <w:t>añade</w:t>
      </w:r>
      <w:r w:rsidRPr="00E9507A">
        <w:rPr>
          <w:rFonts w:ascii="Book Antiqua" w:hAnsi="Book Antiqua"/>
          <w:lang w:val="es-ES"/>
        </w:rPr>
        <w:t xml:space="preserve"> </w:t>
      </w:r>
      <w:r>
        <w:rPr>
          <w:rFonts w:ascii="Book Antiqua" w:hAnsi="Book Antiqua"/>
          <w:lang w:val="es-ES"/>
        </w:rPr>
        <w:t xml:space="preserve">un </w:t>
      </w:r>
      <w:r w:rsidRPr="00E9507A">
        <w:rPr>
          <w:rFonts w:ascii="Book Antiqua" w:hAnsi="Book Antiqua"/>
          <w:lang w:val="es-ES"/>
        </w:rPr>
        <w:t>nuevo Artículo</w:t>
      </w:r>
      <w:r>
        <w:rPr>
          <w:rFonts w:ascii="Book Antiqua" w:hAnsi="Book Antiqua"/>
          <w:lang w:val="es-ES"/>
        </w:rPr>
        <w:t xml:space="preserve"> 24</w:t>
      </w:r>
      <w:r w:rsidRPr="00E9507A">
        <w:rPr>
          <w:rFonts w:ascii="Book Antiqua" w:hAnsi="Book Antiqua"/>
          <w:lang w:val="es-ES"/>
        </w:rPr>
        <w:t xml:space="preserve"> a la Ley 238-2004, según enmendada, para que </w:t>
      </w:r>
      <w:r>
        <w:rPr>
          <w:rFonts w:ascii="Book Antiqua" w:hAnsi="Book Antiqua"/>
          <w:lang w:val="es-ES"/>
        </w:rPr>
        <w:t xml:space="preserve">se </w:t>
      </w:r>
      <w:r w:rsidRPr="00E9507A">
        <w:rPr>
          <w:rFonts w:ascii="Book Antiqua" w:hAnsi="Book Antiqua"/>
          <w:lang w:val="es-ES"/>
        </w:rPr>
        <w:t>lea como sigue:</w:t>
      </w:r>
    </w:p>
    <w:bookmarkEnd w:id="4"/>
    <w:p w14:paraId="211E6591" w14:textId="77777777" w:rsidR="00190AC9" w:rsidRPr="009A5681" w:rsidRDefault="00190AC9" w:rsidP="00190AC9">
      <w:pPr>
        <w:spacing w:line="480" w:lineRule="auto"/>
        <w:ind w:firstLine="720"/>
        <w:jc w:val="both"/>
        <w:rPr>
          <w:rFonts w:ascii="Book Antiqua" w:hAnsi="Book Antiqua"/>
          <w:i/>
          <w:iCs/>
          <w:lang w:val="es-ES"/>
        </w:rPr>
      </w:pPr>
      <w:r>
        <w:rPr>
          <w:rFonts w:ascii="Book Antiqua" w:hAnsi="Book Antiqua"/>
          <w:i/>
          <w:iCs/>
          <w:lang w:val="es-ES"/>
        </w:rPr>
        <w:t>“</w:t>
      </w:r>
      <w:r w:rsidRPr="009A5681">
        <w:rPr>
          <w:rFonts w:ascii="Book Antiqua" w:hAnsi="Book Antiqua"/>
          <w:i/>
          <w:iCs/>
          <w:lang w:val="es-ES"/>
        </w:rPr>
        <w:t>Artículo 24.- Contenido de las órdenes de protección</w:t>
      </w:r>
    </w:p>
    <w:p w14:paraId="262B2885" w14:textId="77777777" w:rsidR="00190AC9" w:rsidRPr="009A5681" w:rsidRDefault="00190AC9" w:rsidP="00190AC9">
      <w:pPr>
        <w:spacing w:line="480" w:lineRule="auto"/>
        <w:ind w:firstLine="720"/>
        <w:jc w:val="both"/>
        <w:rPr>
          <w:rFonts w:ascii="Book Antiqua" w:hAnsi="Book Antiqua"/>
          <w:i/>
          <w:iCs/>
          <w:lang w:val="es-ES"/>
        </w:rPr>
      </w:pPr>
      <w:r w:rsidRPr="009A5681">
        <w:rPr>
          <w:rFonts w:ascii="Book Antiqua" w:hAnsi="Book Antiqua"/>
          <w:i/>
          <w:iCs/>
          <w:lang w:val="es-ES"/>
        </w:rPr>
        <w:t>(a) Toda orden de protección debe establecer la fecha y hora en que fue expedida y el periodo de vigencia.</w:t>
      </w:r>
    </w:p>
    <w:p w14:paraId="60BE3CAC" w14:textId="77777777" w:rsidR="00190AC9" w:rsidRPr="009A5681" w:rsidRDefault="00190AC9" w:rsidP="00190AC9">
      <w:pPr>
        <w:spacing w:line="480" w:lineRule="auto"/>
        <w:ind w:firstLine="720"/>
        <w:jc w:val="both"/>
        <w:rPr>
          <w:rFonts w:ascii="Book Antiqua" w:hAnsi="Book Antiqua"/>
          <w:i/>
          <w:iCs/>
          <w:lang w:val="es-ES"/>
        </w:rPr>
      </w:pPr>
      <w:r w:rsidRPr="009A5681">
        <w:rPr>
          <w:rFonts w:ascii="Book Antiqua" w:hAnsi="Book Antiqua"/>
          <w:i/>
          <w:iCs/>
          <w:lang w:val="es-ES"/>
        </w:rPr>
        <w:lastRenderedPageBreak/>
        <w:t>(b) Toda orden de protección debe establecer específicamente las determinaciones del tribunal, los remedios ordenados, y notificar expresamente a las partes que cualquier violación a la misma constituirá desacato al tribunal, lo que podría resultar en pena de reclusión, multa o ambas.</w:t>
      </w:r>
    </w:p>
    <w:p w14:paraId="7D2A81D3" w14:textId="77777777" w:rsidR="00190AC9" w:rsidRPr="009A5681" w:rsidRDefault="00190AC9" w:rsidP="00190AC9">
      <w:pPr>
        <w:spacing w:line="480" w:lineRule="auto"/>
        <w:ind w:firstLine="720"/>
        <w:jc w:val="both"/>
        <w:rPr>
          <w:rFonts w:ascii="Book Antiqua" w:hAnsi="Book Antiqua"/>
          <w:i/>
          <w:iCs/>
          <w:lang w:val="es-ES"/>
        </w:rPr>
      </w:pPr>
      <w:r w:rsidRPr="009A5681">
        <w:rPr>
          <w:rFonts w:ascii="Book Antiqua" w:hAnsi="Book Antiqua"/>
          <w:i/>
          <w:iCs/>
          <w:lang w:val="es-ES"/>
        </w:rPr>
        <w:t xml:space="preserve">(c) Cuando la orden de protección se expida ex parte indicará, además, la fecha, hora y lugar en que se celebrará la vista para la extensión o anulación de </w:t>
      </w:r>
      <w:proofErr w:type="gramStart"/>
      <w:r w:rsidRPr="009A5681">
        <w:rPr>
          <w:rFonts w:ascii="Book Antiqua" w:hAnsi="Book Antiqua"/>
          <w:i/>
          <w:iCs/>
          <w:lang w:val="es-ES"/>
        </w:rPr>
        <w:t>la misma</w:t>
      </w:r>
      <w:proofErr w:type="gramEnd"/>
      <w:r w:rsidRPr="009A5681">
        <w:rPr>
          <w:rFonts w:ascii="Book Antiqua" w:hAnsi="Book Antiqua"/>
          <w:i/>
          <w:iCs/>
          <w:lang w:val="es-ES"/>
        </w:rPr>
        <w:t xml:space="preserve"> y las razones por las cuales fue necesario expedir dicha orden ex parte.</w:t>
      </w:r>
    </w:p>
    <w:p w14:paraId="62C378B5" w14:textId="77777777" w:rsidR="00190AC9" w:rsidRPr="009A5681" w:rsidRDefault="00190AC9" w:rsidP="00190AC9">
      <w:pPr>
        <w:spacing w:line="480" w:lineRule="auto"/>
        <w:ind w:firstLine="720"/>
        <w:jc w:val="both"/>
        <w:rPr>
          <w:rFonts w:ascii="Book Antiqua" w:hAnsi="Book Antiqua"/>
          <w:i/>
          <w:iCs/>
          <w:lang w:val="es-ES"/>
        </w:rPr>
      </w:pPr>
      <w:r w:rsidRPr="009A5681">
        <w:rPr>
          <w:rFonts w:ascii="Book Antiqua" w:hAnsi="Book Antiqua"/>
          <w:i/>
          <w:iCs/>
          <w:lang w:val="es-ES"/>
        </w:rPr>
        <w:t xml:space="preserve">(d) Toda orden de protección se hará constar en un formulario diseñado por la Oficina de Administración de los Tribunales. </w:t>
      </w:r>
    </w:p>
    <w:p w14:paraId="7FFA97BC" w14:textId="77777777" w:rsidR="00190AC9" w:rsidRDefault="00190AC9" w:rsidP="00190AC9">
      <w:pPr>
        <w:spacing w:line="480" w:lineRule="auto"/>
        <w:ind w:firstLine="720"/>
        <w:jc w:val="both"/>
        <w:rPr>
          <w:rFonts w:ascii="Book Antiqua" w:hAnsi="Book Antiqua"/>
          <w:i/>
          <w:iCs/>
          <w:lang w:val="es-ES"/>
        </w:rPr>
      </w:pPr>
      <w:r w:rsidRPr="009A5681">
        <w:rPr>
          <w:rFonts w:ascii="Book Antiqua" w:hAnsi="Book Antiqua"/>
          <w:i/>
          <w:iCs/>
          <w:lang w:val="es-ES"/>
        </w:rPr>
        <w:t>(e) Junto a toda orden de protección, el tribunal entregará al peticionario una guía de recomendaciones sobre medidas cautelares que deberá tomar para lograr mayor efectividad de esta.</w:t>
      </w:r>
      <w:r>
        <w:rPr>
          <w:rFonts w:ascii="Book Antiqua" w:hAnsi="Book Antiqua"/>
          <w:i/>
          <w:iCs/>
          <w:lang w:val="es-ES"/>
        </w:rPr>
        <w:t>”</w:t>
      </w:r>
    </w:p>
    <w:p w14:paraId="4B9BFB49" w14:textId="77777777" w:rsidR="00190AC9" w:rsidRPr="00A01F58" w:rsidRDefault="00190AC9" w:rsidP="00190AC9">
      <w:pPr>
        <w:spacing w:line="480" w:lineRule="auto"/>
        <w:ind w:firstLine="720"/>
        <w:jc w:val="both"/>
        <w:rPr>
          <w:rFonts w:ascii="Book Antiqua" w:hAnsi="Book Antiqua"/>
          <w:lang w:val="es-ES"/>
        </w:rPr>
      </w:pPr>
      <w:r w:rsidRPr="00E9507A">
        <w:rPr>
          <w:rFonts w:ascii="Book Antiqua" w:hAnsi="Book Antiqua"/>
          <w:lang w:val="es-ES"/>
        </w:rPr>
        <w:t xml:space="preserve">Sección </w:t>
      </w:r>
      <w:r>
        <w:rPr>
          <w:rFonts w:ascii="Book Antiqua" w:hAnsi="Book Antiqua"/>
          <w:lang w:val="es-ES"/>
        </w:rPr>
        <w:t>9</w:t>
      </w:r>
      <w:r w:rsidRPr="00E9507A">
        <w:rPr>
          <w:rFonts w:ascii="Book Antiqua" w:hAnsi="Book Antiqua"/>
          <w:lang w:val="es-ES"/>
        </w:rPr>
        <w:t xml:space="preserve">.- Se </w:t>
      </w:r>
      <w:r>
        <w:rPr>
          <w:rFonts w:ascii="Book Antiqua" w:hAnsi="Book Antiqua"/>
          <w:lang w:val="es-ES"/>
        </w:rPr>
        <w:t>añade un</w:t>
      </w:r>
      <w:r w:rsidRPr="00E9507A">
        <w:rPr>
          <w:rFonts w:ascii="Book Antiqua" w:hAnsi="Book Antiqua"/>
          <w:lang w:val="es-ES"/>
        </w:rPr>
        <w:t xml:space="preserve"> nuevo Artículo</w:t>
      </w:r>
      <w:r>
        <w:rPr>
          <w:rFonts w:ascii="Book Antiqua" w:hAnsi="Book Antiqua"/>
          <w:lang w:val="es-ES"/>
        </w:rPr>
        <w:t xml:space="preserve"> 25 </w:t>
      </w:r>
      <w:r w:rsidRPr="00E9507A">
        <w:rPr>
          <w:rFonts w:ascii="Book Antiqua" w:hAnsi="Book Antiqua"/>
          <w:lang w:val="es-ES"/>
        </w:rPr>
        <w:t xml:space="preserve">a la Ley 238-2004, según enmendada, para que </w:t>
      </w:r>
      <w:r>
        <w:rPr>
          <w:rFonts w:ascii="Book Antiqua" w:hAnsi="Book Antiqua"/>
          <w:lang w:val="es-ES"/>
        </w:rPr>
        <w:t xml:space="preserve">se </w:t>
      </w:r>
      <w:r w:rsidRPr="00E9507A">
        <w:rPr>
          <w:rFonts w:ascii="Book Antiqua" w:hAnsi="Book Antiqua"/>
          <w:lang w:val="es-ES"/>
        </w:rPr>
        <w:t>lea como sigue:</w:t>
      </w:r>
    </w:p>
    <w:p w14:paraId="3A040041" w14:textId="77777777" w:rsidR="00190AC9" w:rsidRPr="009A5681" w:rsidRDefault="00190AC9" w:rsidP="00190AC9">
      <w:pPr>
        <w:spacing w:line="480" w:lineRule="auto"/>
        <w:ind w:firstLine="720"/>
        <w:jc w:val="both"/>
        <w:rPr>
          <w:rFonts w:ascii="Book Antiqua" w:hAnsi="Book Antiqua"/>
          <w:i/>
          <w:iCs/>
          <w:lang w:val="es-ES"/>
        </w:rPr>
      </w:pPr>
      <w:r>
        <w:rPr>
          <w:rFonts w:ascii="Book Antiqua" w:hAnsi="Book Antiqua"/>
          <w:i/>
          <w:iCs/>
          <w:lang w:val="es-ES"/>
        </w:rPr>
        <w:t>“</w:t>
      </w:r>
      <w:r w:rsidRPr="009A5681">
        <w:rPr>
          <w:rFonts w:ascii="Book Antiqua" w:hAnsi="Book Antiqua"/>
          <w:i/>
          <w:iCs/>
          <w:lang w:val="es-ES"/>
        </w:rPr>
        <w:t>Artículo 25.- Notificación a las partes y las agencias del orden público.</w:t>
      </w:r>
    </w:p>
    <w:p w14:paraId="468A8432" w14:textId="77777777" w:rsidR="00190AC9" w:rsidRPr="009A5681" w:rsidRDefault="00190AC9" w:rsidP="00190AC9">
      <w:pPr>
        <w:spacing w:line="480" w:lineRule="auto"/>
        <w:ind w:firstLine="720"/>
        <w:jc w:val="both"/>
        <w:rPr>
          <w:rFonts w:ascii="Book Antiqua" w:hAnsi="Book Antiqua"/>
          <w:i/>
          <w:iCs/>
          <w:lang w:val="es-ES"/>
        </w:rPr>
      </w:pPr>
      <w:r w:rsidRPr="009A5681">
        <w:rPr>
          <w:rFonts w:ascii="Book Antiqua" w:hAnsi="Book Antiqua"/>
          <w:i/>
          <w:iCs/>
          <w:lang w:val="es-ES"/>
        </w:rPr>
        <w:t>(a) Copia de toda orden de protección deberá ser archivada en la secretaría del tribunal que la expide. La secretaría del tribunal proveerá copia de la orden al peticionario; y a petición de las partes o de cualesquiera personas interesadas.</w:t>
      </w:r>
    </w:p>
    <w:p w14:paraId="4AFE500D" w14:textId="77777777" w:rsidR="00190AC9" w:rsidRPr="009A5681" w:rsidRDefault="00190AC9" w:rsidP="00190AC9">
      <w:pPr>
        <w:spacing w:line="480" w:lineRule="auto"/>
        <w:ind w:firstLine="720"/>
        <w:jc w:val="both"/>
        <w:rPr>
          <w:rFonts w:ascii="Book Antiqua" w:hAnsi="Book Antiqua"/>
          <w:i/>
          <w:iCs/>
          <w:lang w:val="es-ES"/>
        </w:rPr>
      </w:pPr>
      <w:r w:rsidRPr="009A5681">
        <w:rPr>
          <w:rFonts w:ascii="Book Antiqua" w:hAnsi="Book Antiqua"/>
          <w:i/>
          <w:iCs/>
          <w:lang w:val="es-ES"/>
        </w:rPr>
        <w:t xml:space="preserve">(b) Luego de ser notificada la orden a la parte peticionada, dentro de un término no mayor de veinticuatro (24) horas se notificará del diligenciamiento a la parte peticionaria personalmente, a través del alguacil del tribunal que otorgó la misma, o por correo, o correo electrónico a la dirección provista por el peticionario para este propósito. </w:t>
      </w:r>
    </w:p>
    <w:p w14:paraId="1951CD0E" w14:textId="77777777" w:rsidR="00190AC9" w:rsidRPr="009A5681" w:rsidRDefault="00190AC9" w:rsidP="00190AC9">
      <w:pPr>
        <w:spacing w:line="480" w:lineRule="auto"/>
        <w:ind w:firstLine="720"/>
        <w:jc w:val="both"/>
        <w:rPr>
          <w:rFonts w:ascii="Book Antiqua" w:hAnsi="Book Antiqua"/>
          <w:i/>
          <w:iCs/>
          <w:lang w:val="es-ES"/>
        </w:rPr>
      </w:pPr>
      <w:r w:rsidRPr="009A5681">
        <w:rPr>
          <w:rFonts w:ascii="Book Antiqua" w:hAnsi="Book Antiqua"/>
          <w:i/>
          <w:iCs/>
          <w:lang w:val="es-ES"/>
        </w:rPr>
        <w:lastRenderedPageBreak/>
        <w:t>(c) La secretaría del tribunal enviará copia de las órdenes expedidas al amparo de esta Ley a la Comandancia de Área de la Policía de Puerto Rico de la jurisdicción donde reside la parte peticionaria, que será responsable de mantener un expediente de las órdenes de protección así expedidas; y a la Defensoría de las Personas con Impedimentos. Se ingresará toda la información contenida en la orden protección, así como incidentes procesales en la notificación de las partes y agencias envueltas al Archivo Electrónico de Órdenes de Protección, conforme a los procedimientos establecidos en la Ley 420-2000, “Ley de Archivo de Órdenes de Protección”.</w:t>
      </w:r>
    </w:p>
    <w:p w14:paraId="72344CC1" w14:textId="77777777" w:rsidR="00190AC9" w:rsidRPr="009A5681" w:rsidRDefault="00190AC9" w:rsidP="00190AC9">
      <w:pPr>
        <w:spacing w:line="480" w:lineRule="auto"/>
        <w:ind w:firstLine="720"/>
        <w:jc w:val="both"/>
        <w:rPr>
          <w:rFonts w:ascii="Book Antiqua" w:hAnsi="Book Antiqua"/>
          <w:i/>
          <w:iCs/>
          <w:lang w:val="es-ES"/>
        </w:rPr>
      </w:pPr>
      <w:r w:rsidRPr="009A5681">
        <w:rPr>
          <w:rFonts w:ascii="Book Antiqua" w:hAnsi="Book Antiqua"/>
          <w:i/>
          <w:iCs/>
          <w:lang w:val="es-ES"/>
        </w:rPr>
        <w:t>(e) La Policía de Puerto Rico ofrecerá protección adecuada al peticionario de la orden de protección.</w:t>
      </w:r>
      <w:r>
        <w:rPr>
          <w:rFonts w:ascii="Book Antiqua" w:hAnsi="Book Antiqua"/>
          <w:i/>
          <w:iCs/>
          <w:lang w:val="es-ES"/>
        </w:rPr>
        <w:t>”</w:t>
      </w:r>
    </w:p>
    <w:p w14:paraId="5B716A91" w14:textId="77777777" w:rsidR="00190AC9" w:rsidRPr="00A01F58" w:rsidRDefault="00190AC9" w:rsidP="00190AC9">
      <w:pPr>
        <w:spacing w:line="480" w:lineRule="auto"/>
        <w:ind w:firstLine="720"/>
        <w:jc w:val="both"/>
        <w:rPr>
          <w:rFonts w:ascii="Book Antiqua" w:hAnsi="Book Antiqua"/>
          <w:lang w:val="es-ES"/>
        </w:rPr>
      </w:pPr>
      <w:r w:rsidRPr="00E9507A">
        <w:rPr>
          <w:rFonts w:ascii="Book Antiqua" w:hAnsi="Book Antiqua"/>
          <w:lang w:val="es-ES"/>
        </w:rPr>
        <w:t xml:space="preserve">Sección </w:t>
      </w:r>
      <w:r>
        <w:rPr>
          <w:rFonts w:ascii="Book Antiqua" w:hAnsi="Book Antiqua"/>
          <w:lang w:val="es-ES"/>
        </w:rPr>
        <w:t>10</w:t>
      </w:r>
      <w:r w:rsidRPr="00E9507A">
        <w:rPr>
          <w:rFonts w:ascii="Book Antiqua" w:hAnsi="Book Antiqua"/>
          <w:lang w:val="es-ES"/>
        </w:rPr>
        <w:t xml:space="preserve">.- Se </w:t>
      </w:r>
      <w:r>
        <w:rPr>
          <w:rFonts w:ascii="Book Antiqua" w:hAnsi="Book Antiqua"/>
          <w:lang w:val="es-ES"/>
        </w:rPr>
        <w:t>añade un</w:t>
      </w:r>
      <w:r w:rsidRPr="00E9507A">
        <w:rPr>
          <w:rFonts w:ascii="Book Antiqua" w:hAnsi="Book Antiqua"/>
          <w:lang w:val="es-ES"/>
        </w:rPr>
        <w:t xml:space="preserve"> nuevo Artículo</w:t>
      </w:r>
      <w:r>
        <w:rPr>
          <w:rFonts w:ascii="Book Antiqua" w:hAnsi="Book Antiqua"/>
          <w:lang w:val="es-ES"/>
        </w:rPr>
        <w:t xml:space="preserve"> 26 </w:t>
      </w:r>
      <w:r w:rsidRPr="00E9507A">
        <w:rPr>
          <w:rFonts w:ascii="Book Antiqua" w:hAnsi="Book Antiqua"/>
          <w:lang w:val="es-ES"/>
        </w:rPr>
        <w:t xml:space="preserve">a la Ley 238-2004, según enmendada, para que </w:t>
      </w:r>
      <w:r>
        <w:rPr>
          <w:rFonts w:ascii="Book Antiqua" w:hAnsi="Book Antiqua"/>
          <w:lang w:val="es-ES"/>
        </w:rPr>
        <w:t xml:space="preserve">se </w:t>
      </w:r>
      <w:r w:rsidRPr="00E9507A">
        <w:rPr>
          <w:rFonts w:ascii="Book Antiqua" w:hAnsi="Book Antiqua"/>
          <w:lang w:val="es-ES"/>
        </w:rPr>
        <w:t>lea como sigue:</w:t>
      </w:r>
    </w:p>
    <w:p w14:paraId="29123097" w14:textId="77777777" w:rsidR="00190AC9" w:rsidRPr="009A5681" w:rsidRDefault="00190AC9" w:rsidP="00190AC9">
      <w:pPr>
        <w:spacing w:line="480" w:lineRule="auto"/>
        <w:ind w:firstLine="720"/>
        <w:jc w:val="both"/>
        <w:rPr>
          <w:rFonts w:ascii="Book Antiqua" w:hAnsi="Book Antiqua"/>
          <w:i/>
          <w:iCs/>
          <w:lang w:val="es-ES"/>
        </w:rPr>
      </w:pPr>
      <w:r>
        <w:rPr>
          <w:rFonts w:ascii="Book Antiqua" w:hAnsi="Book Antiqua"/>
          <w:i/>
          <w:iCs/>
          <w:lang w:val="es-ES"/>
        </w:rPr>
        <w:t>“</w:t>
      </w:r>
      <w:r w:rsidRPr="009A5681">
        <w:rPr>
          <w:rFonts w:ascii="Book Antiqua" w:hAnsi="Book Antiqua"/>
          <w:i/>
          <w:iCs/>
          <w:lang w:val="es-ES"/>
        </w:rPr>
        <w:t xml:space="preserve">Artículo 26.- Incumplimiento de Órdenes de Protección. </w:t>
      </w:r>
    </w:p>
    <w:p w14:paraId="39DEEA9F" w14:textId="77777777" w:rsidR="00190AC9" w:rsidRDefault="00190AC9" w:rsidP="00190AC9">
      <w:pPr>
        <w:spacing w:line="480" w:lineRule="auto"/>
        <w:ind w:firstLine="720"/>
        <w:jc w:val="both"/>
        <w:rPr>
          <w:rFonts w:ascii="Book Antiqua" w:hAnsi="Book Antiqua"/>
          <w:i/>
          <w:iCs/>
          <w:lang w:val="es-ES"/>
        </w:rPr>
      </w:pPr>
      <w:r w:rsidRPr="009A5681">
        <w:rPr>
          <w:rFonts w:ascii="Book Antiqua" w:hAnsi="Book Antiqua"/>
          <w:i/>
          <w:iCs/>
          <w:lang w:val="es-ES"/>
        </w:rPr>
        <w:t xml:space="preserve"> Cualquier violación a sabiendas de una orden de protección será castigada como delito grave y la persona convicta será sancionada con pena de reclusión por un término fijo de dos (2) años, multa que no excederá de cinco mil dólares ($5,000) o ambas penas a discreción del tribunal. Los tribunales vendrán obligados a imponer supervisión electrónica, de concederse cualquier tipo de sentencia suspendida.</w:t>
      </w:r>
      <w:r>
        <w:rPr>
          <w:rFonts w:ascii="Book Antiqua" w:hAnsi="Book Antiqua"/>
          <w:i/>
          <w:iCs/>
          <w:lang w:val="es-ES"/>
        </w:rPr>
        <w:t>”</w:t>
      </w:r>
    </w:p>
    <w:p w14:paraId="37DBA077" w14:textId="77777777" w:rsidR="00190AC9" w:rsidRPr="00A01F58" w:rsidRDefault="00190AC9" w:rsidP="00190AC9">
      <w:pPr>
        <w:spacing w:line="480" w:lineRule="auto"/>
        <w:ind w:firstLine="720"/>
        <w:jc w:val="both"/>
        <w:rPr>
          <w:rFonts w:ascii="Book Antiqua" w:hAnsi="Book Antiqua"/>
          <w:lang w:val="es-ES"/>
        </w:rPr>
      </w:pPr>
      <w:r w:rsidRPr="00E9507A">
        <w:rPr>
          <w:rFonts w:ascii="Book Antiqua" w:hAnsi="Book Antiqua"/>
          <w:lang w:val="es-ES"/>
        </w:rPr>
        <w:t xml:space="preserve">Sección </w:t>
      </w:r>
      <w:r>
        <w:rPr>
          <w:rFonts w:ascii="Book Antiqua" w:hAnsi="Book Antiqua"/>
          <w:lang w:val="es-ES"/>
        </w:rPr>
        <w:t>11</w:t>
      </w:r>
      <w:r w:rsidRPr="00E9507A">
        <w:rPr>
          <w:rFonts w:ascii="Book Antiqua" w:hAnsi="Book Antiqua"/>
          <w:lang w:val="es-ES"/>
        </w:rPr>
        <w:t xml:space="preserve">.- Se </w:t>
      </w:r>
      <w:r>
        <w:rPr>
          <w:rFonts w:ascii="Book Antiqua" w:hAnsi="Book Antiqua"/>
          <w:lang w:val="es-ES"/>
        </w:rPr>
        <w:t>añade un</w:t>
      </w:r>
      <w:r w:rsidRPr="00E9507A">
        <w:rPr>
          <w:rFonts w:ascii="Book Antiqua" w:hAnsi="Book Antiqua"/>
          <w:lang w:val="es-ES"/>
        </w:rPr>
        <w:t xml:space="preserve"> nuevo Artículo</w:t>
      </w:r>
      <w:r>
        <w:rPr>
          <w:rFonts w:ascii="Book Antiqua" w:hAnsi="Book Antiqua"/>
          <w:lang w:val="es-ES"/>
        </w:rPr>
        <w:t xml:space="preserve"> 27 </w:t>
      </w:r>
      <w:r w:rsidRPr="00E9507A">
        <w:rPr>
          <w:rFonts w:ascii="Book Antiqua" w:hAnsi="Book Antiqua"/>
          <w:lang w:val="es-ES"/>
        </w:rPr>
        <w:t xml:space="preserve">a la Ley 238-2004, según enmendada, para que </w:t>
      </w:r>
      <w:r>
        <w:rPr>
          <w:rFonts w:ascii="Book Antiqua" w:hAnsi="Book Antiqua"/>
          <w:lang w:val="es-ES"/>
        </w:rPr>
        <w:t xml:space="preserve">se </w:t>
      </w:r>
      <w:r w:rsidRPr="00E9507A">
        <w:rPr>
          <w:rFonts w:ascii="Book Antiqua" w:hAnsi="Book Antiqua"/>
          <w:lang w:val="es-ES"/>
        </w:rPr>
        <w:t>lea como sigue:</w:t>
      </w:r>
    </w:p>
    <w:p w14:paraId="7FA7D2BD" w14:textId="77777777" w:rsidR="00190AC9" w:rsidRPr="009A5681" w:rsidRDefault="00190AC9" w:rsidP="00190AC9">
      <w:pPr>
        <w:spacing w:line="480" w:lineRule="auto"/>
        <w:ind w:firstLine="720"/>
        <w:jc w:val="both"/>
        <w:rPr>
          <w:rFonts w:ascii="Book Antiqua" w:hAnsi="Book Antiqua"/>
          <w:i/>
          <w:iCs/>
          <w:lang w:val="es-ES"/>
        </w:rPr>
      </w:pPr>
      <w:r>
        <w:rPr>
          <w:rFonts w:ascii="Book Antiqua" w:hAnsi="Book Antiqua"/>
          <w:i/>
          <w:iCs/>
          <w:lang w:val="es-ES"/>
        </w:rPr>
        <w:t>“</w:t>
      </w:r>
      <w:r w:rsidRPr="009A5681">
        <w:rPr>
          <w:rFonts w:ascii="Book Antiqua" w:hAnsi="Book Antiqua"/>
          <w:i/>
          <w:iCs/>
          <w:lang w:val="es-ES"/>
        </w:rPr>
        <w:t>Artículo 27.- Conducta delictiva; penalidades y otras medidas</w:t>
      </w:r>
    </w:p>
    <w:p w14:paraId="644C90DF" w14:textId="77777777" w:rsidR="00190AC9" w:rsidRPr="009A5681" w:rsidRDefault="00190AC9" w:rsidP="00190AC9">
      <w:pPr>
        <w:spacing w:line="480" w:lineRule="auto"/>
        <w:ind w:firstLine="720"/>
        <w:jc w:val="both"/>
        <w:rPr>
          <w:rFonts w:ascii="Book Antiqua" w:hAnsi="Book Antiqua"/>
          <w:i/>
          <w:iCs/>
          <w:lang w:val="es-ES"/>
        </w:rPr>
      </w:pPr>
      <w:r w:rsidRPr="009A5681">
        <w:rPr>
          <w:rFonts w:ascii="Book Antiqua" w:hAnsi="Book Antiqua"/>
          <w:i/>
          <w:iCs/>
          <w:lang w:val="es-ES"/>
        </w:rPr>
        <w:t xml:space="preserve">A. Maltrato.-Toda persona que empleare  fuerza física, violencia psicológica, intimidación o persecución contra una persona con impedimentos o diversidad funcional para causarle daño </w:t>
      </w:r>
      <w:r w:rsidRPr="009A5681">
        <w:rPr>
          <w:rFonts w:ascii="Book Antiqua" w:hAnsi="Book Antiqua"/>
          <w:i/>
          <w:iCs/>
          <w:lang w:val="es-ES"/>
        </w:rPr>
        <w:lastRenderedPageBreak/>
        <w:t>físico o mental a su persona; o para causarle daño físico o mental a otra persona a sabiendas de que le causará daño emocional a la persona con impedimentos o diversidad funcional; o para causarle daño a los bienes de esta; incurrirá en delito grave que conllevará una pena de reclusión, por un término fijo de diez (10) años.</w:t>
      </w:r>
    </w:p>
    <w:p w14:paraId="685EB0B9" w14:textId="77777777" w:rsidR="00190AC9" w:rsidRPr="009A5681" w:rsidRDefault="00190AC9" w:rsidP="00190AC9">
      <w:pPr>
        <w:spacing w:line="480" w:lineRule="auto"/>
        <w:ind w:firstLine="720"/>
        <w:jc w:val="both"/>
        <w:rPr>
          <w:rFonts w:ascii="Book Antiqua" w:hAnsi="Book Antiqua"/>
          <w:i/>
          <w:iCs/>
          <w:lang w:val="es-ES"/>
        </w:rPr>
      </w:pPr>
      <w:r w:rsidRPr="009A5681">
        <w:rPr>
          <w:rFonts w:ascii="Book Antiqua" w:hAnsi="Book Antiqua"/>
          <w:i/>
          <w:iCs/>
          <w:lang w:val="es-ES"/>
        </w:rPr>
        <w:t>B. Maltrato agravado. - Se impondrá una pena de reclusión por un término fijo de doce (12) años cuando se incurriere en maltrato según tipificado en esta Ley, mediando una o más de las circunstancias siguientes:</w:t>
      </w:r>
    </w:p>
    <w:p w14:paraId="13AE90C3" w14:textId="77777777" w:rsidR="00190AC9" w:rsidRPr="009A5681" w:rsidRDefault="00190AC9" w:rsidP="00190AC9">
      <w:pPr>
        <w:spacing w:line="480" w:lineRule="auto"/>
        <w:ind w:firstLine="720"/>
        <w:jc w:val="both"/>
        <w:rPr>
          <w:rFonts w:ascii="Book Antiqua" w:hAnsi="Book Antiqua"/>
          <w:i/>
          <w:iCs/>
          <w:lang w:val="es-ES"/>
        </w:rPr>
      </w:pPr>
      <w:r w:rsidRPr="009A5681">
        <w:rPr>
          <w:rFonts w:ascii="Book Antiqua" w:hAnsi="Book Antiqua"/>
          <w:i/>
          <w:iCs/>
          <w:lang w:val="es-ES"/>
        </w:rPr>
        <w:t>(a) Se penetrare en la morada de la persona con impedimentos o diversidad funcional o en el lugar donde esté albergada y se cometiere allí maltrato.</w:t>
      </w:r>
    </w:p>
    <w:p w14:paraId="2AF43D5E" w14:textId="77777777" w:rsidR="00190AC9" w:rsidRPr="009A5681" w:rsidRDefault="00190AC9" w:rsidP="00190AC9">
      <w:pPr>
        <w:spacing w:line="480" w:lineRule="auto"/>
        <w:ind w:firstLine="720"/>
        <w:jc w:val="both"/>
        <w:rPr>
          <w:rFonts w:ascii="Book Antiqua" w:hAnsi="Book Antiqua"/>
          <w:i/>
          <w:iCs/>
          <w:lang w:val="es-ES"/>
        </w:rPr>
      </w:pPr>
      <w:r w:rsidRPr="009A5681">
        <w:rPr>
          <w:rFonts w:ascii="Book Antiqua" w:hAnsi="Book Antiqua"/>
          <w:i/>
          <w:iCs/>
          <w:lang w:val="es-ES"/>
        </w:rPr>
        <w:t xml:space="preserve"> (b) Cuando se infiriere grave daño corporal a la persona con impedimentos o diversidad funcional; o</w:t>
      </w:r>
    </w:p>
    <w:p w14:paraId="76E2FF49" w14:textId="77777777" w:rsidR="00190AC9" w:rsidRPr="009A5681" w:rsidRDefault="00190AC9" w:rsidP="00190AC9">
      <w:pPr>
        <w:spacing w:line="480" w:lineRule="auto"/>
        <w:ind w:firstLine="720"/>
        <w:jc w:val="both"/>
        <w:rPr>
          <w:rFonts w:ascii="Book Antiqua" w:hAnsi="Book Antiqua"/>
          <w:i/>
          <w:iCs/>
          <w:lang w:val="es-ES"/>
        </w:rPr>
      </w:pPr>
      <w:r w:rsidRPr="009A5681">
        <w:rPr>
          <w:rFonts w:ascii="Book Antiqua" w:hAnsi="Book Antiqua"/>
          <w:i/>
          <w:iCs/>
          <w:lang w:val="es-ES"/>
        </w:rPr>
        <w:t xml:space="preserve"> (c) cuando se cometiere con arma mortífera en circunstancias que no revistiesen la intención de matar o mutilar; o</w:t>
      </w:r>
    </w:p>
    <w:p w14:paraId="7D687FF0" w14:textId="77777777" w:rsidR="00190AC9" w:rsidRPr="009A5681" w:rsidRDefault="00190AC9" w:rsidP="00190AC9">
      <w:pPr>
        <w:spacing w:line="480" w:lineRule="auto"/>
        <w:ind w:firstLine="720"/>
        <w:jc w:val="both"/>
        <w:rPr>
          <w:rFonts w:ascii="Book Antiqua" w:hAnsi="Book Antiqua"/>
          <w:i/>
          <w:iCs/>
          <w:lang w:val="es-ES"/>
        </w:rPr>
      </w:pPr>
      <w:r w:rsidRPr="009A5681">
        <w:rPr>
          <w:rFonts w:ascii="Book Antiqua" w:hAnsi="Book Antiqua"/>
          <w:i/>
          <w:iCs/>
          <w:lang w:val="es-ES"/>
        </w:rPr>
        <w:t xml:space="preserve"> (d) cuando se cometiere en la presencia de menores de edad; o</w:t>
      </w:r>
    </w:p>
    <w:p w14:paraId="2D011419" w14:textId="77777777" w:rsidR="00190AC9" w:rsidRPr="009A5681" w:rsidRDefault="00190AC9" w:rsidP="00190AC9">
      <w:pPr>
        <w:spacing w:line="480" w:lineRule="auto"/>
        <w:ind w:firstLine="720"/>
        <w:jc w:val="both"/>
        <w:rPr>
          <w:rFonts w:ascii="Book Antiqua" w:hAnsi="Book Antiqua"/>
          <w:i/>
          <w:iCs/>
          <w:lang w:val="es-ES"/>
        </w:rPr>
      </w:pPr>
      <w:r w:rsidRPr="009A5681">
        <w:rPr>
          <w:rFonts w:ascii="Book Antiqua" w:hAnsi="Book Antiqua"/>
          <w:i/>
          <w:iCs/>
          <w:lang w:val="es-ES"/>
        </w:rPr>
        <w:t xml:space="preserve"> (e) cuando se cometiere luego de mediar una orden de protección o resolución contra la persona acusada expedida en auxilio de la víctima del maltrato; o</w:t>
      </w:r>
    </w:p>
    <w:p w14:paraId="1D6CCAF1" w14:textId="77777777" w:rsidR="00190AC9" w:rsidRPr="009A5681" w:rsidRDefault="00190AC9" w:rsidP="00190AC9">
      <w:pPr>
        <w:spacing w:line="480" w:lineRule="auto"/>
        <w:ind w:firstLine="720"/>
        <w:jc w:val="both"/>
        <w:rPr>
          <w:rFonts w:ascii="Book Antiqua" w:hAnsi="Book Antiqua"/>
          <w:i/>
          <w:iCs/>
          <w:lang w:val="es-ES"/>
        </w:rPr>
      </w:pPr>
      <w:r w:rsidRPr="009A5681">
        <w:rPr>
          <w:rFonts w:ascii="Book Antiqua" w:hAnsi="Book Antiqua"/>
          <w:i/>
          <w:iCs/>
          <w:lang w:val="es-ES"/>
        </w:rPr>
        <w:t xml:space="preserve"> (f) cuando se indujere, incitare u obligare a la persona con impedimentos o diversidad funcional a drogarse con sustancias controladas, o cualquier otra sustancia o medio que altere la voluntad de la persona con impedimentos o diversidad funcional o a intoxicarse con bebidas embriagantes;</w:t>
      </w:r>
    </w:p>
    <w:p w14:paraId="71B23A71" w14:textId="77777777" w:rsidR="00190AC9" w:rsidRPr="009A5681" w:rsidRDefault="00190AC9" w:rsidP="00190AC9">
      <w:pPr>
        <w:spacing w:line="480" w:lineRule="auto"/>
        <w:ind w:firstLine="720"/>
        <w:jc w:val="both"/>
        <w:rPr>
          <w:rFonts w:ascii="Book Antiqua" w:hAnsi="Book Antiqua"/>
          <w:i/>
          <w:iCs/>
          <w:lang w:val="es-ES"/>
        </w:rPr>
      </w:pPr>
      <w:r w:rsidRPr="009A5681">
        <w:rPr>
          <w:rFonts w:ascii="Book Antiqua" w:hAnsi="Book Antiqua"/>
          <w:i/>
          <w:iCs/>
          <w:lang w:val="es-ES"/>
        </w:rPr>
        <w:t>(g) Cuando se cometiere contra una mujer con impedimentos o diversidad funcional embarazada.</w:t>
      </w:r>
    </w:p>
    <w:p w14:paraId="5D78F869" w14:textId="77777777" w:rsidR="00190AC9" w:rsidRPr="009A5681" w:rsidRDefault="00190AC9" w:rsidP="00190AC9">
      <w:pPr>
        <w:spacing w:line="480" w:lineRule="auto"/>
        <w:ind w:firstLine="720"/>
        <w:jc w:val="both"/>
        <w:rPr>
          <w:rFonts w:ascii="Book Antiqua" w:hAnsi="Book Antiqua"/>
          <w:i/>
          <w:iCs/>
          <w:lang w:val="es-ES"/>
        </w:rPr>
      </w:pPr>
      <w:r w:rsidRPr="009A5681">
        <w:rPr>
          <w:rFonts w:ascii="Book Antiqua" w:hAnsi="Book Antiqua"/>
          <w:i/>
          <w:iCs/>
          <w:lang w:val="es-ES"/>
        </w:rPr>
        <w:lastRenderedPageBreak/>
        <w:t>C. Maltrato mediante amenaza.— Toda persona que amenace con causarle daño a una persona con impedimentos o diversidad funcional o a los bienes apreciados por ésta; o que amenace con causarle daño a un tercero a sabiendas que la amenaza causará sufrimiento o daño psicológico o emocional a una persona con impedimentos o diversidad funcional; incurrirá en delito grave que conllevará una pena de reclusión, restricción terapéutica, restricción domiciliaria, servicios comunitarios, o combinación de estas penas, por un término fijo de seis (6) años.</w:t>
      </w:r>
    </w:p>
    <w:p w14:paraId="04DEBBA0" w14:textId="77777777" w:rsidR="00190AC9" w:rsidRPr="009A5681" w:rsidRDefault="00190AC9" w:rsidP="00190AC9">
      <w:pPr>
        <w:spacing w:line="480" w:lineRule="auto"/>
        <w:ind w:firstLine="720"/>
        <w:jc w:val="both"/>
        <w:rPr>
          <w:rFonts w:ascii="Book Antiqua" w:hAnsi="Book Antiqua"/>
          <w:i/>
          <w:iCs/>
          <w:lang w:val="es-ES"/>
        </w:rPr>
      </w:pPr>
      <w:r w:rsidRPr="009A5681">
        <w:rPr>
          <w:rFonts w:ascii="Book Antiqua" w:hAnsi="Book Antiqua"/>
          <w:i/>
          <w:iCs/>
          <w:lang w:val="es-ES"/>
        </w:rPr>
        <w:t xml:space="preserve"> D. Maltrato mediante restricción de la libertad. — Toda persona que utilice violencia, intimidación contra una persona con impedimentos o diversidad funcional o que utilice pretexto de que padece de enfermedad o defecto mental, para restringir involuntariamente su libertad con el conocimiento de la víctima, o para restringir involuntariamente su libertad en una institución,  hospital, hogar sustituto o residencial, sin que exista una orden médica o legal que así lo disponga; o que restrinja involuntariamente la libertad de una persona con impedimentos o diversidad funcional mediante la administración de drogas, sustancias controladas o cualquier otra sustancia o medio que altere su voluntad, sin que exista una orden médica o legal que así lo disponga; incurrirá en delito grave que conllevará una pena de reclusión, restricción terapéutica, restricción domiciliaria, servicios comunitarios, o combinación de estas penas, por un término fijo de cinco (5) años.</w:t>
      </w:r>
    </w:p>
    <w:p w14:paraId="6FD096AE" w14:textId="77777777" w:rsidR="00190AC9" w:rsidRPr="009A5681" w:rsidRDefault="00190AC9" w:rsidP="00190AC9">
      <w:pPr>
        <w:spacing w:line="480" w:lineRule="auto"/>
        <w:ind w:firstLine="720"/>
        <w:jc w:val="both"/>
        <w:rPr>
          <w:rFonts w:ascii="Book Antiqua" w:hAnsi="Book Antiqua"/>
          <w:i/>
          <w:iCs/>
          <w:lang w:val="es-ES"/>
        </w:rPr>
      </w:pPr>
      <w:r w:rsidRPr="009A5681">
        <w:rPr>
          <w:rFonts w:ascii="Book Antiqua" w:hAnsi="Book Antiqua"/>
          <w:i/>
          <w:iCs/>
          <w:lang w:val="es-ES"/>
        </w:rPr>
        <w:t xml:space="preserve">E. Maltrato mediante negligencia - Será sancionada con pena de reclusión por un término fijo de dos (2) años, toda persona que, obrando con negligencia y teniendo la obligación que le impone la ley o el tribunal de prestar alimentos y cuidado a una persona con impedimentos o diversidad funcional, ponga en peligro la vida, salud, integridad física o indemnidad sexual. </w:t>
      </w:r>
    </w:p>
    <w:p w14:paraId="30317BD6" w14:textId="77777777" w:rsidR="00190AC9" w:rsidRDefault="00190AC9" w:rsidP="00190AC9">
      <w:pPr>
        <w:spacing w:line="480" w:lineRule="auto"/>
        <w:ind w:firstLine="720"/>
        <w:jc w:val="both"/>
        <w:rPr>
          <w:rFonts w:ascii="Book Antiqua" w:hAnsi="Book Antiqua"/>
          <w:i/>
          <w:iCs/>
          <w:lang w:val="es-ES"/>
        </w:rPr>
      </w:pPr>
      <w:r w:rsidRPr="009A5681">
        <w:rPr>
          <w:rFonts w:ascii="Book Antiqua" w:hAnsi="Book Antiqua"/>
          <w:i/>
          <w:iCs/>
          <w:lang w:val="es-ES"/>
        </w:rPr>
        <w:lastRenderedPageBreak/>
        <w:t>Cuando el delito sea cometido por un operador de un hogar sustituto, la persona será sancionada con pena de reclusión por un término fijo de tres (3) años. Si el hogar sustituto operara como una persona jurídica, de ser convicto, se impondrá pena de hasta $10,000 dólares de multa.</w:t>
      </w:r>
      <w:r>
        <w:rPr>
          <w:rFonts w:ascii="Book Antiqua" w:hAnsi="Book Antiqua"/>
          <w:i/>
          <w:iCs/>
          <w:lang w:val="es-ES"/>
        </w:rPr>
        <w:t>”</w:t>
      </w:r>
    </w:p>
    <w:p w14:paraId="7568867F" w14:textId="77777777" w:rsidR="00190AC9" w:rsidRPr="00A01F58" w:rsidRDefault="00190AC9" w:rsidP="00190AC9">
      <w:pPr>
        <w:spacing w:line="480" w:lineRule="auto"/>
        <w:ind w:firstLine="720"/>
        <w:jc w:val="both"/>
        <w:rPr>
          <w:rFonts w:ascii="Book Antiqua" w:hAnsi="Book Antiqua"/>
          <w:lang w:val="es-ES"/>
        </w:rPr>
      </w:pPr>
      <w:r w:rsidRPr="00E9507A">
        <w:rPr>
          <w:rFonts w:ascii="Book Antiqua" w:hAnsi="Book Antiqua"/>
          <w:lang w:val="es-ES"/>
        </w:rPr>
        <w:t xml:space="preserve">Sección </w:t>
      </w:r>
      <w:r>
        <w:rPr>
          <w:rFonts w:ascii="Book Antiqua" w:hAnsi="Book Antiqua"/>
          <w:lang w:val="es-ES"/>
        </w:rPr>
        <w:t>11</w:t>
      </w:r>
      <w:r w:rsidRPr="00E9507A">
        <w:rPr>
          <w:rFonts w:ascii="Book Antiqua" w:hAnsi="Book Antiqua"/>
          <w:lang w:val="es-ES"/>
        </w:rPr>
        <w:t xml:space="preserve">.- Se </w:t>
      </w:r>
      <w:r>
        <w:rPr>
          <w:rFonts w:ascii="Book Antiqua" w:hAnsi="Book Antiqua"/>
          <w:lang w:val="es-ES"/>
        </w:rPr>
        <w:t>añade un</w:t>
      </w:r>
      <w:r w:rsidRPr="00E9507A">
        <w:rPr>
          <w:rFonts w:ascii="Book Antiqua" w:hAnsi="Book Antiqua"/>
          <w:lang w:val="es-ES"/>
        </w:rPr>
        <w:t xml:space="preserve"> nuevo Artículo</w:t>
      </w:r>
      <w:r>
        <w:rPr>
          <w:rFonts w:ascii="Book Antiqua" w:hAnsi="Book Antiqua"/>
          <w:lang w:val="es-ES"/>
        </w:rPr>
        <w:t xml:space="preserve"> 28 </w:t>
      </w:r>
      <w:r w:rsidRPr="00E9507A">
        <w:rPr>
          <w:rFonts w:ascii="Book Antiqua" w:hAnsi="Book Antiqua"/>
          <w:lang w:val="es-ES"/>
        </w:rPr>
        <w:t xml:space="preserve">a la Ley 238-2004, según enmendada, para que </w:t>
      </w:r>
      <w:r>
        <w:rPr>
          <w:rFonts w:ascii="Book Antiqua" w:hAnsi="Book Antiqua"/>
          <w:lang w:val="es-ES"/>
        </w:rPr>
        <w:t xml:space="preserve">se </w:t>
      </w:r>
      <w:r w:rsidRPr="00E9507A">
        <w:rPr>
          <w:rFonts w:ascii="Book Antiqua" w:hAnsi="Book Antiqua"/>
          <w:lang w:val="es-ES"/>
        </w:rPr>
        <w:t>lea como sigue:</w:t>
      </w:r>
    </w:p>
    <w:p w14:paraId="45FCBA76" w14:textId="77777777" w:rsidR="00190AC9" w:rsidRPr="009A5681" w:rsidRDefault="00190AC9" w:rsidP="00190AC9">
      <w:pPr>
        <w:spacing w:line="480" w:lineRule="auto"/>
        <w:ind w:firstLine="720"/>
        <w:jc w:val="both"/>
        <w:rPr>
          <w:rFonts w:ascii="Book Antiqua" w:hAnsi="Book Antiqua"/>
          <w:i/>
          <w:iCs/>
          <w:lang w:val="es-ES"/>
        </w:rPr>
      </w:pPr>
      <w:r>
        <w:rPr>
          <w:rFonts w:ascii="Book Antiqua" w:hAnsi="Book Antiqua"/>
          <w:i/>
          <w:iCs/>
          <w:lang w:val="es-ES"/>
        </w:rPr>
        <w:t>“</w:t>
      </w:r>
      <w:r w:rsidRPr="009A5681">
        <w:rPr>
          <w:rFonts w:ascii="Book Antiqua" w:hAnsi="Book Antiqua"/>
          <w:i/>
          <w:iCs/>
          <w:lang w:val="es-ES"/>
        </w:rPr>
        <w:t>Artículo 28.- Reglamentos y formularios.</w:t>
      </w:r>
    </w:p>
    <w:p w14:paraId="0B8A1251" w14:textId="77777777" w:rsidR="00190AC9" w:rsidRPr="00A01F58" w:rsidRDefault="00190AC9" w:rsidP="00190AC9">
      <w:pPr>
        <w:spacing w:line="480" w:lineRule="auto"/>
        <w:ind w:firstLine="720"/>
        <w:jc w:val="both"/>
        <w:rPr>
          <w:rFonts w:ascii="Book Antiqua" w:hAnsi="Book Antiqua"/>
          <w:i/>
          <w:iCs/>
          <w:lang w:val="es-ES"/>
        </w:rPr>
      </w:pPr>
      <w:r w:rsidRPr="009A5681">
        <w:rPr>
          <w:rFonts w:ascii="Book Antiqua" w:hAnsi="Book Antiqua"/>
          <w:i/>
          <w:iCs/>
          <w:lang w:val="es-ES"/>
        </w:rPr>
        <w:t>Se ordena a la Oficina de Administración de Tribunales a atemperar los reglamentos y los formularios aplicables para viabilizar la implementación de las disposiciones de esta Ley.</w:t>
      </w:r>
      <w:r>
        <w:rPr>
          <w:rFonts w:ascii="Book Antiqua" w:hAnsi="Book Antiqua"/>
          <w:i/>
          <w:iCs/>
          <w:lang w:val="es-ES"/>
        </w:rPr>
        <w:t>”</w:t>
      </w:r>
    </w:p>
    <w:p w14:paraId="4AED71E9" w14:textId="77777777" w:rsidR="00190AC9" w:rsidRDefault="00190AC9" w:rsidP="00190AC9">
      <w:pPr>
        <w:spacing w:line="480" w:lineRule="auto"/>
        <w:ind w:firstLine="720"/>
        <w:jc w:val="both"/>
        <w:rPr>
          <w:rFonts w:ascii="Book Antiqua" w:hAnsi="Book Antiqua"/>
          <w:lang w:val="es-ES"/>
        </w:rPr>
      </w:pPr>
      <w:r w:rsidRPr="00A01F58">
        <w:rPr>
          <w:rFonts w:ascii="Book Antiqua" w:hAnsi="Book Antiqua"/>
          <w:lang w:val="es-ES"/>
        </w:rPr>
        <w:t xml:space="preserve">Sección </w:t>
      </w:r>
      <w:r>
        <w:rPr>
          <w:rFonts w:ascii="Book Antiqua" w:hAnsi="Book Antiqua"/>
          <w:lang w:val="es-ES"/>
        </w:rPr>
        <w:t>12</w:t>
      </w:r>
      <w:r w:rsidRPr="00A01F58">
        <w:rPr>
          <w:rFonts w:ascii="Book Antiqua" w:hAnsi="Book Antiqua"/>
          <w:lang w:val="es-ES"/>
        </w:rPr>
        <w:t xml:space="preserve">.- </w:t>
      </w:r>
      <w:r>
        <w:rPr>
          <w:rFonts w:ascii="Book Antiqua" w:hAnsi="Book Antiqua"/>
          <w:lang w:val="es-ES"/>
        </w:rPr>
        <w:t xml:space="preserve">Se </w:t>
      </w:r>
      <w:r w:rsidRPr="006A2546">
        <w:rPr>
          <w:rFonts w:ascii="Book Antiqua" w:hAnsi="Book Antiqua"/>
          <w:lang w:val="es-PR"/>
        </w:rPr>
        <w:t>reenumera</w:t>
      </w:r>
      <w:r>
        <w:rPr>
          <w:rFonts w:ascii="Book Antiqua" w:hAnsi="Book Antiqua"/>
          <w:lang w:val="es-PR"/>
        </w:rPr>
        <w:t>n los actuales Artículos 18 y 19 como Artículos 29 y 30 en</w:t>
      </w:r>
      <w:r w:rsidRPr="006A2546">
        <w:rPr>
          <w:rFonts w:ascii="Book Antiqua" w:hAnsi="Book Antiqua"/>
          <w:lang w:val="es-PR"/>
        </w:rPr>
        <w:t xml:space="preserve"> la Ley 238-2004, según enmendada</w:t>
      </w:r>
      <w:r>
        <w:rPr>
          <w:rFonts w:ascii="Book Antiqua" w:hAnsi="Book Antiqua"/>
          <w:lang w:val="es-PR"/>
        </w:rPr>
        <w:t xml:space="preserve">. </w:t>
      </w:r>
    </w:p>
    <w:p w14:paraId="1237D23C" w14:textId="77777777" w:rsidR="00190AC9" w:rsidRPr="00A01F58" w:rsidRDefault="00190AC9" w:rsidP="00190AC9">
      <w:pPr>
        <w:spacing w:line="480" w:lineRule="auto"/>
        <w:ind w:firstLine="720"/>
        <w:jc w:val="both"/>
        <w:rPr>
          <w:rFonts w:ascii="Book Antiqua" w:hAnsi="Book Antiqua"/>
          <w:lang w:val="es-ES"/>
        </w:rPr>
      </w:pPr>
      <w:r>
        <w:rPr>
          <w:rFonts w:ascii="Book Antiqua" w:hAnsi="Book Antiqua"/>
          <w:lang w:val="es-ES"/>
        </w:rPr>
        <w:t xml:space="preserve">Sección 13.- </w:t>
      </w:r>
      <w:r w:rsidRPr="00A01F58">
        <w:rPr>
          <w:rFonts w:ascii="Book Antiqua" w:hAnsi="Book Antiqua"/>
          <w:lang w:val="es-ES"/>
        </w:rPr>
        <w:t xml:space="preserve">Cláusula de Separabilidad. Si cualquier cláusula, párrafo, artículo, sección o parte de esta Ley fuere declarada inconstitucional por un tribunal competente, la sentencia a tal efecto dictada no afectará, perjudicará ni invalidará el resto de </w:t>
      </w:r>
      <w:proofErr w:type="gramStart"/>
      <w:r w:rsidRPr="00A01F58">
        <w:rPr>
          <w:rFonts w:ascii="Book Antiqua" w:hAnsi="Book Antiqua"/>
          <w:lang w:val="es-ES"/>
        </w:rPr>
        <w:t>la misma</w:t>
      </w:r>
      <w:proofErr w:type="gramEnd"/>
      <w:r w:rsidRPr="00A01F58">
        <w:rPr>
          <w:rFonts w:ascii="Book Antiqua" w:hAnsi="Book Antiqua"/>
          <w:lang w:val="es-ES"/>
        </w:rPr>
        <w:t xml:space="preserve">. El efecto de dicha sentencia quedará limitado a la cláusula, párrafo, artículo, sección o parte de esta que así hubiere sido declarada inconstitucional. </w:t>
      </w:r>
    </w:p>
    <w:p w14:paraId="0289126E" w14:textId="77777777" w:rsidR="00190AC9" w:rsidRPr="00A01F58" w:rsidRDefault="00190AC9" w:rsidP="00190AC9">
      <w:pPr>
        <w:spacing w:line="480" w:lineRule="auto"/>
        <w:ind w:firstLine="720"/>
        <w:jc w:val="both"/>
        <w:rPr>
          <w:rFonts w:ascii="Book Antiqua" w:hAnsi="Book Antiqua"/>
          <w:lang w:val="es-ES"/>
        </w:rPr>
      </w:pPr>
      <w:r w:rsidRPr="00A01F58">
        <w:rPr>
          <w:rFonts w:ascii="Book Antiqua" w:hAnsi="Book Antiqua"/>
          <w:lang w:val="es-ES"/>
        </w:rPr>
        <w:t xml:space="preserve">Sección </w:t>
      </w:r>
      <w:r>
        <w:rPr>
          <w:rFonts w:ascii="Book Antiqua" w:hAnsi="Book Antiqua"/>
          <w:lang w:val="es-ES"/>
        </w:rPr>
        <w:t>1</w:t>
      </w:r>
      <w:r w:rsidRPr="00A01F58">
        <w:rPr>
          <w:rFonts w:ascii="Book Antiqua" w:hAnsi="Book Antiqua"/>
          <w:lang w:val="es-ES"/>
        </w:rPr>
        <w:t>4.- La Rama Judicial, el Departamento de Justicia, el Departamento de la Familia, la Policía de Puerto Rico y toda agencia pertinente establecerán programas de capacitación obligatoria sobre derechos, accesibilidad, comunicación y atención integral de personas con impedimentos o diversidad funcional, como parte del cumplimiento de esta Ley. Igualmente, deberán establecer un protocolo de coordinación interagencial, para asegurar la atención y seguimiento de las víctimas con impedimentos cuyo cuidador principal sea separado por orden de protección.</w:t>
      </w:r>
    </w:p>
    <w:p w14:paraId="1B97762E" w14:textId="4574DC61" w:rsidR="004F046B" w:rsidRPr="00190AC9" w:rsidRDefault="00190AC9" w:rsidP="00190AC9">
      <w:pPr>
        <w:spacing w:line="480" w:lineRule="auto"/>
        <w:ind w:firstLine="720"/>
        <w:jc w:val="both"/>
        <w:rPr>
          <w:rFonts w:ascii="Book Antiqua" w:hAnsi="Book Antiqua"/>
          <w:lang w:val="es-ES"/>
        </w:rPr>
      </w:pPr>
      <w:r w:rsidRPr="00A01F58">
        <w:rPr>
          <w:rFonts w:ascii="Book Antiqua" w:hAnsi="Book Antiqua"/>
          <w:lang w:val="es-ES"/>
        </w:rPr>
        <w:lastRenderedPageBreak/>
        <w:t xml:space="preserve">Sección </w:t>
      </w:r>
      <w:r>
        <w:rPr>
          <w:rFonts w:ascii="Book Antiqua" w:hAnsi="Book Antiqua"/>
          <w:lang w:val="es-ES"/>
        </w:rPr>
        <w:t>1</w:t>
      </w:r>
      <w:r w:rsidRPr="00A01F58">
        <w:rPr>
          <w:rFonts w:ascii="Book Antiqua" w:hAnsi="Book Antiqua"/>
          <w:lang w:val="es-ES"/>
        </w:rPr>
        <w:t>5.- Esta Ley comenzará a regir noventa (90) días luego de su aprobación.</w:t>
      </w:r>
    </w:p>
    <w:bookmarkEnd w:id="2"/>
    <w:sectPr w:rsidR="004F046B" w:rsidRPr="00190AC9" w:rsidSect="0031114B">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CD7828" w14:textId="77777777" w:rsidR="007F58AC" w:rsidRDefault="007F58AC">
      <w:r>
        <w:separator/>
      </w:r>
    </w:p>
  </w:endnote>
  <w:endnote w:type="continuationSeparator" w:id="0">
    <w:p w14:paraId="67C8DD55" w14:textId="77777777" w:rsidR="007F58AC" w:rsidRDefault="007F58AC">
      <w:r>
        <w:continuationSeparator/>
      </w:r>
    </w:p>
  </w:endnote>
  <w:endnote w:type="continuationNotice" w:id="1">
    <w:p w14:paraId="6EA138F5" w14:textId="77777777" w:rsidR="007F58AC" w:rsidRDefault="007F58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DXANP N+ Serifa B T,">
    <w:altName w:val="Times New Roman"/>
    <w:charset w:val="00"/>
    <w:family w:val="auto"/>
    <w:pitch w:val="default"/>
  </w:font>
  <w:font w:name="DengXian Light">
    <w:altName w:val="Segoe Prin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870813" w14:textId="77777777" w:rsidR="007F58AC" w:rsidRDefault="007F58AC">
      <w:r>
        <w:separator/>
      </w:r>
    </w:p>
  </w:footnote>
  <w:footnote w:type="continuationSeparator" w:id="0">
    <w:p w14:paraId="378BCADA" w14:textId="77777777" w:rsidR="007F58AC" w:rsidRDefault="007F58AC">
      <w:r>
        <w:continuationSeparator/>
      </w:r>
    </w:p>
  </w:footnote>
  <w:footnote w:type="continuationNotice" w:id="1">
    <w:p w14:paraId="41870978" w14:textId="77777777" w:rsidR="007F58AC" w:rsidRDefault="007F58AC"/>
  </w:footnote>
  <w:footnote w:id="2">
    <w:p w14:paraId="55482127" w14:textId="77777777" w:rsidR="00190AC9" w:rsidRPr="00BB5E51" w:rsidRDefault="00190AC9" w:rsidP="00190AC9">
      <w:pPr>
        <w:pStyle w:val="FootnoteText"/>
        <w:rPr>
          <w:lang w:val="es-ES"/>
        </w:rPr>
      </w:pPr>
      <w:r>
        <w:rPr>
          <w:rStyle w:val="FootnoteReference"/>
        </w:rPr>
        <w:footnoteRef/>
      </w:r>
      <w:r w:rsidRPr="00BB5E51">
        <w:rPr>
          <w:lang w:val="es-ES"/>
        </w:rPr>
        <w:t xml:space="preserve"> </w:t>
      </w:r>
      <w:r w:rsidRPr="008F5546">
        <w:rPr>
          <w:lang w:val="es-ES"/>
        </w:rPr>
        <w:t>Ley 238-2004, según enmendada, Artículo 4 (z).</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34032" w14:textId="77777777" w:rsidR="007F61B2" w:rsidRDefault="0083082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2234033" w14:textId="77777777" w:rsidR="007F61B2" w:rsidRDefault="007F61B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34034" w14:textId="76BC11B2" w:rsidR="007F61B2" w:rsidRDefault="0083082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w:t>
    </w:r>
    <w:r>
      <w:rPr>
        <w:rStyle w:val="PageNumber"/>
      </w:rPr>
      <w:t>3</w:t>
    </w:r>
    <w:r>
      <w:rPr>
        <w:rStyle w:val="PageNumber"/>
      </w:rPr>
      <w:fldChar w:fldCharType="end"/>
    </w:r>
  </w:p>
  <w:p w14:paraId="02234035" w14:textId="77777777" w:rsidR="007F61B2" w:rsidRDefault="007F61B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34038" w14:textId="66425062" w:rsidR="007F61B2" w:rsidRPr="00C60B4E" w:rsidRDefault="00C60B4E" w:rsidP="00C60B4E">
    <w:pPr>
      <w:pStyle w:val="Header"/>
      <w:jc w:val="right"/>
      <w:rPr>
        <w:lang w:val="en-US"/>
      </w:rPr>
    </w:pPr>
    <w:r>
      <w:rPr>
        <w:lang w:val="en-US"/>
      </w:rPr>
      <w:t>A-</w:t>
    </w:r>
    <w:r w:rsidR="00D709A1">
      <w:rPr>
        <w:lang w:val="en-US"/>
      </w:rPr>
      <w:t>102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C432B"/>
    <w:multiLevelType w:val="hybridMultilevel"/>
    <w:tmpl w:val="F4F84DF4"/>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3C4314C"/>
    <w:multiLevelType w:val="hybridMultilevel"/>
    <w:tmpl w:val="D7FC9D40"/>
    <w:lvl w:ilvl="0" w:tplc="A196A33C">
      <w:start w:val="1"/>
      <w:numFmt w:val="lowerRoman"/>
      <w:lvlText w:val="%1."/>
      <w:lvlJc w:val="right"/>
      <w:pPr>
        <w:ind w:left="720" w:firstLine="72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5FC40DA"/>
    <w:multiLevelType w:val="hybridMultilevel"/>
    <w:tmpl w:val="53C2A0C2"/>
    <w:lvl w:ilvl="0" w:tplc="8BE44D14">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 w15:restartNumberingAfterBreak="0">
    <w:nsid w:val="08E90DBA"/>
    <w:multiLevelType w:val="multilevel"/>
    <w:tmpl w:val="08E90DBA"/>
    <w:lvl w:ilvl="0">
      <w:start w:val="1"/>
      <w:numFmt w:val="low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15:restartNumberingAfterBreak="0">
    <w:nsid w:val="12C36F8F"/>
    <w:multiLevelType w:val="hybridMultilevel"/>
    <w:tmpl w:val="0A20E40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CFB7BCF"/>
    <w:multiLevelType w:val="hybridMultilevel"/>
    <w:tmpl w:val="03C26644"/>
    <w:lvl w:ilvl="0" w:tplc="C9D0C74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F9F45A1"/>
    <w:multiLevelType w:val="hybridMultilevel"/>
    <w:tmpl w:val="E7B6ED0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24451AD"/>
    <w:multiLevelType w:val="hybridMultilevel"/>
    <w:tmpl w:val="61241950"/>
    <w:lvl w:ilvl="0" w:tplc="6A98DCB4">
      <w:start w:val="1"/>
      <w:numFmt w:val="upperLetter"/>
      <w:lvlText w:val="(%1)"/>
      <w:lvlJc w:val="left"/>
      <w:pPr>
        <w:ind w:left="1305" w:hanging="405"/>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 w15:restartNumberingAfterBreak="0">
    <w:nsid w:val="23B50E38"/>
    <w:multiLevelType w:val="hybridMultilevel"/>
    <w:tmpl w:val="DA4E65B6"/>
    <w:lvl w:ilvl="0" w:tplc="D654FF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15:restartNumberingAfterBreak="0">
    <w:nsid w:val="2A4020DA"/>
    <w:multiLevelType w:val="hybridMultilevel"/>
    <w:tmpl w:val="2C2CEED4"/>
    <w:lvl w:ilvl="0" w:tplc="2DE617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69A6A59"/>
    <w:multiLevelType w:val="hybridMultilevel"/>
    <w:tmpl w:val="0CEE646C"/>
    <w:lvl w:ilvl="0" w:tplc="E27C45B4">
      <w:start w:val="1"/>
      <w:numFmt w:val="lowerLetter"/>
      <w:lvlText w:val="(%1)"/>
      <w:lvlJc w:val="left"/>
      <w:pPr>
        <w:ind w:left="0" w:firstLine="72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4" w15:restartNumberingAfterBreak="0">
    <w:nsid w:val="3A6D1429"/>
    <w:multiLevelType w:val="multilevel"/>
    <w:tmpl w:val="3A6D1429"/>
    <w:lvl w:ilvl="0">
      <w:start w:val="1"/>
      <w:numFmt w:val="decimal"/>
      <w:lvlText w:val="(%1)"/>
      <w:lvlJc w:val="left"/>
      <w:pPr>
        <w:ind w:left="1808" w:hanging="360"/>
      </w:pPr>
      <w:rPr>
        <w:vertAlign w:val="baseline"/>
      </w:rPr>
    </w:lvl>
    <w:lvl w:ilvl="1">
      <w:start w:val="1"/>
      <w:numFmt w:val="lowerLetter"/>
      <w:lvlText w:val="%2."/>
      <w:lvlJc w:val="left"/>
      <w:pPr>
        <w:ind w:left="2528" w:hanging="360"/>
      </w:pPr>
      <w:rPr>
        <w:vertAlign w:val="baseline"/>
      </w:rPr>
    </w:lvl>
    <w:lvl w:ilvl="2">
      <w:start w:val="1"/>
      <w:numFmt w:val="lowerRoman"/>
      <w:lvlText w:val="%3."/>
      <w:lvlJc w:val="right"/>
      <w:pPr>
        <w:ind w:left="3248" w:hanging="180"/>
      </w:pPr>
      <w:rPr>
        <w:vertAlign w:val="baseline"/>
      </w:rPr>
    </w:lvl>
    <w:lvl w:ilvl="3">
      <w:start w:val="1"/>
      <w:numFmt w:val="decimal"/>
      <w:lvlText w:val="%4."/>
      <w:lvlJc w:val="left"/>
      <w:pPr>
        <w:ind w:left="3968" w:hanging="360"/>
      </w:pPr>
      <w:rPr>
        <w:vertAlign w:val="baseline"/>
      </w:rPr>
    </w:lvl>
    <w:lvl w:ilvl="4">
      <w:start w:val="1"/>
      <w:numFmt w:val="lowerLetter"/>
      <w:lvlText w:val="%5."/>
      <w:lvlJc w:val="left"/>
      <w:pPr>
        <w:ind w:left="4688" w:hanging="360"/>
      </w:pPr>
      <w:rPr>
        <w:vertAlign w:val="baseline"/>
      </w:rPr>
    </w:lvl>
    <w:lvl w:ilvl="5">
      <w:start w:val="1"/>
      <w:numFmt w:val="lowerRoman"/>
      <w:lvlText w:val="%6."/>
      <w:lvlJc w:val="right"/>
      <w:pPr>
        <w:ind w:left="5408" w:hanging="180"/>
      </w:pPr>
      <w:rPr>
        <w:vertAlign w:val="baseline"/>
      </w:rPr>
    </w:lvl>
    <w:lvl w:ilvl="6">
      <w:start w:val="1"/>
      <w:numFmt w:val="decimal"/>
      <w:lvlText w:val="%7."/>
      <w:lvlJc w:val="left"/>
      <w:pPr>
        <w:ind w:left="6128" w:hanging="360"/>
      </w:pPr>
      <w:rPr>
        <w:vertAlign w:val="baseline"/>
      </w:rPr>
    </w:lvl>
    <w:lvl w:ilvl="7">
      <w:start w:val="1"/>
      <w:numFmt w:val="lowerLetter"/>
      <w:lvlText w:val="%8."/>
      <w:lvlJc w:val="left"/>
      <w:pPr>
        <w:ind w:left="6848" w:hanging="360"/>
      </w:pPr>
      <w:rPr>
        <w:vertAlign w:val="baseline"/>
      </w:rPr>
    </w:lvl>
    <w:lvl w:ilvl="8">
      <w:start w:val="1"/>
      <w:numFmt w:val="lowerRoman"/>
      <w:lvlText w:val="%9."/>
      <w:lvlJc w:val="right"/>
      <w:pPr>
        <w:ind w:left="7568" w:hanging="180"/>
      </w:pPr>
      <w:rPr>
        <w:vertAlign w:val="baseline"/>
      </w:rPr>
    </w:lvl>
  </w:abstractNum>
  <w:abstractNum w:abstractNumId="15" w15:restartNumberingAfterBreak="0">
    <w:nsid w:val="43E728CF"/>
    <w:multiLevelType w:val="hybridMultilevel"/>
    <w:tmpl w:val="7C46F14E"/>
    <w:lvl w:ilvl="0" w:tplc="B4EC7A8E">
      <w:start w:val="1"/>
      <w:numFmt w:val="lowerRoman"/>
      <w:lvlText w:val="%1."/>
      <w:lvlJc w:val="left"/>
      <w:pPr>
        <w:ind w:left="720" w:firstLine="720"/>
      </w:pPr>
      <w:rPr>
        <w:rFonts w:hint="default"/>
      </w:rPr>
    </w:lvl>
    <w:lvl w:ilvl="1" w:tplc="20000019" w:tentative="1">
      <w:start w:val="1"/>
      <w:numFmt w:val="lowerLetter"/>
      <w:lvlText w:val="%2."/>
      <w:lvlJc w:val="left"/>
      <w:pPr>
        <w:ind w:left="2880" w:hanging="360"/>
      </w:pPr>
    </w:lvl>
    <w:lvl w:ilvl="2" w:tplc="2000001B" w:tentative="1">
      <w:start w:val="1"/>
      <w:numFmt w:val="lowerRoman"/>
      <w:lvlText w:val="%3."/>
      <w:lvlJc w:val="right"/>
      <w:pPr>
        <w:ind w:left="3600" w:hanging="180"/>
      </w:pPr>
    </w:lvl>
    <w:lvl w:ilvl="3" w:tplc="2000000F" w:tentative="1">
      <w:start w:val="1"/>
      <w:numFmt w:val="decimal"/>
      <w:lvlText w:val="%4."/>
      <w:lvlJc w:val="left"/>
      <w:pPr>
        <w:ind w:left="4320" w:hanging="360"/>
      </w:pPr>
    </w:lvl>
    <w:lvl w:ilvl="4" w:tplc="20000019" w:tentative="1">
      <w:start w:val="1"/>
      <w:numFmt w:val="lowerLetter"/>
      <w:lvlText w:val="%5."/>
      <w:lvlJc w:val="left"/>
      <w:pPr>
        <w:ind w:left="5040" w:hanging="360"/>
      </w:pPr>
    </w:lvl>
    <w:lvl w:ilvl="5" w:tplc="2000001B" w:tentative="1">
      <w:start w:val="1"/>
      <w:numFmt w:val="lowerRoman"/>
      <w:lvlText w:val="%6."/>
      <w:lvlJc w:val="right"/>
      <w:pPr>
        <w:ind w:left="5760" w:hanging="180"/>
      </w:pPr>
    </w:lvl>
    <w:lvl w:ilvl="6" w:tplc="2000000F" w:tentative="1">
      <w:start w:val="1"/>
      <w:numFmt w:val="decimal"/>
      <w:lvlText w:val="%7."/>
      <w:lvlJc w:val="left"/>
      <w:pPr>
        <w:ind w:left="6480" w:hanging="360"/>
      </w:pPr>
    </w:lvl>
    <w:lvl w:ilvl="7" w:tplc="20000019" w:tentative="1">
      <w:start w:val="1"/>
      <w:numFmt w:val="lowerLetter"/>
      <w:lvlText w:val="%8."/>
      <w:lvlJc w:val="left"/>
      <w:pPr>
        <w:ind w:left="7200" w:hanging="360"/>
      </w:pPr>
    </w:lvl>
    <w:lvl w:ilvl="8" w:tplc="2000001B" w:tentative="1">
      <w:start w:val="1"/>
      <w:numFmt w:val="lowerRoman"/>
      <w:lvlText w:val="%9."/>
      <w:lvlJc w:val="right"/>
      <w:pPr>
        <w:ind w:left="7920" w:hanging="180"/>
      </w:pPr>
    </w:lvl>
  </w:abstractNum>
  <w:abstractNum w:abstractNumId="16"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AD04AE7"/>
    <w:multiLevelType w:val="hybridMultilevel"/>
    <w:tmpl w:val="83723F22"/>
    <w:lvl w:ilvl="0" w:tplc="65EEC5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28D300C"/>
    <w:multiLevelType w:val="hybridMultilevel"/>
    <w:tmpl w:val="CDF6F1EE"/>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532233F"/>
    <w:multiLevelType w:val="hybridMultilevel"/>
    <w:tmpl w:val="1D98AE56"/>
    <w:lvl w:ilvl="0" w:tplc="6AD28588">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56AD76C4"/>
    <w:multiLevelType w:val="hybridMultilevel"/>
    <w:tmpl w:val="0652C932"/>
    <w:lvl w:ilvl="0" w:tplc="9BF0E63E">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96B1637"/>
    <w:multiLevelType w:val="hybridMultilevel"/>
    <w:tmpl w:val="8D48A9D6"/>
    <w:lvl w:ilvl="0" w:tplc="43E2A924">
      <w:start w:val="1"/>
      <w:numFmt w:val="lowerRoman"/>
      <w:lvlText w:val="%1."/>
      <w:lvlJc w:val="left"/>
      <w:pPr>
        <w:ind w:left="720" w:firstLine="720"/>
      </w:pPr>
      <w:rPr>
        <w:rFonts w:hint="default"/>
      </w:rPr>
    </w:lvl>
    <w:lvl w:ilvl="1" w:tplc="20000019">
      <w:start w:val="1"/>
      <w:numFmt w:val="lowerLetter"/>
      <w:lvlText w:val="%2."/>
      <w:lvlJc w:val="left"/>
      <w:pPr>
        <w:ind w:left="2520" w:hanging="360"/>
      </w:pPr>
    </w:lvl>
    <w:lvl w:ilvl="2" w:tplc="2000001B" w:tentative="1">
      <w:start w:val="1"/>
      <w:numFmt w:val="lowerRoman"/>
      <w:lvlText w:val="%3."/>
      <w:lvlJc w:val="right"/>
      <w:pPr>
        <w:ind w:left="3240" w:hanging="180"/>
      </w:pPr>
    </w:lvl>
    <w:lvl w:ilvl="3" w:tplc="2000000F" w:tentative="1">
      <w:start w:val="1"/>
      <w:numFmt w:val="decimal"/>
      <w:lvlText w:val="%4."/>
      <w:lvlJc w:val="left"/>
      <w:pPr>
        <w:ind w:left="3960" w:hanging="360"/>
      </w:pPr>
    </w:lvl>
    <w:lvl w:ilvl="4" w:tplc="20000019" w:tentative="1">
      <w:start w:val="1"/>
      <w:numFmt w:val="lowerLetter"/>
      <w:lvlText w:val="%5."/>
      <w:lvlJc w:val="left"/>
      <w:pPr>
        <w:ind w:left="4680" w:hanging="360"/>
      </w:pPr>
    </w:lvl>
    <w:lvl w:ilvl="5" w:tplc="2000001B" w:tentative="1">
      <w:start w:val="1"/>
      <w:numFmt w:val="lowerRoman"/>
      <w:lvlText w:val="%6."/>
      <w:lvlJc w:val="right"/>
      <w:pPr>
        <w:ind w:left="5400" w:hanging="180"/>
      </w:pPr>
    </w:lvl>
    <w:lvl w:ilvl="6" w:tplc="2000000F" w:tentative="1">
      <w:start w:val="1"/>
      <w:numFmt w:val="decimal"/>
      <w:lvlText w:val="%7."/>
      <w:lvlJc w:val="left"/>
      <w:pPr>
        <w:ind w:left="6120" w:hanging="360"/>
      </w:pPr>
    </w:lvl>
    <w:lvl w:ilvl="7" w:tplc="20000019" w:tentative="1">
      <w:start w:val="1"/>
      <w:numFmt w:val="lowerLetter"/>
      <w:lvlText w:val="%8."/>
      <w:lvlJc w:val="left"/>
      <w:pPr>
        <w:ind w:left="6840" w:hanging="360"/>
      </w:pPr>
    </w:lvl>
    <w:lvl w:ilvl="8" w:tplc="2000001B" w:tentative="1">
      <w:start w:val="1"/>
      <w:numFmt w:val="lowerRoman"/>
      <w:lvlText w:val="%9."/>
      <w:lvlJc w:val="right"/>
      <w:pPr>
        <w:ind w:left="7560" w:hanging="180"/>
      </w:pPr>
    </w:lvl>
  </w:abstractNum>
  <w:abstractNum w:abstractNumId="22" w15:restartNumberingAfterBreak="0">
    <w:nsid w:val="597D51CD"/>
    <w:multiLevelType w:val="hybridMultilevel"/>
    <w:tmpl w:val="1A2ED33C"/>
    <w:lvl w:ilvl="0" w:tplc="39D03A54">
      <w:start w:val="1"/>
      <w:numFmt w:val="lowerLetter"/>
      <w:lvlText w:val="(%1)"/>
      <w:lvlJc w:val="left"/>
      <w:pPr>
        <w:ind w:left="0" w:firstLine="720"/>
      </w:pPr>
      <w:rPr>
        <w:rFonts w:hint="default"/>
      </w:rPr>
    </w:lvl>
    <w:lvl w:ilvl="1" w:tplc="20000019">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23"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6A046703"/>
    <w:multiLevelType w:val="hybridMultilevel"/>
    <w:tmpl w:val="4276073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36653F3"/>
    <w:multiLevelType w:val="hybridMultilevel"/>
    <w:tmpl w:val="5F20B43E"/>
    <w:lvl w:ilvl="0" w:tplc="332432E8">
      <w:start w:val="1"/>
      <w:numFmt w:val="lowerLetter"/>
      <w:lvlText w:val="(%1)"/>
      <w:lvlJc w:val="left"/>
      <w:pPr>
        <w:ind w:left="1935" w:hanging="495"/>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148936030">
    <w:abstractNumId w:val="14"/>
  </w:num>
  <w:num w:numId="2" w16cid:durableId="2037927756">
    <w:abstractNumId w:val="11"/>
  </w:num>
  <w:num w:numId="3" w16cid:durableId="508376565">
    <w:abstractNumId w:val="16"/>
  </w:num>
  <w:num w:numId="4" w16cid:durableId="216819222">
    <w:abstractNumId w:val="12"/>
  </w:num>
  <w:num w:numId="5" w16cid:durableId="517544549">
    <w:abstractNumId w:val="23"/>
  </w:num>
  <w:num w:numId="6" w16cid:durableId="478498451">
    <w:abstractNumId w:val="10"/>
  </w:num>
  <w:num w:numId="7" w16cid:durableId="46998239">
    <w:abstractNumId w:val="26"/>
  </w:num>
  <w:num w:numId="8" w16cid:durableId="275597364">
    <w:abstractNumId w:val="5"/>
  </w:num>
  <w:num w:numId="9" w16cid:durableId="1126703027">
    <w:abstractNumId w:val="3"/>
  </w:num>
  <w:num w:numId="10" w16cid:durableId="1162702400">
    <w:abstractNumId w:val="6"/>
  </w:num>
  <w:num w:numId="11" w16cid:durableId="2055156664">
    <w:abstractNumId w:val="17"/>
  </w:num>
  <w:num w:numId="12" w16cid:durableId="1121461949">
    <w:abstractNumId w:val="20"/>
  </w:num>
  <w:num w:numId="13" w16cid:durableId="261303919">
    <w:abstractNumId w:val="4"/>
  </w:num>
  <w:num w:numId="14" w16cid:durableId="1608542314">
    <w:abstractNumId w:val="0"/>
  </w:num>
  <w:num w:numId="15" w16cid:durableId="687564547">
    <w:abstractNumId w:val="1"/>
  </w:num>
  <w:num w:numId="16" w16cid:durableId="273637373">
    <w:abstractNumId w:val="13"/>
  </w:num>
  <w:num w:numId="17" w16cid:durableId="1320235784">
    <w:abstractNumId w:val="21"/>
  </w:num>
  <w:num w:numId="18" w16cid:durableId="1401176248">
    <w:abstractNumId w:val="22"/>
  </w:num>
  <w:num w:numId="19" w16cid:durableId="376929053">
    <w:abstractNumId w:val="15"/>
  </w:num>
  <w:num w:numId="20" w16cid:durableId="262231328">
    <w:abstractNumId w:val="18"/>
  </w:num>
  <w:num w:numId="21" w16cid:durableId="2065105753">
    <w:abstractNumId w:val="7"/>
  </w:num>
  <w:num w:numId="22" w16cid:durableId="1804614622">
    <w:abstractNumId w:val="24"/>
  </w:num>
  <w:num w:numId="23" w16cid:durableId="478421519">
    <w:abstractNumId w:val="2"/>
  </w:num>
  <w:num w:numId="24" w16cid:durableId="1903827703">
    <w:abstractNumId w:val="8"/>
  </w:num>
  <w:num w:numId="25" w16cid:durableId="1696074261">
    <w:abstractNumId w:val="9"/>
  </w:num>
  <w:num w:numId="26" w16cid:durableId="182674037">
    <w:abstractNumId w:val="25"/>
  </w:num>
  <w:num w:numId="27" w16cid:durableId="77151543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75FA"/>
    <w:rsid w:val="00005CEB"/>
    <w:rsid w:val="00014190"/>
    <w:rsid w:val="00014A7E"/>
    <w:rsid w:val="000164BB"/>
    <w:rsid w:val="00020EA3"/>
    <w:rsid w:val="000270A5"/>
    <w:rsid w:val="0003426B"/>
    <w:rsid w:val="0004098B"/>
    <w:rsid w:val="00045F08"/>
    <w:rsid w:val="00057584"/>
    <w:rsid w:val="000579C4"/>
    <w:rsid w:val="00062B92"/>
    <w:rsid w:val="00063D14"/>
    <w:rsid w:val="000659E0"/>
    <w:rsid w:val="000741B3"/>
    <w:rsid w:val="00076D71"/>
    <w:rsid w:val="00076E80"/>
    <w:rsid w:val="000866CA"/>
    <w:rsid w:val="0009772C"/>
    <w:rsid w:val="000A1D21"/>
    <w:rsid w:val="000A1D5C"/>
    <w:rsid w:val="000A4C96"/>
    <w:rsid w:val="000A5112"/>
    <w:rsid w:val="000B0936"/>
    <w:rsid w:val="000C2412"/>
    <w:rsid w:val="000D129F"/>
    <w:rsid w:val="000D67C9"/>
    <w:rsid w:val="000E25DA"/>
    <w:rsid w:val="000E5ABE"/>
    <w:rsid w:val="000E6A9E"/>
    <w:rsid w:val="000F3B48"/>
    <w:rsid w:val="00100AF1"/>
    <w:rsid w:val="001016AC"/>
    <w:rsid w:val="0010370A"/>
    <w:rsid w:val="0011023B"/>
    <w:rsid w:val="00112D3D"/>
    <w:rsid w:val="00121A8C"/>
    <w:rsid w:val="00151B88"/>
    <w:rsid w:val="00151EAB"/>
    <w:rsid w:val="00154D43"/>
    <w:rsid w:val="001614B1"/>
    <w:rsid w:val="00167892"/>
    <w:rsid w:val="00170D6C"/>
    <w:rsid w:val="001725E1"/>
    <w:rsid w:val="00176176"/>
    <w:rsid w:val="00183D59"/>
    <w:rsid w:val="001855E6"/>
    <w:rsid w:val="00190AC9"/>
    <w:rsid w:val="0019638B"/>
    <w:rsid w:val="00196959"/>
    <w:rsid w:val="001A4F66"/>
    <w:rsid w:val="001A7DF2"/>
    <w:rsid w:val="001B27CD"/>
    <w:rsid w:val="001B45AF"/>
    <w:rsid w:val="001B6435"/>
    <w:rsid w:val="001C1A00"/>
    <w:rsid w:val="001C5485"/>
    <w:rsid w:val="001D7752"/>
    <w:rsid w:val="001E08D1"/>
    <w:rsid w:val="001F5E7F"/>
    <w:rsid w:val="00203A46"/>
    <w:rsid w:val="00206653"/>
    <w:rsid w:val="0021171A"/>
    <w:rsid w:val="00231429"/>
    <w:rsid w:val="0023774B"/>
    <w:rsid w:val="0024422E"/>
    <w:rsid w:val="00247D33"/>
    <w:rsid w:val="002541AD"/>
    <w:rsid w:val="00254612"/>
    <w:rsid w:val="00271EE7"/>
    <w:rsid w:val="0027475C"/>
    <w:rsid w:val="00274D04"/>
    <w:rsid w:val="0027683B"/>
    <w:rsid w:val="00283306"/>
    <w:rsid w:val="00293AAF"/>
    <w:rsid w:val="00294DCD"/>
    <w:rsid w:val="002972D2"/>
    <w:rsid w:val="002A2E3E"/>
    <w:rsid w:val="002A5F56"/>
    <w:rsid w:val="002A684D"/>
    <w:rsid w:val="002B42DB"/>
    <w:rsid w:val="002B5D05"/>
    <w:rsid w:val="002B635D"/>
    <w:rsid w:val="002C09F7"/>
    <w:rsid w:val="002D29E2"/>
    <w:rsid w:val="002D2C15"/>
    <w:rsid w:val="002D5613"/>
    <w:rsid w:val="002E0427"/>
    <w:rsid w:val="002E5701"/>
    <w:rsid w:val="002E6517"/>
    <w:rsid w:val="002F6C22"/>
    <w:rsid w:val="003007AB"/>
    <w:rsid w:val="00306C4B"/>
    <w:rsid w:val="00306D6F"/>
    <w:rsid w:val="0030725B"/>
    <w:rsid w:val="00310A31"/>
    <w:rsid w:val="0031114B"/>
    <w:rsid w:val="0031489E"/>
    <w:rsid w:val="0031572B"/>
    <w:rsid w:val="00326CBF"/>
    <w:rsid w:val="003309F7"/>
    <w:rsid w:val="00336436"/>
    <w:rsid w:val="003465AB"/>
    <w:rsid w:val="003475FA"/>
    <w:rsid w:val="00350A18"/>
    <w:rsid w:val="00366A6D"/>
    <w:rsid w:val="00367F94"/>
    <w:rsid w:val="00370898"/>
    <w:rsid w:val="003718F2"/>
    <w:rsid w:val="003848FF"/>
    <w:rsid w:val="00395EF3"/>
    <w:rsid w:val="00396297"/>
    <w:rsid w:val="003A7944"/>
    <w:rsid w:val="003B343A"/>
    <w:rsid w:val="003B44CF"/>
    <w:rsid w:val="003C15C9"/>
    <w:rsid w:val="003C2BBB"/>
    <w:rsid w:val="003D3DB3"/>
    <w:rsid w:val="003D4D7E"/>
    <w:rsid w:val="003D6D1D"/>
    <w:rsid w:val="003E247C"/>
    <w:rsid w:val="003E2A06"/>
    <w:rsid w:val="003F1396"/>
    <w:rsid w:val="003F3C4F"/>
    <w:rsid w:val="003F3D81"/>
    <w:rsid w:val="003F565B"/>
    <w:rsid w:val="004053B1"/>
    <w:rsid w:val="00410446"/>
    <w:rsid w:val="004142B3"/>
    <w:rsid w:val="00417589"/>
    <w:rsid w:val="004178C9"/>
    <w:rsid w:val="004200C7"/>
    <w:rsid w:val="00420984"/>
    <w:rsid w:val="004366F6"/>
    <w:rsid w:val="00441832"/>
    <w:rsid w:val="00441E7B"/>
    <w:rsid w:val="00443336"/>
    <w:rsid w:val="004433CA"/>
    <w:rsid w:val="00447E1B"/>
    <w:rsid w:val="004512E8"/>
    <w:rsid w:val="00452905"/>
    <w:rsid w:val="00463D73"/>
    <w:rsid w:val="00464285"/>
    <w:rsid w:val="00467979"/>
    <w:rsid w:val="0047581C"/>
    <w:rsid w:val="00477188"/>
    <w:rsid w:val="00477788"/>
    <w:rsid w:val="0048628A"/>
    <w:rsid w:val="00486D91"/>
    <w:rsid w:val="00492CD7"/>
    <w:rsid w:val="004968B4"/>
    <w:rsid w:val="004A24C6"/>
    <w:rsid w:val="004A41D0"/>
    <w:rsid w:val="004B1CF4"/>
    <w:rsid w:val="004B278A"/>
    <w:rsid w:val="004B2F36"/>
    <w:rsid w:val="004B68F9"/>
    <w:rsid w:val="004C178C"/>
    <w:rsid w:val="004C5E2E"/>
    <w:rsid w:val="004C670A"/>
    <w:rsid w:val="004D04DE"/>
    <w:rsid w:val="004D0718"/>
    <w:rsid w:val="004D3FBD"/>
    <w:rsid w:val="004D406E"/>
    <w:rsid w:val="004D6AE4"/>
    <w:rsid w:val="004E2CE2"/>
    <w:rsid w:val="004E2E81"/>
    <w:rsid w:val="004E57F6"/>
    <w:rsid w:val="004E62D8"/>
    <w:rsid w:val="004F046B"/>
    <w:rsid w:val="004F7331"/>
    <w:rsid w:val="0050380A"/>
    <w:rsid w:val="00504471"/>
    <w:rsid w:val="00506A16"/>
    <w:rsid w:val="005130BF"/>
    <w:rsid w:val="00515DE4"/>
    <w:rsid w:val="00523805"/>
    <w:rsid w:val="005332AA"/>
    <w:rsid w:val="00557D84"/>
    <w:rsid w:val="00560A03"/>
    <w:rsid w:val="00561180"/>
    <w:rsid w:val="0056407E"/>
    <w:rsid w:val="0057356F"/>
    <w:rsid w:val="00580F55"/>
    <w:rsid w:val="00593C7F"/>
    <w:rsid w:val="00594085"/>
    <w:rsid w:val="005A119E"/>
    <w:rsid w:val="005A183F"/>
    <w:rsid w:val="005A37CE"/>
    <w:rsid w:val="005A4CFA"/>
    <w:rsid w:val="005A5437"/>
    <w:rsid w:val="005D1822"/>
    <w:rsid w:val="005D4C44"/>
    <w:rsid w:val="005D5738"/>
    <w:rsid w:val="005E4879"/>
    <w:rsid w:val="005E5478"/>
    <w:rsid w:val="005E5FE3"/>
    <w:rsid w:val="005E62A5"/>
    <w:rsid w:val="005E75FF"/>
    <w:rsid w:val="005F02A0"/>
    <w:rsid w:val="005F197B"/>
    <w:rsid w:val="005F492A"/>
    <w:rsid w:val="00600473"/>
    <w:rsid w:val="00601919"/>
    <w:rsid w:val="006031E1"/>
    <w:rsid w:val="0061681A"/>
    <w:rsid w:val="00624EE4"/>
    <w:rsid w:val="00631CBE"/>
    <w:rsid w:val="006329AB"/>
    <w:rsid w:val="006408D2"/>
    <w:rsid w:val="00641191"/>
    <w:rsid w:val="0064396A"/>
    <w:rsid w:val="00646680"/>
    <w:rsid w:val="00650175"/>
    <w:rsid w:val="00650529"/>
    <w:rsid w:val="00651941"/>
    <w:rsid w:val="00652773"/>
    <w:rsid w:val="006534FD"/>
    <w:rsid w:val="00653E7E"/>
    <w:rsid w:val="00664C3F"/>
    <w:rsid w:val="00666535"/>
    <w:rsid w:val="00667B4D"/>
    <w:rsid w:val="00672EC7"/>
    <w:rsid w:val="00683A9C"/>
    <w:rsid w:val="006859AB"/>
    <w:rsid w:val="00690BA5"/>
    <w:rsid w:val="006941F5"/>
    <w:rsid w:val="006956FE"/>
    <w:rsid w:val="00697A07"/>
    <w:rsid w:val="00697AA5"/>
    <w:rsid w:val="006A4836"/>
    <w:rsid w:val="006B0DE4"/>
    <w:rsid w:val="006B102E"/>
    <w:rsid w:val="006B2595"/>
    <w:rsid w:val="006B3260"/>
    <w:rsid w:val="006B5B38"/>
    <w:rsid w:val="006B6474"/>
    <w:rsid w:val="006C22CA"/>
    <w:rsid w:val="006C7979"/>
    <w:rsid w:val="006D4DDC"/>
    <w:rsid w:val="006D6F10"/>
    <w:rsid w:val="006E101C"/>
    <w:rsid w:val="006E2726"/>
    <w:rsid w:val="006E5CFC"/>
    <w:rsid w:val="006E77D4"/>
    <w:rsid w:val="006E782B"/>
    <w:rsid w:val="006F0E20"/>
    <w:rsid w:val="006F4EDF"/>
    <w:rsid w:val="006F64F8"/>
    <w:rsid w:val="007026D1"/>
    <w:rsid w:val="00704D1B"/>
    <w:rsid w:val="007107D9"/>
    <w:rsid w:val="007151E8"/>
    <w:rsid w:val="007156C7"/>
    <w:rsid w:val="007160C5"/>
    <w:rsid w:val="00722742"/>
    <w:rsid w:val="00723722"/>
    <w:rsid w:val="007254CC"/>
    <w:rsid w:val="007409EB"/>
    <w:rsid w:val="007429F0"/>
    <w:rsid w:val="00747032"/>
    <w:rsid w:val="007549F4"/>
    <w:rsid w:val="00761F10"/>
    <w:rsid w:val="007775FF"/>
    <w:rsid w:val="00785210"/>
    <w:rsid w:val="007913C2"/>
    <w:rsid w:val="00792036"/>
    <w:rsid w:val="00793FB1"/>
    <w:rsid w:val="00796A1D"/>
    <w:rsid w:val="007A4890"/>
    <w:rsid w:val="007A4AD0"/>
    <w:rsid w:val="007A7038"/>
    <w:rsid w:val="007B3D22"/>
    <w:rsid w:val="007C018A"/>
    <w:rsid w:val="007C2ABA"/>
    <w:rsid w:val="007C73C1"/>
    <w:rsid w:val="007D02AC"/>
    <w:rsid w:val="007D04C1"/>
    <w:rsid w:val="007D2643"/>
    <w:rsid w:val="007D542B"/>
    <w:rsid w:val="007D5AEC"/>
    <w:rsid w:val="007E7423"/>
    <w:rsid w:val="007F42C2"/>
    <w:rsid w:val="007F58AC"/>
    <w:rsid w:val="007F61B2"/>
    <w:rsid w:val="008027D7"/>
    <w:rsid w:val="00807747"/>
    <w:rsid w:val="0081147A"/>
    <w:rsid w:val="00820557"/>
    <w:rsid w:val="00820D67"/>
    <w:rsid w:val="00822EB0"/>
    <w:rsid w:val="0083082B"/>
    <w:rsid w:val="00836D91"/>
    <w:rsid w:val="00843AAE"/>
    <w:rsid w:val="00851372"/>
    <w:rsid w:val="008529AB"/>
    <w:rsid w:val="008552D1"/>
    <w:rsid w:val="00860AEF"/>
    <w:rsid w:val="00867902"/>
    <w:rsid w:val="00877906"/>
    <w:rsid w:val="00890999"/>
    <w:rsid w:val="00894201"/>
    <w:rsid w:val="008A57BD"/>
    <w:rsid w:val="008B1FE6"/>
    <w:rsid w:val="008B307B"/>
    <w:rsid w:val="008B5572"/>
    <w:rsid w:val="008C17D4"/>
    <w:rsid w:val="008D0C41"/>
    <w:rsid w:val="008E045D"/>
    <w:rsid w:val="008E11EF"/>
    <w:rsid w:val="008E480B"/>
    <w:rsid w:val="008F3657"/>
    <w:rsid w:val="008F6826"/>
    <w:rsid w:val="008F6EA1"/>
    <w:rsid w:val="0090363D"/>
    <w:rsid w:val="0092574A"/>
    <w:rsid w:val="00926BC1"/>
    <w:rsid w:val="009320A8"/>
    <w:rsid w:val="00940544"/>
    <w:rsid w:val="0094294A"/>
    <w:rsid w:val="009434A9"/>
    <w:rsid w:val="00945971"/>
    <w:rsid w:val="00960475"/>
    <w:rsid w:val="009617D5"/>
    <w:rsid w:val="00961DDB"/>
    <w:rsid w:val="00966FA9"/>
    <w:rsid w:val="009771FC"/>
    <w:rsid w:val="009812E2"/>
    <w:rsid w:val="009A05A3"/>
    <w:rsid w:val="009A741D"/>
    <w:rsid w:val="009A787A"/>
    <w:rsid w:val="009C47A8"/>
    <w:rsid w:val="009C54CA"/>
    <w:rsid w:val="009D115E"/>
    <w:rsid w:val="009D659A"/>
    <w:rsid w:val="009E0FA1"/>
    <w:rsid w:val="009F61F7"/>
    <w:rsid w:val="00A03E35"/>
    <w:rsid w:val="00A05CBE"/>
    <w:rsid w:val="00A1720E"/>
    <w:rsid w:val="00A258E7"/>
    <w:rsid w:val="00A30405"/>
    <w:rsid w:val="00A36A5F"/>
    <w:rsid w:val="00A415F2"/>
    <w:rsid w:val="00A43B6B"/>
    <w:rsid w:val="00A43EC5"/>
    <w:rsid w:val="00A50CBC"/>
    <w:rsid w:val="00A54EEA"/>
    <w:rsid w:val="00A701C5"/>
    <w:rsid w:val="00A71027"/>
    <w:rsid w:val="00A75FF7"/>
    <w:rsid w:val="00A82019"/>
    <w:rsid w:val="00A87FC6"/>
    <w:rsid w:val="00A95B27"/>
    <w:rsid w:val="00AA3873"/>
    <w:rsid w:val="00AA3B92"/>
    <w:rsid w:val="00AA4522"/>
    <w:rsid w:val="00AA46E1"/>
    <w:rsid w:val="00AB2370"/>
    <w:rsid w:val="00AC1EBE"/>
    <w:rsid w:val="00AC3C0A"/>
    <w:rsid w:val="00AC4ADE"/>
    <w:rsid w:val="00AD0068"/>
    <w:rsid w:val="00AE243B"/>
    <w:rsid w:val="00AE3B8E"/>
    <w:rsid w:val="00AF0830"/>
    <w:rsid w:val="00AF2BB2"/>
    <w:rsid w:val="00AF3E42"/>
    <w:rsid w:val="00AF5FD1"/>
    <w:rsid w:val="00AF70D8"/>
    <w:rsid w:val="00B00B01"/>
    <w:rsid w:val="00B12A36"/>
    <w:rsid w:val="00B13131"/>
    <w:rsid w:val="00B13F57"/>
    <w:rsid w:val="00B17A3A"/>
    <w:rsid w:val="00B20247"/>
    <w:rsid w:val="00B23602"/>
    <w:rsid w:val="00B31609"/>
    <w:rsid w:val="00B37CE4"/>
    <w:rsid w:val="00B516B0"/>
    <w:rsid w:val="00B51D4B"/>
    <w:rsid w:val="00B54D7C"/>
    <w:rsid w:val="00B60022"/>
    <w:rsid w:val="00B63686"/>
    <w:rsid w:val="00B644EA"/>
    <w:rsid w:val="00B7637E"/>
    <w:rsid w:val="00B77C27"/>
    <w:rsid w:val="00B8688D"/>
    <w:rsid w:val="00B872A1"/>
    <w:rsid w:val="00B909F0"/>
    <w:rsid w:val="00B933DA"/>
    <w:rsid w:val="00B93659"/>
    <w:rsid w:val="00BA5775"/>
    <w:rsid w:val="00BA62C3"/>
    <w:rsid w:val="00BB4E75"/>
    <w:rsid w:val="00BB63E5"/>
    <w:rsid w:val="00BC0E43"/>
    <w:rsid w:val="00BC29F9"/>
    <w:rsid w:val="00BD0C31"/>
    <w:rsid w:val="00BE6B79"/>
    <w:rsid w:val="00BF0C93"/>
    <w:rsid w:val="00BF24DA"/>
    <w:rsid w:val="00BF5B60"/>
    <w:rsid w:val="00BF603F"/>
    <w:rsid w:val="00BF7DBB"/>
    <w:rsid w:val="00C00DC9"/>
    <w:rsid w:val="00C02130"/>
    <w:rsid w:val="00C02A40"/>
    <w:rsid w:val="00C10F6D"/>
    <w:rsid w:val="00C26945"/>
    <w:rsid w:val="00C27360"/>
    <w:rsid w:val="00C34C2D"/>
    <w:rsid w:val="00C36ABA"/>
    <w:rsid w:val="00C53447"/>
    <w:rsid w:val="00C53A8C"/>
    <w:rsid w:val="00C60B4E"/>
    <w:rsid w:val="00C63A02"/>
    <w:rsid w:val="00C7113B"/>
    <w:rsid w:val="00C72B8C"/>
    <w:rsid w:val="00C76F14"/>
    <w:rsid w:val="00C80649"/>
    <w:rsid w:val="00C83431"/>
    <w:rsid w:val="00C90A6A"/>
    <w:rsid w:val="00C91865"/>
    <w:rsid w:val="00C95A69"/>
    <w:rsid w:val="00CA19DB"/>
    <w:rsid w:val="00CA275F"/>
    <w:rsid w:val="00CA35FE"/>
    <w:rsid w:val="00CA4453"/>
    <w:rsid w:val="00CA567F"/>
    <w:rsid w:val="00CA5F57"/>
    <w:rsid w:val="00CA6D1B"/>
    <w:rsid w:val="00CB7B9F"/>
    <w:rsid w:val="00CC1885"/>
    <w:rsid w:val="00CC5676"/>
    <w:rsid w:val="00CD2CC2"/>
    <w:rsid w:val="00CD3F36"/>
    <w:rsid w:val="00CE0C8C"/>
    <w:rsid w:val="00CE2334"/>
    <w:rsid w:val="00CF2808"/>
    <w:rsid w:val="00CF3342"/>
    <w:rsid w:val="00D12650"/>
    <w:rsid w:val="00D217C6"/>
    <w:rsid w:val="00D24DA2"/>
    <w:rsid w:val="00D35008"/>
    <w:rsid w:val="00D37054"/>
    <w:rsid w:val="00D37D69"/>
    <w:rsid w:val="00D40AE2"/>
    <w:rsid w:val="00D40D7F"/>
    <w:rsid w:val="00D53ACF"/>
    <w:rsid w:val="00D57D0F"/>
    <w:rsid w:val="00D623E2"/>
    <w:rsid w:val="00D709A1"/>
    <w:rsid w:val="00D76523"/>
    <w:rsid w:val="00D77C8E"/>
    <w:rsid w:val="00D82800"/>
    <w:rsid w:val="00D85598"/>
    <w:rsid w:val="00D90036"/>
    <w:rsid w:val="00D92E87"/>
    <w:rsid w:val="00D953E1"/>
    <w:rsid w:val="00DA1F13"/>
    <w:rsid w:val="00DA34D8"/>
    <w:rsid w:val="00DB4272"/>
    <w:rsid w:val="00DB6ED3"/>
    <w:rsid w:val="00DC2DE4"/>
    <w:rsid w:val="00DC6D36"/>
    <w:rsid w:val="00DD2763"/>
    <w:rsid w:val="00DD5F02"/>
    <w:rsid w:val="00DE2A89"/>
    <w:rsid w:val="00DE6FCA"/>
    <w:rsid w:val="00E028DD"/>
    <w:rsid w:val="00E044DD"/>
    <w:rsid w:val="00E04B77"/>
    <w:rsid w:val="00E06704"/>
    <w:rsid w:val="00E15C25"/>
    <w:rsid w:val="00E20220"/>
    <w:rsid w:val="00E263C7"/>
    <w:rsid w:val="00E27D4B"/>
    <w:rsid w:val="00E304C8"/>
    <w:rsid w:val="00E51CE3"/>
    <w:rsid w:val="00E5538A"/>
    <w:rsid w:val="00E60299"/>
    <w:rsid w:val="00E615E1"/>
    <w:rsid w:val="00E64B96"/>
    <w:rsid w:val="00E90C62"/>
    <w:rsid w:val="00EA2D19"/>
    <w:rsid w:val="00EA412D"/>
    <w:rsid w:val="00EA455E"/>
    <w:rsid w:val="00EB412E"/>
    <w:rsid w:val="00EB4427"/>
    <w:rsid w:val="00EB4B50"/>
    <w:rsid w:val="00EC23C9"/>
    <w:rsid w:val="00EC69FF"/>
    <w:rsid w:val="00EC7C09"/>
    <w:rsid w:val="00ED031F"/>
    <w:rsid w:val="00EE4413"/>
    <w:rsid w:val="00EE61D0"/>
    <w:rsid w:val="00EE7CB6"/>
    <w:rsid w:val="00EF5966"/>
    <w:rsid w:val="00EF75E1"/>
    <w:rsid w:val="00F02966"/>
    <w:rsid w:val="00F04EF2"/>
    <w:rsid w:val="00F05BAB"/>
    <w:rsid w:val="00F12A2B"/>
    <w:rsid w:val="00F15352"/>
    <w:rsid w:val="00F207F8"/>
    <w:rsid w:val="00F20816"/>
    <w:rsid w:val="00F20819"/>
    <w:rsid w:val="00F234E9"/>
    <w:rsid w:val="00F34824"/>
    <w:rsid w:val="00F434E6"/>
    <w:rsid w:val="00F47CF7"/>
    <w:rsid w:val="00F50746"/>
    <w:rsid w:val="00F51E9F"/>
    <w:rsid w:val="00F565DA"/>
    <w:rsid w:val="00F618DB"/>
    <w:rsid w:val="00F65039"/>
    <w:rsid w:val="00F66F83"/>
    <w:rsid w:val="00F711AE"/>
    <w:rsid w:val="00F752B4"/>
    <w:rsid w:val="00F84E92"/>
    <w:rsid w:val="00F87422"/>
    <w:rsid w:val="00FA489F"/>
    <w:rsid w:val="00FA5408"/>
    <w:rsid w:val="00FA6279"/>
    <w:rsid w:val="00FA7A68"/>
    <w:rsid w:val="00FB153D"/>
    <w:rsid w:val="00FB58AD"/>
    <w:rsid w:val="00FB63E2"/>
    <w:rsid w:val="00FC1EE1"/>
    <w:rsid w:val="00FC564C"/>
    <w:rsid w:val="00FD1837"/>
    <w:rsid w:val="00FD56E5"/>
    <w:rsid w:val="00FD76AF"/>
    <w:rsid w:val="00FF1BC7"/>
    <w:rsid w:val="00FF5E2C"/>
    <w:rsid w:val="1B65777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2233FFC"/>
  <w15:docId w15:val="{D726A335-1236-437B-ADF6-2B3FC9828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unhideWhenUsed="1" w:qFormat="1"/>
    <w:lsdException w:name="header"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qFormat="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63"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sz w:val="24"/>
    </w:rPr>
  </w:style>
  <w:style w:type="paragraph" w:styleId="Heading1">
    <w:name w:val="heading 1"/>
    <w:basedOn w:val="Normal"/>
    <w:next w:val="Normal"/>
    <w:link w:val="Heading1Char"/>
    <w:uiPriority w:val="99"/>
    <w:qFormat/>
    <w:rsid w:val="004F046B"/>
    <w:pPr>
      <w:keepNext/>
      <w:ind w:left="720" w:hanging="720"/>
      <w:outlineLvl w:val="0"/>
    </w:pPr>
    <w:rPr>
      <w:b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Pr>
      <w:rFonts w:ascii="Tahoma" w:hAnsi="Tahoma"/>
      <w:sz w:val="16"/>
      <w:szCs w:val="16"/>
      <w:lang w:val="zh-CN" w:eastAsia="zh-CN"/>
    </w:rPr>
  </w:style>
  <w:style w:type="paragraph" w:styleId="BodyText">
    <w:name w:val="Body Text"/>
    <w:basedOn w:val="Normal"/>
    <w:link w:val="BodyTextChar"/>
    <w:qFormat/>
    <w:pPr>
      <w:widowControl w:val="0"/>
      <w:tabs>
        <w:tab w:val="left" w:pos="0"/>
        <w:tab w:val="left" w:pos="360"/>
        <w:tab w:val="left" w:pos="720"/>
        <w:tab w:val="left" w:pos="1440"/>
        <w:tab w:val="left" w:pos="2160"/>
        <w:tab w:val="left" w:pos="2880"/>
        <w:tab w:val="left" w:pos="3600"/>
        <w:tab w:val="left" w:pos="4320"/>
        <w:tab w:val="left" w:pos="5040"/>
        <w:tab w:val="left" w:pos="5760"/>
        <w:tab w:val="left" w:pos="7200"/>
      </w:tabs>
      <w:suppressAutoHyphens/>
      <w:spacing w:line="480" w:lineRule="auto"/>
      <w:ind w:right="360"/>
      <w:jc w:val="both"/>
    </w:pPr>
    <w:rPr>
      <w:snapToGrid w:val="0"/>
      <w:spacing w:val="-3"/>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unhideWhenUsed/>
    <w:qFormat/>
    <w:rPr>
      <w:sz w:val="20"/>
      <w:lang w:val="zh-CN" w:eastAsia="zh-CN"/>
    </w:rPr>
  </w:style>
  <w:style w:type="paragraph" w:styleId="CommentSubject">
    <w:name w:val="annotation subject"/>
    <w:basedOn w:val="CommentText"/>
    <w:next w:val="CommentText"/>
    <w:link w:val="CommentSubjectChar"/>
    <w:uiPriority w:val="99"/>
    <w:semiHidden/>
    <w:unhideWhenUsed/>
    <w:qFormat/>
    <w:rPr>
      <w:b/>
      <w:bCs/>
    </w:rPr>
  </w:style>
  <w:style w:type="paragraph" w:styleId="Footer">
    <w:name w:val="footer"/>
    <w:basedOn w:val="Normal"/>
    <w:link w:val="FooterChar"/>
    <w:uiPriority w:val="99"/>
    <w:qFormat/>
    <w:pPr>
      <w:tabs>
        <w:tab w:val="center" w:pos="4320"/>
        <w:tab w:val="right" w:pos="8640"/>
      </w:tabs>
    </w:pPr>
    <w:rPr>
      <w:lang w:val="zh-CN" w:eastAsia="zh-CN"/>
    </w:rPr>
  </w:style>
  <w:style w:type="paragraph" w:styleId="Header">
    <w:name w:val="header"/>
    <w:basedOn w:val="Normal"/>
    <w:link w:val="HeaderChar"/>
    <w:uiPriority w:val="99"/>
    <w:qFormat/>
    <w:pPr>
      <w:tabs>
        <w:tab w:val="center" w:pos="4320"/>
        <w:tab w:val="right" w:pos="8640"/>
      </w:tabs>
    </w:pPr>
    <w:rPr>
      <w:lang w:val="zh-CN" w:eastAsia="zh-CN"/>
    </w:rPr>
  </w:style>
  <w:style w:type="paragraph" w:styleId="HTMLPreformatted">
    <w:name w:val="HTML Preformatted"/>
    <w:basedOn w:val="Normal"/>
    <w:link w:val="HTMLPreformattedChar"/>
    <w:uiPriority w:val="99"/>
    <w:semiHidden/>
    <w:unhideWhenUsed/>
    <w:qFormat/>
    <w:rPr>
      <w:rFonts w:ascii="Consolas" w:hAnsi="Consolas"/>
      <w:sz w:val="20"/>
    </w:rPr>
  </w:style>
  <w:style w:type="character" w:styleId="Hyperlink">
    <w:name w:val="Hyperlink"/>
    <w:uiPriority w:val="99"/>
    <w:unhideWhenUsed/>
    <w:qFormat/>
    <w:rPr>
      <w:color w:val="0000FF"/>
      <w:u w:val="single"/>
    </w:rPr>
  </w:style>
  <w:style w:type="character" w:styleId="LineNumber">
    <w:name w:val="line number"/>
    <w:basedOn w:val="DefaultParagraphFont"/>
    <w:uiPriority w:val="99"/>
    <w:semiHidden/>
    <w:unhideWhenUsed/>
    <w:qFormat/>
  </w:style>
  <w:style w:type="character" w:styleId="PageNumber">
    <w:name w:val="page number"/>
    <w:basedOn w:val="DefaultParagraphFont"/>
    <w:qFormat/>
  </w:style>
  <w:style w:type="paragraph" w:customStyle="1" w:styleId="Title2">
    <w:name w:val="Title2"/>
    <w:basedOn w:val="Normal"/>
    <w:next w:val="Normal"/>
    <w:qFormat/>
    <w:pPr>
      <w:tabs>
        <w:tab w:val="left" w:pos="648"/>
        <w:tab w:val="right" w:pos="7776"/>
        <w:tab w:val="left" w:pos="7848"/>
      </w:tabs>
    </w:pPr>
  </w:style>
  <w:style w:type="character" w:customStyle="1" w:styleId="HeaderChar">
    <w:name w:val="Header Char"/>
    <w:link w:val="Header"/>
    <w:uiPriority w:val="99"/>
    <w:rPr>
      <w:rFonts w:ascii="Times New Roman" w:eastAsia="Times New Roman" w:hAnsi="Times New Roman" w:cs="Times New Roman"/>
      <w:sz w:val="24"/>
      <w:szCs w:val="20"/>
    </w:rPr>
  </w:style>
  <w:style w:type="character" w:customStyle="1" w:styleId="FooterChar">
    <w:name w:val="Footer Char"/>
    <w:link w:val="Footer"/>
    <w:uiPriority w:val="99"/>
    <w:rPr>
      <w:rFonts w:ascii="Times New Roman" w:eastAsia="Times New Roman" w:hAnsi="Times New Roman" w:cs="Times New Roman"/>
      <w:sz w:val="24"/>
      <w:szCs w:val="20"/>
    </w:rPr>
  </w:style>
  <w:style w:type="character" w:customStyle="1" w:styleId="CommentTextChar">
    <w:name w:val="Comment Text Char"/>
    <w:link w:val="CommentText"/>
    <w:uiPriority w:val="99"/>
    <w:qFormat/>
    <w:rPr>
      <w:rFonts w:ascii="Times New Roman" w:eastAsia="Times New Roman" w:hAnsi="Times New Roman"/>
    </w:rPr>
  </w:style>
  <w:style w:type="character" w:customStyle="1" w:styleId="CommentSubjectChar">
    <w:name w:val="Comment Subject Char"/>
    <w:link w:val="CommentSubject"/>
    <w:uiPriority w:val="99"/>
    <w:semiHidden/>
    <w:qFormat/>
    <w:rPr>
      <w:rFonts w:ascii="Times New Roman" w:eastAsia="Times New Roman" w:hAnsi="Times New Roman"/>
      <w:b/>
      <w:bCs/>
    </w:rPr>
  </w:style>
  <w:style w:type="character" w:customStyle="1" w:styleId="BalloonTextChar">
    <w:name w:val="Balloon Text Char"/>
    <w:link w:val="BalloonText"/>
    <w:uiPriority w:val="99"/>
    <w:semiHidden/>
    <w:qFormat/>
    <w:rPr>
      <w:rFonts w:ascii="Tahoma" w:eastAsia="Times New Roman" w:hAnsi="Tahoma" w:cs="Tahoma"/>
      <w:sz w:val="16"/>
      <w:szCs w:val="16"/>
    </w:rPr>
  </w:style>
  <w:style w:type="paragraph" w:styleId="NoSpacing">
    <w:name w:val="No Spacing"/>
    <w:uiPriority w:val="1"/>
    <w:qFormat/>
    <w:rPr>
      <w:rFonts w:ascii="Times New Roman" w:eastAsia="Times New Roman" w:hAnsi="Times New Roman"/>
      <w:sz w:val="24"/>
    </w:rPr>
  </w:style>
  <w:style w:type="paragraph" w:styleId="ListParagraph">
    <w:name w:val="List Paragraph"/>
    <w:basedOn w:val="Normal"/>
    <w:uiPriority w:val="63"/>
    <w:qFormat/>
    <w:pPr>
      <w:ind w:left="720"/>
      <w:contextualSpacing/>
    </w:pPr>
  </w:style>
  <w:style w:type="character" w:customStyle="1" w:styleId="BodyTextChar">
    <w:name w:val="Body Text Char"/>
    <w:link w:val="BodyText"/>
    <w:rPr>
      <w:rFonts w:ascii="Times New Roman" w:eastAsia="Times New Roman" w:hAnsi="Times New Roman"/>
      <w:snapToGrid w:val="0"/>
      <w:spacing w:val="-3"/>
      <w:sz w:val="24"/>
    </w:rPr>
  </w:style>
  <w:style w:type="character" w:customStyle="1" w:styleId="apple-converted-space">
    <w:name w:val="apple-converted-space"/>
    <w:basedOn w:val="DefaultParagraphFont"/>
    <w:qFormat/>
  </w:style>
  <w:style w:type="character" w:styleId="PlaceholderText">
    <w:name w:val="Placeholder Text"/>
    <w:basedOn w:val="DefaultParagraphFont"/>
    <w:uiPriority w:val="99"/>
    <w:semiHidden/>
    <w:rPr>
      <w:color w:val="808080"/>
    </w:rPr>
  </w:style>
  <w:style w:type="character" w:customStyle="1" w:styleId="HTMLPreformattedChar">
    <w:name w:val="HTML Preformatted Char"/>
    <w:basedOn w:val="DefaultParagraphFont"/>
    <w:link w:val="HTMLPreformatted"/>
    <w:uiPriority w:val="99"/>
    <w:semiHidden/>
    <w:qFormat/>
    <w:rPr>
      <w:rFonts w:ascii="Consolas" w:eastAsia="Times New Roman" w:hAnsi="Consolas"/>
    </w:rPr>
  </w:style>
  <w:style w:type="paragraph" w:customStyle="1" w:styleId="Revision1">
    <w:name w:val="Revision1"/>
    <w:hidden/>
    <w:uiPriority w:val="99"/>
    <w:semiHidden/>
    <w:qFormat/>
    <w:rPr>
      <w:rFonts w:ascii="Times New Roman" w:eastAsia="Times New Roman" w:hAnsi="Times New Roman"/>
      <w:sz w:val="24"/>
    </w:rPr>
  </w:style>
  <w:style w:type="paragraph" w:customStyle="1" w:styleId="default">
    <w:name w:val="default"/>
    <w:basedOn w:val="Normal"/>
    <w:rsid w:val="003309F7"/>
    <w:pPr>
      <w:autoSpaceDE w:val="0"/>
      <w:autoSpaceDN w:val="0"/>
    </w:pPr>
    <w:rPr>
      <w:rFonts w:ascii="DXANP N+ Serifa B T," w:hAnsi="DXANP N+ Serifa B T,"/>
      <w:color w:val="000000"/>
      <w:szCs w:val="24"/>
    </w:rPr>
  </w:style>
  <w:style w:type="character" w:customStyle="1" w:styleId="hps">
    <w:name w:val="hps"/>
    <w:basedOn w:val="DefaultParagraphFont"/>
    <w:rsid w:val="00796A1D"/>
  </w:style>
  <w:style w:type="table" w:customStyle="1" w:styleId="Style42">
    <w:name w:val="_Style 42"/>
    <w:basedOn w:val="TableNormal"/>
    <w:rsid w:val="00641191"/>
    <w:rPr>
      <w:rFonts w:ascii="Times New Roman" w:eastAsia="Times New Roman" w:hAnsi="Times New Roman"/>
    </w:rPr>
    <w:tblPr>
      <w:tblInd w:w="0" w:type="nil"/>
    </w:tblPr>
  </w:style>
  <w:style w:type="table" w:customStyle="1" w:styleId="Style43">
    <w:name w:val="_Style 43"/>
    <w:basedOn w:val="TableNormal"/>
    <w:qFormat/>
    <w:rsid w:val="00641191"/>
    <w:rPr>
      <w:rFonts w:ascii="Times New Roman" w:eastAsia="Times New Roman" w:hAnsi="Times New Roman"/>
    </w:rPr>
    <w:tblPr>
      <w:tblInd w:w="0" w:type="nil"/>
    </w:tblPr>
  </w:style>
  <w:style w:type="paragraph" w:styleId="BodyTextIndent2">
    <w:name w:val="Body Text Indent 2"/>
    <w:basedOn w:val="Normal"/>
    <w:link w:val="BodyTextIndent2Char"/>
    <w:rsid w:val="00E20220"/>
    <w:pPr>
      <w:spacing w:after="120" w:line="480" w:lineRule="auto"/>
      <w:ind w:left="360"/>
    </w:pPr>
    <w:rPr>
      <w:lang w:val="es-PR"/>
    </w:rPr>
  </w:style>
  <w:style w:type="character" w:customStyle="1" w:styleId="BodyTextIndent2Char">
    <w:name w:val="Body Text Indent 2 Char"/>
    <w:basedOn w:val="DefaultParagraphFont"/>
    <w:link w:val="BodyTextIndent2"/>
    <w:rsid w:val="00E20220"/>
    <w:rPr>
      <w:rFonts w:ascii="Times New Roman" w:eastAsia="Times New Roman" w:hAnsi="Times New Roman"/>
      <w:sz w:val="24"/>
      <w:lang w:val="es-PR"/>
    </w:rPr>
  </w:style>
  <w:style w:type="paragraph" w:styleId="NormalWeb">
    <w:name w:val="Normal (Web)"/>
    <w:basedOn w:val="Normal"/>
    <w:uiPriority w:val="99"/>
    <w:unhideWhenUsed/>
    <w:rsid w:val="00B63686"/>
    <w:pPr>
      <w:spacing w:before="100" w:beforeAutospacing="1" w:after="100" w:afterAutospacing="1"/>
    </w:pPr>
    <w:rPr>
      <w:szCs w:val="24"/>
    </w:rPr>
  </w:style>
  <w:style w:type="character" w:styleId="Strong">
    <w:name w:val="Strong"/>
    <w:basedOn w:val="DefaultParagraphFont"/>
    <w:uiPriority w:val="22"/>
    <w:qFormat/>
    <w:rsid w:val="00BB4E75"/>
    <w:rPr>
      <w:b/>
      <w:bCs/>
    </w:rPr>
  </w:style>
  <w:style w:type="character" w:customStyle="1" w:styleId="normaltextrun">
    <w:name w:val="normaltextrun"/>
    <w:basedOn w:val="DefaultParagraphFont"/>
    <w:qFormat/>
    <w:rsid w:val="00C91865"/>
  </w:style>
  <w:style w:type="character" w:styleId="Emphasis">
    <w:name w:val="Emphasis"/>
    <w:basedOn w:val="DefaultParagraphFont"/>
    <w:uiPriority w:val="20"/>
    <w:qFormat/>
    <w:rsid w:val="00C91865"/>
    <w:rPr>
      <w:i/>
      <w:iCs/>
    </w:rPr>
  </w:style>
  <w:style w:type="paragraph" w:customStyle="1" w:styleId="p1">
    <w:name w:val="p1"/>
    <w:basedOn w:val="Normal"/>
    <w:qFormat/>
    <w:rsid w:val="00C91865"/>
    <w:rPr>
      <w:color w:val="000000"/>
      <w:sz w:val="18"/>
      <w:szCs w:val="18"/>
      <w:lang w:val="es-ES"/>
    </w:rPr>
  </w:style>
  <w:style w:type="character" w:customStyle="1" w:styleId="eop">
    <w:name w:val="eop"/>
    <w:basedOn w:val="DefaultParagraphFont"/>
    <w:qFormat/>
    <w:rsid w:val="00C91865"/>
  </w:style>
  <w:style w:type="character" w:styleId="FootnoteReference">
    <w:name w:val="footnote reference"/>
    <w:uiPriority w:val="99"/>
    <w:qFormat/>
    <w:rsid w:val="00C02A40"/>
    <w:rPr>
      <w:vertAlign w:val="superscript"/>
    </w:rPr>
  </w:style>
  <w:style w:type="paragraph" w:styleId="FootnoteText">
    <w:name w:val="footnote text"/>
    <w:basedOn w:val="Normal"/>
    <w:link w:val="FootnoteTextChar"/>
    <w:uiPriority w:val="99"/>
    <w:qFormat/>
    <w:rsid w:val="00C02A40"/>
    <w:rPr>
      <w:sz w:val="20"/>
      <w:szCs w:val="24"/>
    </w:rPr>
  </w:style>
  <w:style w:type="character" w:customStyle="1" w:styleId="FootnoteTextChar">
    <w:name w:val="Footnote Text Char"/>
    <w:basedOn w:val="DefaultParagraphFont"/>
    <w:link w:val="FootnoteText"/>
    <w:uiPriority w:val="99"/>
    <w:qFormat/>
    <w:rsid w:val="00C02A40"/>
    <w:rPr>
      <w:rFonts w:ascii="Times New Roman" w:eastAsia="Times New Roman" w:hAnsi="Times New Roman"/>
      <w:szCs w:val="24"/>
    </w:rPr>
  </w:style>
  <w:style w:type="paragraph" w:styleId="BodyTextIndent">
    <w:name w:val="Body Text Indent"/>
    <w:basedOn w:val="Normal"/>
    <w:link w:val="BodyTextIndentChar"/>
    <w:uiPriority w:val="99"/>
    <w:unhideWhenUsed/>
    <w:rsid w:val="004B278A"/>
    <w:pPr>
      <w:spacing w:after="120"/>
      <w:ind w:left="360"/>
    </w:pPr>
    <w:rPr>
      <w:szCs w:val="24"/>
    </w:rPr>
  </w:style>
  <w:style w:type="character" w:customStyle="1" w:styleId="BodyTextIndentChar">
    <w:name w:val="Body Text Indent Char"/>
    <w:basedOn w:val="DefaultParagraphFont"/>
    <w:link w:val="BodyTextIndent"/>
    <w:uiPriority w:val="99"/>
    <w:rsid w:val="004B278A"/>
    <w:rPr>
      <w:rFonts w:ascii="Times New Roman" w:eastAsia="Times New Roman" w:hAnsi="Times New Roman"/>
      <w:sz w:val="24"/>
      <w:szCs w:val="24"/>
    </w:rPr>
  </w:style>
  <w:style w:type="character" w:customStyle="1" w:styleId="Heading1Char">
    <w:name w:val="Heading 1 Char"/>
    <w:basedOn w:val="DefaultParagraphFont"/>
    <w:link w:val="Heading1"/>
    <w:uiPriority w:val="99"/>
    <w:rsid w:val="004F046B"/>
    <w:rPr>
      <w:rFonts w:ascii="Times New Roman" w:eastAsia="Times New Roman" w:hAnsi="Times New Roman"/>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customXml" Target="../customXml/item6.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4SQX5P7U7WPY-958212181-822478</_dlc_DocId>
    <_dlc_DocIdUrl xmlns="c890fddd-4e87-4e08-8b51-545f2a3f7b06">
      <Url>https://senpr.sharepoint.com/sites/obralegislativa/_layouts/15/DocIdRedir.aspx?ID=4SQX5P7U7WPY-958212181-822478</Url>
      <Description>4SQX5P7U7WPY-958212181-822478</Description>
    </_dlc_DocIdUrl>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4.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f99650a5ac60d836c4b2ade9e4d872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ad82bcb4691b8a0bfacb54814c269ca"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D1E426E-D115-4C9A-87F3-D3A5FCACC326}">
  <ds:schemaRefs>
    <ds:schemaRef ds:uri="http://schemas.microsoft.com/office/2006/metadata/properties"/>
    <ds:schemaRef ds:uri="http://schemas.microsoft.com/office/infopath/2007/PartnerControls"/>
    <ds:schemaRef ds:uri="6828f0a7-4f9a-4b75-a298-658c829fbd91"/>
  </ds:schemaRefs>
</ds:datastoreItem>
</file>

<file path=customXml/itemProps2.xml><?xml version="1.0" encoding="utf-8"?>
<ds:datastoreItem xmlns:ds="http://schemas.openxmlformats.org/officeDocument/2006/customXml" ds:itemID="{B1F50149-03E6-49CB-B1A9-E4301B362AA2}">
  <ds:schemaRefs>
    <ds:schemaRef ds:uri="http://schemas.openxmlformats.org/officeDocument/2006/bibliography"/>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4.xml><?xml version="1.0" encoding="utf-8"?>
<ds:datastoreItem xmlns:ds="http://schemas.openxmlformats.org/officeDocument/2006/customXml" ds:itemID="{054149BB-ACB0-4C74-875C-B4781B4B0C82}"/>
</file>

<file path=customXml/itemProps5.xml><?xml version="1.0" encoding="utf-8"?>
<ds:datastoreItem xmlns:ds="http://schemas.openxmlformats.org/officeDocument/2006/customXml" ds:itemID="{98F7027A-7C15-4003-85A9-1068AEB8B15C}">
  <ds:schemaRefs>
    <ds:schemaRef ds:uri="http://schemas.microsoft.com/sharepoint/v3/contenttype/forms"/>
  </ds:schemaRefs>
</ds:datastoreItem>
</file>

<file path=customXml/itemProps6.xml><?xml version="1.0" encoding="utf-8"?>
<ds:datastoreItem xmlns:ds="http://schemas.openxmlformats.org/officeDocument/2006/customXml" ds:itemID="{301BC0D9-AC46-4E14-8EB8-5A125684E309}"/>
</file>

<file path=docProps/app.xml><?xml version="1.0" encoding="utf-8"?>
<Properties xmlns="http://schemas.openxmlformats.org/officeDocument/2006/extended-properties" xmlns:vt="http://schemas.openxmlformats.org/officeDocument/2006/docPropsVTypes">
  <Template>Normal</Template>
  <TotalTime>4</TotalTime>
  <Pages>17</Pages>
  <Words>4389</Words>
  <Characters>23224</Characters>
  <Application>Microsoft Office Word</Application>
  <DocSecurity>0</DocSecurity>
  <Lines>374</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Alexander S. Adams Vega</dc:creator>
  <cp:lastModifiedBy>Eric J. González (Trámites y Récords)</cp:lastModifiedBy>
  <cp:revision>3</cp:revision>
  <cp:lastPrinted>2026-01-12T14:54:00Z</cp:lastPrinted>
  <dcterms:created xsi:type="dcterms:W3CDTF">2026-01-12T18:35:00Z</dcterms:created>
  <dcterms:modified xsi:type="dcterms:W3CDTF">2026-01-14T18:45:00Z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1033-12.2.0.20326</vt:lpwstr>
  </property>
  <property fmtid="{D5CDD505-2E9C-101B-9397-08002B2CF9AE}" pid="3" name="ICV">
    <vt:lpwstr>F21EA6FB911D41E088D4785716AE1F03_13</vt:lpwstr>
  </property>
  <property fmtid="{D5CDD505-2E9C-101B-9397-08002B2CF9AE}" pid="4" name="ContentTypeId">
    <vt:lpwstr>0x0101008C58FC75B682744FB4A53C756BEDC3A3</vt:lpwstr>
  </property>
  <property fmtid="{D5CDD505-2E9C-101B-9397-08002B2CF9AE}" pid="5" name="MediaServiceImageTags">
    <vt:lpwstr/>
  </property>
  <property fmtid="{D5CDD505-2E9C-101B-9397-08002B2CF9AE}" pid="6" name="_dlc_DocIdItemGuid">
    <vt:lpwstr>05f4c555-9c98-4ece-9eab-bb2d2528998f</vt:lpwstr>
  </property>
</Properties>
</file>