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A9FA3" w14:textId="77777777" w:rsidR="00D723FE" w:rsidRPr="003052D8" w:rsidRDefault="00D723FE" w:rsidP="00D723FE">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3C3B216F" w14:textId="4FD781D5" w:rsidR="00D723FE" w:rsidRPr="003052D8" w:rsidRDefault="00D723FE" w:rsidP="00D723FE">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sidR="003B7F56">
        <w:rPr>
          <w:rFonts w:ascii="Book Antiqua" w:hAnsi="Book Antiqua"/>
          <w:szCs w:val="24"/>
          <w:lang w:val="es-ES"/>
        </w:rPr>
        <w:t xml:space="preserve"> </w:t>
      </w:r>
      <w:r w:rsidRPr="003052D8">
        <w:rPr>
          <w:rFonts w:ascii="Book Antiqua" w:hAnsi="Book Antiqua"/>
          <w:szCs w:val="24"/>
          <w:lang w:val="es-ES"/>
        </w:rPr>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437E6469" w14:textId="2A0724BF" w:rsidR="00D723FE" w:rsidRPr="003052D8" w:rsidRDefault="00D723FE" w:rsidP="00D723FE">
      <w:pPr>
        <w:spacing w:line="276" w:lineRule="auto"/>
        <w:rPr>
          <w:rFonts w:ascii="Book Antiqua" w:hAnsi="Book Antiqua"/>
          <w:b/>
          <w:szCs w:val="24"/>
          <w:lang w:val="es-ES"/>
        </w:rPr>
      </w:pPr>
      <w:r w:rsidRPr="003052D8">
        <w:rPr>
          <w:rFonts w:ascii="Book Antiqua" w:hAnsi="Book Antiqua"/>
          <w:szCs w:val="24"/>
          <w:lang w:val="es-ES"/>
        </w:rPr>
        <w:t xml:space="preserve">     </w:t>
      </w:r>
      <w:r w:rsidR="003B7F56">
        <w:rPr>
          <w:rFonts w:ascii="Book Antiqua" w:hAnsi="Book Antiqua"/>
          <w:szCs w:val="24"/>
          <w:lang w:val="es-ES"/>
        </w:rPr>
        <w:t xml:space="preserve">  </w:t>
      </w:r>
      <w:r w:rsidRPr="003052D8">
        <w:rPr>
          <w:rFonts w:ascii="Book Antiqua" w:hAnsi="Book Antiqua"/>
          <w:szCs w:val="24"/>
          <w:lang w:val="es-ES"/>
        </w:rPr>
        <w:t xml:space="preserve">  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62DED5C0" w14:textId="77777777" w:rsidR="00D723FE" w:rsidRPr="003052D8" w:rsidRDefault="00D723FE" w:rsidP="00D723FE">
      <w:pPr>
        <w:spacing w:line="276" w:lineRule="auto"/>
        <w:jc w:val="center"/>
        <w:rPr>
          <w:rFonts w:ascii="Book Antiqua" w:hAnsi="Book Antiqua"/>
          <w:b/>
          <w:sz w:val="36"/>
          <w:szCs w:val="36"/>
          <w:lang w:val="es-ES"/>
        </w:rPr>
      </w:pPr>
    </w:p>
    <w:p w14:paraId="19BB1D24" w14:textId="77777777" w:rsidR="00D723FE" w:rsidRPr="003052D8" w:rsidRDefault="00D723FE" w:rsidP="00D723F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3A59A141" w14:textId="0DDF239E" w:rsidR="00D723FE" w:rsidRPr="003052D8" w:rsidRDefault="00D723FE" w:rsidP="00D723FE">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w:t>
      </w:r>
      <w:r w:rsidR="00351116">
        <w:rPr>
          <w:rFonts w:ascii="Book Antiqua" w:hAnsi="Book Antiqua"/>
          <w:b/>
          <w:sz w:val="52"/>
          <w:szCs w:val="52"/>
          <w:lang w:val="es-ES"/>
        </w:rPr>
        <w:t>S</w:t>
      </w:r>
      <w:r w:rsidRPr="003052D8">
        <w:rPr>
          <w:rFonts w:ascii="Book Antiqua" w:hAnsi="Book Antiqua"/>
          <w:b/>
          <w:sz w:val="52"/>
          <w:szCs w:val="52"/>
          <w:lang w:val="es-ES"/>
        </w:rPr>
        <w:t xml:space="preserve">. </w:t>
      </w:r>
      <w:r w:rsidR="00351116">
        <w:rPr>
          <w:rFonts w:ascii="Book Antiqua" w:hAnsi="Book Antiqua"/>
          <w:b/>
          <w:sz w:val="52"/>
          <w:szCs w:val="52"/>
          <w:lang w:val="es-ES"/>
        </w:rPr>
        <w:t>927</w:t>
      </w:r>
    </w:p>
    <w:p w14:paraId="1B8C16C7" w14:textId="77777777" w:rsidR="00D723FE" w:rsidRPr="003052D8" w:rsidRDefault="00D723FE" w:rsidP="00D723FE">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685293CD" w14:textId="77777777" w:rsidR="00D723FE" w:rsidRPr="003052D8" w:rsidRDefault="00D723FE" w:rsidP="00D723FE">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42FD1290" w14:textId="39EA59CA" w:rsidR="00D723FE" w:rsidRPr="003052D8" w:rsidRDefault="00D75E23" w:rsidP="00D723FE">
      <w:pPr>
        <w:spacing w:line="276" w:lineRule="auto"/>
        <w:jc w:val="center"/>
        <w:rPr>
          <w:rFonts w:ascii="Book Antiqua" w:hAnsi="Book Antiqua"/>
          <w:szCs w:val="24"/>
          <w:lang w:val="es-PR"/>
        </w:rPr>
      </w:pPr>
      <w:r>
        <w:rPr>
          <w:rFonts w:ascii="Book Antiqua" w:hAnsi="Book Antiqua"/>
          <w:szCs w:val="24"/>
          <w:lang w:val="es-PR"/>
        </w:rPr>
        <w:t xml:space="preserve">12 </w:t>
      </w:r>
      <w:r w:rsidR="00D723FE" w:rsidRPr="003052D8">
        <w:rPr>
          <w:rFonts w:ascii="Book Antiqua" w:hAnsi="Book Antiqua"/>
          <w:szCs w:val="24"/>
          <w:lang w:val="es-PR"/>
        </w:rPr>
        <w:t xml:space="preserve">de </w:t>
      </w:r>
      <w:r w:rsidR="00D723FE">
        <w:rPr>
          <w:rFonts w:ascii="Book Antiqua" w:hAnsi="Book Antiqua"/>
          <w:szCs w:val="24"/>
          <w:lang w:val="es-PR"/>
        </w:rPr>
        <w:t>marzo</w:t>
      </w:r>
      <w:r w:rsidR="00D723FE" w:rsidRPr="003052D8">
        <w:rPr>
          <w:rFonts w:ascii="Book Antiqua" w:hAnsi="Book Antiqua"/>
          <w:szCs w:val="24"/>
          <w:lang w:val="es-PR"/>
        </w:rPr>
        <w:t xml:space="preserve"> de 202</w:t>
      </w:r>
      <w:r w:rsidR="00D723FE">
        <w:rPr>
          <w:rFonts w:ascii="Book Antiqua" w:hAnsi="Book Antiqua"/>
          <w:szCs w:val="24"/>
          <w:lang w:val="es-PR"/>
        </w:rPr>
        <w:t>6</w:t>
      </w:r>
    </w:p>
    <w:p w14:paraId="01BDF828" w14:textId="77777777" w:rsidR="00D723FE" w:rsidRDefault="00D723FE" w:rsidP="00D723FE">
      <w:pPr>
        <w:spacing w:line="276" w:lineRule="auto"/>
        <w:rPr>
          <w:rFonts w:ascii="Book Antiqua" w:hAnsi="Book Antiqua"/>
          <w:b/>
          <w:szCs w:val="24"/>
          <w:lang w:val="es-PR"/>
        </w:rPr>
      </w:pPr>
    </w:p>
    <w:p w14:paraId="6ABA0EB5" w14:textId="77777777" w:rsidR="003B7F56" w:rsidRPr="003052D8" w:rsidRDefault="003B7F56" w:rsidP="00D723FE">
      <w:pPr>
        <w:spacing w:line="276" w:lineRule="auto"/>
        <w:rPr>
          <w:rFonts w:ascii="Book Antiqua" w:hAnsi="Book Antiqua"/>
          <w:b/>
          <w:szCs w:val="24"/>
          <w:lang w:val="es-PR"/>
        </w:rPr>
      </w:pPr>
    </w:p>
    <w:p w14:paraId="6FE5C1D6" w14:textId="77777777" w:rsidR="00D723FE" w:rsidRDefault="00D723FE" w:rsidP="003B7F56">
      <w:pPr>
        <w:contextualSpacing/>
        <w:rPr>
          <w:rFonts w:ascii="Book Antiqua" w:hAnsi="Book Antiqua"/>
          <w:b/>
          <w:szCs w:val="24"/>
          <w:lang w:val="es-ES"/>
        </w:rPr>
      </w:pPr>
      <w:r w:rsidRPr="003052D8">
        <w:rPr>
          <w:rFonts w:ascii="Book Antiqua" w:hAnsi="Book Antiqua"/>
          <w:b/>
          <w:szCs w:val="24"/>
          <w:lang w:val="es-ES"/>
        </w:rPr>
        <w:t>A LA CÁMARA DE REPRESENTANTES:</w:t>
      </w:r>
    </w:p>
    <w:p w14:paraId="5C4A2E7F" w14:textId="77777777" w:rsidR="00D723FE" w:rsidRPr="003052D8" w:rsidRDefault="00D723FE" w:rsidP="003B7F56">
      <w:pPr>
        <w:contextualSpacing/>
        <w:rPr>
          <w:rFonts w:ascii="Book Antiqua" w:hAnsi="Book Antiqua"/>
          <w:b/>
          <w:szCs w:val="24"/>
          <w:lang w:val="es-ES"/>
        </w:rPr>
      </w:pPr>
    </w:p>
    <w:p w14:paraId="0E0C2DBD" w14:textId="25F82C02" w:rsidR="007B4FC6" w:rsidRPr="007B4FC6" w:rsidRDefault="00E43062" w:rsidP="003B7F56">
      <w:pPr>
        <w:ind w:firstLine="720"/>
        <w:contextualSpacing/>
        <w:jc w:val="both"/>
        <w:rPr>
          <w:rFonts w:ascii="Book Antiqua" w:hAnsi="Book Antiqua"/>
          <w:szCs w:val="24"/>
          <w:lang w:val="es-PR"/>
        </w:rPr>
      </w:pPr>
      <w:r w:rsidRPr="00E43062">
        <w:rPr>
          <w:rFonts w:ascii="Book Antiqua" w:hAnsi="Book Antiqua"/>
          <w:szCs w:val="24"/>
          <w:lang w:val="es-PR"/>
        </w:rPr>
        <w:t xml:space="preserve">La Comisión de Gobierno de la Cámara de Representantes de Puerto Rico, </w:t>
      </w:r>
      <w:r w:rsidR="00930D8B">
        <w:rPr>
          <w:rFonts w:ascii="Book Antiqua" w:hAnsi="Book Antiqua"/>
          <w:szCs w:val="24"/>
          <w:lang w:val="es-PR"/>
        </w:rPr>
        <w:t>previo estudio y consideración</w:t>
      </w:r>
      <w:r w:rsidRPr="00E43062">
        <w:rPr>
          <w:rFonts w:ascii="Book Antiqua" w:hAnsi="Book Antiqua"/>
          <w:szCs w:val="24"/>
          <w:lang w:val="es-PR"/>
        </w:rPr>
        <w:t xml:space="preserve"> </w:t>
      </w:r>
      <w:r w:rsidR="00B2250F">
        <w:rPr>
          <w:rFonts w:ascii="Book Antiqua" w:hAnsi="Book Antiqua"/>
          <w:szCs w:val="24"/>
          <w:lang w:val="es-PR"/>
        </w:rPr>
        <w:t>d</w:t>
      </w:r>
      <w:r w:rsidRPr="00E43062">
        <w:rPr>
          <w:rFonts w:ascii="Book Antiqua" w:hAnsi="Book Antiqua"/>
          <w:szCs w:val="24"/>
          <w:lang w:val="es-PR"/>
        </w:rPr>
        <w:t xml:space="preserve">el Proyecto del </w:t>
      </w:r>
      <w:r w:rsidR="00351116">
        <w:rPr>
          <w:rFonts w:ascii="Book Antiqua" w:hAnsi="Book Antiqua"/>
          <w:szCs w:val="24"/>
          <w:lang w:val="es-PR"/>
        </w:rPr>
        <w:t>Senado 927</w:t>
      </w:r>
      <w:r w:rsidR="00F276EE">
        <w:rPr>
          <w:rFonts w:ascii="Book Antiqua" w:hAnsi="Book Antiqua"/>
          <w:szCs w:val="24"/>
          <w:lang w:val="es-PR"/>
        </w:rPr>
        <w:t xml:space="preserve"> (P. del S. 927)</w:t>
      </w:r>
      <w:r w:rsidR="00930D8B" w:rsidRPr="00623F41">
        <w:rPr>
          <w:rFonts w:ascii="Book Antiqua" w:hAnsi="Book Antiqua"/>
          <w:szCs w:val="24"/>
          <w:lang w:val="es-PR"/>
        </w:rPr>
        <w:t xml:space="preserve">, medida que es el equivalente directo del Proyecto de la Cámara </w:t>
      </w:r>
      <w:r w:rsidR="00930D8B">
        <w:rPr>
          <w:rFonts w:ascii="Book Antiqua" w:hAnsi="Book Antiqua"/>
          <w:szCs w:val="24"/>
          <w:lang w:val="es-PR"/>
        </w:rPr>
        <w:t>1030</w:t>
      </w:r>
      <w:r w:rsidR="00930D8B" w:rsidRPr="00623F41">
        <w:rPr>
          <w:rFonts w:ascii="Book Antiqua" w:hAnsi="Book Antiqua"/>
          <w:szCs w:val="24"/>
          <w:lang w:val="es-PR"/>
        </w:rPr>
        <w:t xml:space="preserve"> (P. de la C. </w:t>
      </w:r>
      <w:r w:rsidR="00930D8B">
        <w:rPr>
          <w:rFonts w:ascii="Book Antiqua" w:hAnsi="Book Antiqua"/>
          <w:szCs w:val="24"/>
          <w:lang w:val="es-PR"/>
        </w:rPr>
        <w:t>1030</w:t>
      </w:r>
      <w:r w:rsidR="00930D8B" w:rsidRPr="00623F41">
        <w:rPr>
          <w:rFonts w:ascii="Book Antiqua" w:hAnsi="Book Antiqua"/>
          <w:szCs w:val="24"/>
          <w:lang w:val="es-PR"/>
        </w:rPr>
        <w:t>), tiene a bien rendir este Informe Positivo recomendando su aprobación</w:t>
      </w:r>
      <w:r w:rsidR="00930D8B">
        <w:rPr>
          <w:rFonts w:ascii="Book Antiqua" w:hAnsi="Book Antiqua"/>
          <w:szCs w:val="24"/>
          <w:lang w:val="es-PR"/>
        </w:rPr>
        <w:t xml:space="preserve"> sin enmiendas</w:t>
      </w:r>
      <w:r w:rsidR="00B2250F">
        <w:rPr>
          <w:rFonts w:ascii="Book Antiqua" w:hAnsi="Book Antiqua"/>
          <w:szCs w:val="24"/>
          <w:lang w:val="es-PR"/>
        </w:rPr>
        <w:t>.</w:t>
      </w:r>
      <w:r w:rsidR="007B4FC6" w:rsidRPr="007B4FC6">
        <w:rPr>
          <w:rFonts w:eastAsia="Times New Roman"/>
          <w:szCs w:val="24"/>
          <w:lang w:val="es-PR" w:eastAsia="es-PR"/>
        </w:rPr>
        <w:t xml:space="preserve"> </w:t>
      </w:r>
    </w:p>
    <w:p w14:paraId="24E6A35E" w14:textId="04436F8D" w:rsidR="00D723FE" w:rsidRPr="007B4FC6" w:rsidRDefault="00D723FE" w:rsidP="003B7F56">
      <w:pPr>
        <w:ind w:firstLine="720"/>
        <w:contextualSpacing/>
        <w:jc w:val="both"/>
        <w:rPr>
          <w:rFonts w:ascii="Book Antiqua" w:hAnsi="Book Antiqua"/>
          <w:szCs w:val="24"/>
          <w:lang w:val="es-PR"/>
        </w:rPr>
      </w:pPr>
    </w:p>
    <w:p w14:paraId="15DAD74C" w14:textId="77777777" w:rsidR="007B4FC6" w:rsidRPr="003052D8" w:rsidRDefault="007B4FC6" w:rsidP="003B7F56">
      <w:pPr>
        <w:contextualSpacing/>
        <w:jc w:val="center"/>
        <w:rPr>
          <w:rFonts w:ascii="Book Antiqua" w:hAnsi="Book Antiqua"/>
          <w:b/>
          <w:bCs/>
          <w:lang w:val="es-ES"/>
        </w:rPr>
      </w:pPr>
      <w:r w:rsidRPr="003052D8">
        <w:rPr>
          <w:rFonts w:ascii="Book Antiqua" w:hAnsi="Book Antiqua"/>
          <w:b/>
          <w:bCs/>
          <w:lang w:val="es-ES"/>
        </w:rPr>
        <w:t>ALCANCE DE LA MEDIDA</w:t>
      </w:r>
    </w:p>
    <w:p w14:paraId="09CCEE33" w14:textId="77777777" w:rsidR="007B4FC6" w:rsidRDefault="007B4FC6" w:rsidP="003B7F56">
      <w:pPr>
        <w:contextualSpacing/>
        <w:jc w:val="both"/>
        <w:rPr>
          <w:rFonts w:ascii="Book Antiqua" w:hAnsi="Book Antiqua"/>
          <w:lang w:val="es-PR"/>
        </w:rPr>
      </w:pPr>
    </w:p>
    <w:p w14:paraId="7A815C3F" w14:textId="77777777" w:rsidR="00EE6EDD" w:rsidRDefault="00EE6EDD" w:rsidP="003B7F56">
      <w:pPr>
        <w:ind w:firstLine="708"/>
        <w:contextualSpacing/>
        <w:jc w:val="both"/>
        <w:rPr>
          <w:rFonts w:ascii="Book Antiqua" w:hAnsi="Book Antiqua"/>
          <w:lang w:val="es-PR"/>
        </w:rPr>
      </w:pPr>
      <w:r w:rsidRPr="00EE6EDD">
        <w:rPr>
          <w:rFonts w:ascii="Book Antiqua" w:hAnsi="Book Antiqua"/>
          <w:lang w:val="es-PR"/>
        </w:rPr>
        <w:t>El Proyecto del Senado 927 (P. del S. 927), en su versión final aprobada por el Senado, propone crear la “Ley de Reflexión y Meditación en las agencias, dependencias, instrumentalidades y corporaciones públicas del Gobierno de Puerto Rico”. La medida busca establecer la política pública de reconocer el derecho de todo empleado público a utilizar no más de cinco (5) minutos al inicio de su jornada laboral para reflexionar y meditar sobre su cualidad de ser humano y servidor público.</w:t>
      </w:r>
    </w:p>
    <w:p w14:paraId="5489AA04" w14:textId="77777777" w:rsidR="00EE6EDD" w:rsidRPr="00EE6EDD" w:rsidRDefault="00EE6EDD" w:rsidP="003B7F56">
      <w:pPr>
        <w:ind w:firstLine="708"/>
        <w:contextualSpacing/>
        <w:jc w:val="both"/>
        <w:rPr>
          <w:rFonts w:ascii="Book Antiqua" w:hAnsi="Book Antiqua"/>
          <w:lang w:val="es-PR"/>
        </w:rPr>
      </w:pPr>
    </w:p>
    <w:p w14:paraId="4FBCCC28" w14:textId="77777777" w:rsidR="00EE6EDD" w:rsidRPr="00EE6EDD" w:rsidRDefault="00EE6EDD" w:rsidP="003B7F56">
      <w:pPr>
        <w:ind w:firstLine="708"/>
        <w:contextualSpacing/>
        <w:jc w:val="both"/>
        <w:rPr>
          <w:rFonts w:ascii="Book Antiqua" w:hAnsi="Book Antiqua"/>
          <w:lang w:val="es-PR"/>
        </w:rPr>
      </w:pPr>
      <w:r w:rsidRPr="00EE6EDD">
        <w:rPr>
          <w:rFonts w:ascii="Book Antiqua" w:hAnsi="Book Antiqua"/>
          <w:lang w:val="es-PR"/>
        </w:rPr>
        <w:t>La pieza legislativa requiere que las entidades gubernamentales desarrollen un protocolo para garantizar que este periodo no sea de carácter sectario y no se utilice para adelantar ideas religiosas o políticas de corte partidista. Asimismo, el proyecto dispone que la participación es estrictamente voluntaria, no sujeta a penalidades por no participar, y que dicho periodo será considerado como tiempo trabajado para todos los fines legales</w:t>
      </w:r>
    </w:p>
    <w:p w14:paraId="75987BBA" w14:textId="06335646" w:rsidR="007B4FC6" w:rsidRPr="00A153BF" w:rsidRDefault="007B4FC6" w:rsidP="003B7F56">
      <w:pPr>
        <w:ind w:firstLine="708"/>
        <w:contextualSpacing/>
        <w:jc w:val="both"/>
        <w:rPr>
          <w:rFonts w:ascii="Book Antiqua" w:hAnsi="Book Antiqua"/>
          <w:b/>
          <w:caps/>
          <w:szCs w:val="24"/>
          <w:lang w:val="es-PR"/>
        </w:rPr>
      </w:pPr>
    </w:p>
    <w:p w14:paraId="63071723" w14:textId="75CF8CF9" w:rsidR="00D723FE" w:rsidRPr="003052D8" w:rsidRDefault="00D723FE" w:rsidP="003B7F56">
      <w:pPr>
        <w:contextualSpacing/>
        <w:jc w:val="center"/>
        <w:rPr>
          <w:rFonts w:ascii="Book Antiqua" w:hAnsi="Book Antiqua"/>
          <w:b/>
          <w:caps/>
          <w:szCs w:val="24"/>
          <w:lang w:val="es-ES"/>
        </w:rPr>
      </w:pPr>
      <w:r w:rsidRPr="003052D8">
        <w:rPr>
          <w:rFonts w:ascii="Book Antiqua" w:hAnsi="Book Antiqua"/>
          <w:b/>
          <w:caps/>
          <w:szCs w:val="24"/>
          <w:lang w:val="es-ES"/>
        </w:rPr>
        <w:t>AnÁlisis de la Medida</w:t>
      </w:r>
    </w:p>
    <w:p w14:paraId="220F773A" w14:textId="77777777" w:rsidR="00D723FE" w:rsidRPr="003052D8" w:rsidRDefault="00D723FE" w:rsidP="003B7F56">
      <w:pPr>
        <w:contextualSpacing/>
        <w:jc w:val="both"/>
        <w:rPr>
          <w:rFonts w:ascii="Book Antiqua" w:hAnsi="Book Antiqua"/>
          <w:szCs w:val="24"/>
          <w:lang w:val="es-ES"/>
        </w:rPr>
      </w:pPr>
    </w:p>
    <w:p w14:paraId="2DD2BEF2" w14:textId="77777777" w:rsidR="001E52D5" w:rsidRDefault="001E52D5" w:rsidP="003B7F56">
      <w:pPr>
        <w:ind w:firstLine="708"/>
        <w:contextualSpacing/>
        <w:jc w:val="both"/>
        <w:rPr>
          <w:rFonts w:ascii="Book Antiqua" w:hAnsi="Book Antiqua"/>
          <w:szCs w:val="24"/>
          <w:lang w:val="es-PR"/>
        </w:rPr>
      </w:pPr>
      <w:r w:rsidRPr="001E52D5">
        <w:rPr>
          <w:rFonts w:ascii="Book Antiqua" w:hAnsi="Book Antiqua"/>
          <w:szCs w:val="24"/>
          <w:lang w:val="es-PR"/>
        </w:rPr>
        <w:t xml:space="preserve">La Constitución de Puerto Rico consagra la separación de Iglesia y Estado, pero esto no impide que el Gobierno fomente espacios de reflexión neutrales orientados a </w:t>
      </w:r>
      <w:r w:rsidRPr="001E52D5">
        <w:rPr>
          <w:rFonts w:ascii="Book Antiqua" w:hAnsi="Book Antiqua"/>
          <w:szCs w:val="24"/>
          <w:lang w:val="es-PR"/>
        </w:rPr>
        <w:lastRenderedPageBreak/>
        <w:t>promover valores éticos seculares en el servicio público. El P. del S. 927 persigue precisamente esto: brindar herramientas para el bienestar y la introspección de los empleados gubernamentales, a fin de que comiencen sus labores con una actitud óptima para servir al Pueblo.</w:t>
      </w:r>
    </w:p>
    <w:p w14:paraId="72FA3037" w14:textId="77777777" w:rsidR="001E52D5" w:rsidRPr="001E52D5" w:rsidRDefault="001E52D5" w:rsidP="003B7F56">
      <w:pPr>
        <w:ind w:firstLine="708"/>
        <w:contextualSpacing/>
        <w:jc w:val="both"/>
        <w:rPr>
          <w:rFonts w:ascii="Book Antiqua" w:hAnsi="Book Antiqua"/>
          <w:szCs w:val="24"/>
          <w:lang w:val="es-PR"/>
        </w:rPr>
      </w:pPr>
    </w:p>
    <w:p w14:paraId="08F41C1D" w14:textId="2647C5C4" w:rsidR="001E52D5" w:rsidRPr="001E52D5" w:rsidRDefault="001E52D5" w:rsidP="003B7F56">
      <w:pPr>
        <w:ind w:firstLine="708"/>
        <w:contextualSpacing/>
        <w:jc w:val="both"/>
        <w:rPr>
          <w:rFonts w:ascii="Book Antiqua" w:hAnsi="Book Antiqua"/>
          <w:szCs w:val="24"/>
          <w:lang w:val="es-PR"/>
        </w:rPr>
      </w:pPr>
      <w:r w:rsidRPr="001E52D5">
        <w:rPr>
          <w:rFonts w:ascii="Book Antiqua" w:hAnsi="Book Antiqua"/>
          <w:szCs w:val="24"/>
          <w:lang w:val="es-PR"/>
        </w:rPr>
        <w:t xml:space="preserve">Esta medida es el equivalente en </w:t>
      </w:r>
      <w:r w:rsidR="009B5637">
        <w:rPr>
          <w:rFonts w:ascii="Book Antiqua" w:hAnsi="Book Antiqua"/>
          <w:szCs w:val="24"/>
          <w:lang w:val="es-PR"/>
        </w:rPr>
        <w:t>Cámara</w:t>
      </w:r>
      <w:r w:rsidRPr="001E52D5">
        <w:rPr>
          <w:rFonts w:ascii="Book Antiqua" w:hAnsi="Book Antiqua"/>
          <w:szCs w:val="24"/>
          <w:lang w:val="es-PR"/>
        </w:rPr>
        <w:t xml:space="preserve"> al Proyecto de la Cámara 1030 (P. de la C. 1030). Es importante destacar que, durante el trámite legislativo en el Senado, la medida original sufrió enmiendas sustanciales para mejorar su alcance y estructura. En la versión final enviada a </w:t>
      </w:r>
      <w:r w:rsidR="00B2250F">
        <w:rPr>
          <w:rFonts w:ascii="Book Antiqua" w:hAnsi="Book Antiqua"/>
          <w:szCs w:val="24"/>
          <w:lang w:val="es-PR"/>
        </w:rPr>
        <w:t>este</w:t>
      </w:r>
      <w:r w:rsidRPr="001E52D5">
        <w:rPr>
          <w:rFonts w:ascii="Book Antiqua" w:hAnsi="Book Antiqua"/>
          <w:szCs w:val="24"/>
          <w:lang w:val="es-PR"/>
        </w:rPr>
        <w:t xml:space="preserve"> </w:t>
      </w:r>
      <w:r w:rsidR="009B5637">
        <w:rPr>
          <w:rFonts w:ascii="Book Antiqua" w:hAnsi="Book Antiqua"/>
          <w:szCs w:val="24"/>
          <w:lang w:val="es-PR"/>
        </w:rPr>
        <w:t>cuerpo</w:t>
      </w:r>
      <w:r w:rsidRPr="001E52D5">
        <w:rPr>
          <w:rFonts w:ascii="Book Antiqua" w:hAnsi="Book Antiqua"/>
          <w:szCs w:val="24"/>
          <w:lang w:val="es-PR"/>
        </w:rPr>
        <w:t>, el Senado consolidó y uniformó los términos de las entidades gubernamentales impactadas (cambiando "Departamentos, Agencias, Negociados, Oficinas y Corporaciones" por "agencias, dependencias, instrumentalidades y corporaciones públicas"). Además, se acogieron enmiendas de técnica legislativa, como la corrección en la numeración duplicada de los artículos del proyecto original y la eliminación de disposiciones redundantes sobre acomodo razonable en la Exposición de Motivos que estaban presentes en las versiones preliminares</w:t>
      </w:r>
    </w:p>
    <w:p w14:paraId="14B26203" w14:textId="77777777" w:rsidR="00D723FE" w:rsidRPr="007B4FC6" w:rsidRDefault="00D723FE" w:rsidP="003B7F56">
      <w:pPr>
        <w:ind w:firstLine="708"/>
        <w:contextualSpacing/>
        <w:jc w:val="both"/>
        <w:rPr>
          <w:rFonts w:ascii="Book Antiqua" w:hAnsi="Book Antiqua"/>
          <w:szCs w:val="24"/>
          <w:lang w:val="es-PR"/>
        </w:rPr>
      </w:pPr>
    </w:p>
    <w:p w14:paraId="1A66C750" w14:textId="77777777" w:rsidR="00D723FE" w:rsidRPr="003052D8" w:rsidRDefault="00D723FE" w:rsidP="003B7F56">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73F900B5" w14:textId="77777777" w:rsidR="00D723FE" w:rsidRPr="003052D8" w:rsidRDefault="00D723FE" w:rsidP="003B7F56">
      <w:pPr>
        <w:ind w:firstLine="708"/>
        <w:contextualSpacing/>
        <w:jc w:val="both"/>
        <w:rPr>
          <w:rFonts w:ascii="Book Antiqua" w:hAnsi="Book Antiqua"/>
          <w:szCs w:val="24"/>
          <w:lang w:val="es-ES"/>
        </w:rPr>
      </w:pPr>
    </w:p>
    <w:p w14:paraId="1E197A99" w14:textId="53F4ADF5" w:rsidR="007B4FC6" w:rsidRDefault="007B4FC6" w:rsidP="003B7F56">
      <w:pPr>
        <w:ind w:firstLine="708"/>
        <w:contextualSpacing/>
        <w:jc w:val="both"/>
        <w:rPr>
          <w:rFonts w:ascii="Book Antiqua" w:hAnsi="Book Antiqua"/>
          <w:szCs w:val="24"/>
          <w:lang w:val="es-PR"/>
        </w:rPr>
      </w:pPr>
      <w:r w:rsidRPr="007B4FC6">
        <w:rPr>
          <w:rFonts w:ascii="Book Antiqua" w:hAnsi="Book Antiqua"/>
          <w:szCs w:val="24"/>
          <w:lang w:val="es-PR"/>
        </w:rPr>
        <w:t xml:space="preserve">Para el estudio y evaluación del Proyecto del </w:t>
      </w:r>
      <w:r w:rsidR="003649A1">
        <w:rPr>
          <w:rFonts w:ascii="Book Antiqua" w:hAnsi="Book Antiqua"/>
          <w:szCs w:val="24"/>
          <w:lang w:val="es-PR"/>
        </w:rPr>
        <w:t>Senado 927</w:t>
      </w:r>
      <w:r w:rsidRPr="007B4FC6">
        <w:rPr>
          <w:rFonts w:ascii="Book Antiqua" w:hAnsi="Book Antiqua"/>
          <w:szCs w:val="24"/>
          <w:lang w:val="es-PR"/>
        </w:rPr>
        <w:t>, la Comisión de Gobierno de la Cámara de Representantes solicitó comentarios y ponencias a las siguientes entidades</w:t>
      </w:r>
      <w:r w:rsidR="008B0D49">
        <w:rPr>
          <w:rFonts w:ascii="Book Antiqua" w:hAnsi="Book Antiqua"/>
          <w:szCs w:val="24"/>
          <w:lang w:val="es-PR"/>
        </w:rPr>
        <w:t xml:space="preserve"> del proyecto equivalente P. de la C. 1030</w:t>
      </w:r>
      <w:r w:rsidRPr="007B4FC6">
        <w:rPr>
          <w:rFonts w:ascii="Book Antiqua" w:hAnsi="Book Antiqua"/>
          <w:szCs w:val="24"/>
          <w:lang w:val="es-PR"/>
        </w:rPr>
        <w:t>:</w:t>
      </w:r>
    </w:p>
    <w:p w14:paraId="45F739BE" w14:textId="77777777" w:rsidR="007B4FC6" w:rsidRPr="007B4FC6" w:rsidRDefault="007B4FC6" w:rsidP="003B7F56">
      <w:pPr>
        <w:ind w:firstLine="708"/>
        <w:contextualSpacing/>
        <w:jc w:val="both"/>
        <w:rPr>
          <w:rFonts w:ascii="Book Antiqua" w:hAnsi="Book Antiqua"/>
          <w:szCs w:val="24"/>
          <w:lang w:val="es-PR"/>
        </w:rPr>
      </w:pPr>
    </w:p>
    <w:p w14:paraId="52810FC1" w14:textId="77777777" w:rsidR="007B4FC6" w:rsidRPr="007B4FC6" w:rsidRDefault="007B4FC6" w:rsidP="003B7F56">
      <w:pPr>
        <w:numPr>
          <w:ilvl w:val="0"/>
          <w:numId w:val="2"/>
        </w:numPr>
        <w:tabs>
          <w:tab w:val="num" w:pos="720"/>
        </w:tabs>
        <w:contextualSpacing/>
        <w:jc w:val="both"/>
        <w:rPr>
          <w:rFonts w:ascii="Book Antiqua" w:hAnsi="Book Antiqua"/>
          <w:szCs w:val="24"/>
          <w:lang w:val="es-PR"/>
        </w:rPr>
      </w:pPr>
      <w:r w:rsidRPr="007B4FC6">
        <w:rPr>
          <w:rFonts w:ascii="Book Antiqua" w:hAnsi="Book Antiqua"/>
          <w:szCs w:val="24"/>
          <w:lang w:val="es-PR"/>
        </w:rPr>
        <w:t>Departamento de Justicia (DJ)</w:t>
      </w:r>
    </w:p>
    <w:p w14:paraId="3C464697" w14:textId="00F813D0" w:rsidR="007B4FC6" w:rsidRDefault="00A77DC8" w:rsidP="003B7F56">
      <w:pPr>
        <w:numPr>
          <w:ilvl w:val="0"/>
          <w:numId w:val="2"/>
        </w:numPr>
        <w:tabs>
          <w:tab w:val="num" w:pos="720"/>
        </w:tabs>
        <w:contextualSpacing/>
        <w:jc w:val="both"/>
        <w:rPr>
          <w:rFonts w:ascii="Book Antiqua" w:hAnsi="Book Antiqua"/>
          <w:szCs w:val="24"/>
          <w:lang w:val="es-PR"/>
        </w:rPr>
      </w:pPr>
      <w:r>
        <w:rPr>
          <w:rFonts w:ascii="Book Antiqua" w:hAnsi="Book Antiqua"/>
          <w:szCs w:val="24"/>
          <w:lang w:val="es-PR"/>
        </w:rPr>
        <w:t>Oficina de Administración y Transformación de los Recursos Humanos</w:t>
      </w:r>
      <w:r w:rsidR="005056C4">
        <w:rPr>
          <w:rFonts w:ascii="Book Antiqua" w:hAnsi="Book Antiqua"/>
          <w:szCs w:val="24"/>
          <w:lang w:val="es-PR"/>
        </w:rPr>
        <w:t xml:space="preserve"> (OATRH)</w:t>
      </w:r>
    </w:p>
    <w:p w14:paraId="13AE9415" w14:textId="57378BB0" w:rsidR="00A77DC8" w:rsidRDefault="0074525E" w:rsidP="003B7F56">
      <w:pPr>
        <w:numPr>
          <w:ilvl w:val="0"/>
          <w:numId w:val="2"/>
        </w:numPr>
        <w:tabs>
          <w:tab w:val="num" w:pos="720"/>
        </w:tabs>
        <w:contextualSpacing/>
        <w:jc w:val="both"/>
        <w:rPr>
          <w:rFonts w:ascii="Book Antiqua" w:hAnsi="Book Antiqua"/>
          <w:szCs w:val="24"/>
          <w:lang w:val="es-PR"/>
        </w:rPr>
      </w:pPr>
      <w:r>
        <w:rPr>
          <w:rFonts w:ascii="Book Antiqua" w:hAnsi="Book Antiqua"/>
          <w:szCs w:val="24"/>
          <w:lang w:val="es-PR"/>
        </w:rPr>
        <w:t>Oficina de Gerencia y Presupuesto</w:t>
      </w:r>
    </w:p>
    <w:p w14:paraId="799DE0F4" w14:textId="0D0F1AA8" w:rsidR="00B2250F" w:rsidRPr="007B4FC6" w:rsidRDefault="002A49DC" w:rsidP="003B7F56">
      <w:pPr>
        <w:numPr>
          <w:ilvl w:val="0"/>
          <w:numId w:val="2"/>
        </w:numPr>
        <w:tabs>
          <w:tab w:val="num" w:pos="720"/>
        </w:tabs>
        <w:contextualSpacing/>
        <w:jc w:val="both"/>
        <w:rPr>
          <w:rFonts w:ascii="Book Antiqua" w:hAnsi="Book Antiqua"/>
          <w:szCs w:val="24"/>
          <w:lang w:val="es-PR"/>
        </w:rPr>
      </w:pPr>
      <w:r>
        <w:rPr>
          <w:rFonts w:ascii="Book Antiqua" w:hAnsi="Book Antiqua"/>
          <w:szCs w:val="24"/>
          <w:lang w:val="es-PR"/>
        </w:rPr>
        <w:t>Oficina de Presupuesto de la Asamblea Legislativa (OPAL)</w:t>
      </w:r>
    </w:p>
    <w:p w14:paraId="4DE03B77" w14:textId="77777777" w:rsidR="007B4FC6" w:rsidRDefault="007B4FC6" w:rsidP="003B7F56">
      <w:pPr>
        <w:ind w:firstLine="708"/>
        <w:contextualSpacing/>
        <w:jc w:val="both"/>
        <w:rPr>
          <w:rFonts w:ascii="Book Antiqua" w:hAnsi="Book Antiqua"/>
          <w:szCs w:val="24"/>
          <w:lang w:val="es-PR"/>
        </w:rPr>
      </w:pPr>
    </w:p>
    <w:p w14:paraId="2E40DD0C" w14:textId="573118BF" w:rsidR="00FF5767" w:rsidRDefault="00FF5767" w:rsidP="003B7F56">
      <w:pPr>
        <w:ind w:firstLine="708"/>
        <w:contextualSpacing/>
        <w:jc w:val="both"/>
        <w:rPr>
          <w:rFonts w:ascii="Book Antiqua" w:hAnsi="Book Antiqua"/>
          <w:szCs w:val="24"/>
          <w:lang w:val="es-PR"/>
        </w:rPr>
      </w:pPr>
      <w:r>
        <w:rPr>
          <w:rFonts w:ascii="Book Antiqua" w:hAnsi="Book Antiqua"/>
          <w:szCs w:val="24"/>
          <w:lang w:val="es-PR"/>
        </w:rPr>
        <w:t>El expediente del Senado contenía los siguientes memoriales:</w:t>
      </w:r>
    </w:p>
    <w:p w14:paraId="3DF2E926" w14:textId="77777777" w:rsidR="00FF5767" w:rsidRDefault="00FF5767" w:rsidP="003B7F56">
      <w:pPr>
        <w:ind w:firstLine="708"/>
        <w:contextualSpacing/>
        <w:jc w:val="both"/>
        <w:rPr>
          <w:rFonts w:ascii="Book Antiqua" w:hAnsi="Book Antiqua"/>
          <w:szCs w:val="24"/>
          <w:lang w:val="es-PR"/>
        </w:rPr>
      </w:pPr>
    </w:p>
    <w:p w14:paraId="2B0A612B" w14:textId="77777777" w:rsidR="00FF5767" w:rsidRDefault="00FF5767" w:rsidP="003B7F56">
      <w:pPr>
        <w:pStyle w:val="ListParagraph"/>
        <w:numPr>
          <w:ilvl w:val="0"/>
          <w:numId w:val="3"/>
        </w:numPr>
        <w:jc w:val="both"/>
        <w:rPr>
          <w:rFonts w:ascii="Book Antiqua" w:hAnsi="Book Antiqua"/>
          <w:szCs w:val="24"/>
          <w:lang w:val="es-PR"/>
        </w:rPr>
      </w:pPr>
      <w:r w:rsidRPr="00FF5767">
        <w:rPr>
          <w:rFonts w:ascii="Book Antiqua" w:hAnsi="Book Antiqua"/>
          <w:szCs w:val="24"/>
          <w:lang w:val="es-PR"/>
        </w:rPr>
        <w:t>Departamento de Justicia (DJ)</w:t>
      </w:r>
    </w:p>
    <w:p w14:paraId="474ED4C6" w14:textId="77777777" w:rsidR="00FF5767" w:rsidRDefault="00FF5767" w:rsidP="003B7F56">
      <w:pPr>
        <w:pStyle w:val="ListParagraph"/>
        <w:numPr>
          <w:ilvl w:val="0"/>
          <w:numId w:val="3"/>
        </w:numPr>
        <w:jc w:val="both"/>
        <w:rPr>
          <w:rFonts w:ascii="Book Antiqua" w:hAnsi="Book Antiqua"/>
          <w:szCs w:val="24"/>
          <w:lang w:val="es-PR"/>
        </w:rPr>
      </w:pPr>
      <w:r w:rsidRPr="00FF5767">
        <w:rPr>
          <w:rFonts w:ascii="Book Antiqua" w:hAnsi="Book Antiqua"/>
          <w:szCs w:val="24"/>
          <w:lang w:val="es-PR"/>
        </w:rPr>
        <w:t>Oficina de Administración y Transformación de los Recursos Humanos (OATRH)</w:t>
      </w:r>
    </w:p>
    <w:p w14:paraId="7F707C12" w14:textId="0422D4EA" w:rsidR="00FF5767" w:rsidRPr="00FF5767" w:rsidRDefault="00FF5767" w:rsidP="003B7F56">
      <w:pPr>
        <w:pStyle w:val="ListParagraph"/>
        <w:numPr>
          <w:ilvl w:val="0"/>
          <w:numId w:val="3"/>
        </w:numPr>
        <w:jc w:val="both"/>
        <w:rPr>
          <w:rFonts w:ascii="Book Antiqua" w:hAnsi="Book Antiqua"/>
          <w:szCs w:val="24"/>
          <w:lang w:val="es-PR"/>
        </w:rPr>
      </w:pPr>
      <w:r w:rsidRPr="00FF5767">
        <w:rPr>
          <w:rFonts w:ascii="Book Antiqua" w:hAnsi="Book Antiqua"/>
          <w:szCs w:val="24"/>
          <w:lang w:val="es-PR"/>
        </w:rPr>
        <w:t>Departamento del Trabajo y Recursos Humanos (DTRH)</w:t>
      </w:r>
    </w:p>
    <w:p w14:paraId="2F21F73E" w14:textId="77777777" w:rsidR="00FF5767" w:rsidRDefault="00FF5767" w:rsidP="003B7F56">
      <w:pPr>
        <w:ind w:firstLine="708"/>
        <w:contextualSpacing/>
        <w:jc w:val="both"/>
        <w:rPr>
          <w:rFonts w:ascii="Book Antiqua" w:hAnsi="Book Antiqua"/>
          <w:szCs w:val="24"/>
          <w:lang w:val="es-PR"/>
        </w:rPr>
      </w:pPr>
    </w:p>
    <w:p w14:paraId="6F0EE2C6" w14:textId="096CD487" w:rsidR="007B4FC6" w:rsidRPr="007B4FC6" w:rsidRDefault="007B4FC6" w:rsidP="003B7F56">
      <w:pPr>
        <w:ind w:firstLine="708"/>
        <w:contextualSpacing/>
        <w:jc w:val="both"/>
        <w:rPr>
          <w:rFonts w:ascii="Book Antiqua" w:hAnsi="Book Antiqua"/>
          <w:szCs w:val="24"/>
          <w:lang w:val="es-PR"/>
        </w:rPr>
      </w:pPr>
      <w:r w:rsidRPr="007B4FC6">
        <w:rPr>
          <w:rFonts w:ascii="Book Antiqua" w:hAnsi="Book Antiqua"/>
          <w:szCs w:val="24"/>
          <w:lang w:val="es-PR"/>
        </w:rPr>
        <w:t xml:space="preserve">Al momento de la consideración de este informe, se </w:t>
      </w:r>
      <w:r w:rsidR="0074525E">
        <w:rPr>
          <w:rFonts w:ascii="Book Antiqua" w:hAnsi="Book Antiqua"/>
          <w:szCs w:val="24"/>
          <w:lang w:val="es-PR"/>
        </w:rPr>
        <w:t>habían re</w:t>
      </w:r>
      <w:r w:rsidRPr="007B4FC6">
        <w:rPr>
          <w:rFonts w:ascii="Book Antiqua" w:hAnsi="Book Antiqua"/>
          <w:szCs w:val="24"/>
          <w:lang w:val="es-PR"/>
        </w:rPr>
        <w:t>cibi</w:t>
      </w:r>
      <w:r w:rsidR="0074525E">
        <w:rPr>
          <w:rFonts w:ascii="Book Antiqua" w:hAnsi="Book Antiqua"/>
          <w:szCs w:val="24"/>
          <w:lang w:val="es-PR"/>
        </w:rPr>
        <w:t>do</w:t>
      </w:r>
      <w:r w:rsidRPr="007B4FC6">
        <w:rPr>
          <w:rFonts w:ascii="Book Antiqua" w:hAnsi="Book Antiqua"/>
          <w:szCs w:val="24"/>
          <w:lang w:val="es-PR"/>
        </w:rPr>
        <w:t xml:space="preserve"> y consider</w:t>
      </w:r>
      <w:r w:rsidR="0074525E">
        <w:rPr>
          <w:rFonts w:ascii="Book Antiqua" w:hAnsi="Book Antiqua"/>
          <w:szCs w:val="24"/>
          <w:lang w:val="es-PR"/>
        </w:rPr>
        <w:t xml:space="preserve">ado los </w:t>
      </w:r>
      <w:r w:rsidR="00595C07">
        <w:rPr>
          <w:rFonts w:ascii="Book Antiqua" w:hAnsi="Book Antiqua"/>
          <w:szCs w:val="24"/>
          <w:lang w:val="es-PR"/>
        </w:rPr>
        <w:t>siguientes</w:t>
      </w:r>
      <w:r w:rsidR="00595C07" w:rsidRPr="007B4FC6">
        <w:rPr>
          <w:rFonts w:ascii="Book Antiqua" w:hAnsi="Book Antiqua"/>
          <w:szCs w:val="24"/>
          <w:lang w:val="es-PR"/>
        </w:rPr>
        <w:t xml:space="preserve"> </w:t>
      </w:r>
      <w:r w:rsidRPr="007B4FC6">
        <w:rPr>
          <w:rFonts w:ascii="Book Antiqua" w:hAnsi="Book Antiqua"/>
          <w:szCs w:val="24"/>
          <w:lang w:val="es-PR"/>
        </w:rPr>
        <w:t>memorial</w:t>
      </w:r>
      <w:r w:rsidR="00595C07">
        <w:rPr>
          <w:rFonts w:ascii="Book Antiqua" w:hAnsi="Book Antiqua"/>
          <w:szCs w:val="24"/>
          <w:lang w:val="es-PR"/>
        </w:rPr>
        <w:t xml:space="preserve">es </w:t>
      </w:r>
      <w:r w:rsidRPr="007B4FC6">
        <w:rPr>
          <w:rFonts w:ascii="Book Antiqua" w:hAnsi="Book Antiqua"/>
          <w:szCs w:val="24"/>
          <w:lang w:val="es-PR"/>
        </w:rPr>
        <w:t>explicativo</w:t>
      </w:r>
      <w:r w:rsidR="00595C07">
        <w:rPr>
          <w:rFonts w:ascii="Book Antiqua" w:hAnsi="Book Antiqua"/>
          <w:szCs w:val="24"/>
          <w:lang w:val="es-PR"/>
        </w:rPr>
        <w:t>s</w:t>
      </w:r>
      <w:r w:rsidR="00752DFB">
        <w:rPr>
          <w:rFonts w:ascii="Book Antiqua" w:hAnsi="Book Antiqua"/>
          <w:szCs w:val="24"/>
          <w:lang w:val="es-PR"/>
        </w:rPr>
        <w:t>:</w:t>
      </w:r>
    </w:p>
    <w:p w14:paraId="59F7E41F" w14:textId="77777777" w:rsidR="004D2CCA" w:rsidRDefault="004D2CCA" w:rsidP="003B7F56">
      <w:pPr>
        <w:contextualSpacing/>
        <w:jc w:val="both"/>
        <w:rPr>
          <w:rFonts w:ascii="Book Antiqua" w:hAnsi="Book Antiqua"/>
          <w:b/>
          <w:bCs/>
          <w:szCs w:val="24"/>
          <w:lang w:val="es-PR"/>
        </w:rPr>
      </w:pPr>
    </w:p>
    <w:p w14:paraId="4F1E9CE1" w14:textId="77777777" w:rsidR="004D2CCA" w:rsidRDefault="004D2CCA" w:rsidP="003B7F56">
      <w:pPr>
        <w:contextualSpacing/>
        <w:jc w:val="center"/>
        <w:rPr>
          <w:rFonts w:ascii="Book Antiqua" w:hAnsi="Book Antiqua"/>
          <w:b/>
          <w:bCs/>
          <w:szCs w:val="24"/>
          <w:lang w:val="es-PR"/>
        </w:rPr>
      </w:pPr>
      <w:r w:rsidRPr="004D2CCA">
        <w:rPr>
          <w:rFonts w:ascii="Book Antiqua" w:hAnsi="Book Antiqua"/>
          <w:b/>
          <w:bCs/>
          <w:szCs w:val="24"/>
          <w:lang w:val="es-PR"/>
        </w:rPr>
        <w:t>Departamento de Justicia (DJ)</w:t>
      </w:r>
    </w:p>
    <w:p w14:paraId="02F8AF39" w14:textId="77777777" w:rsidR="004D2CCA" w:rsidRDefault="004D2CCA" w:rsidP="003B7F56">
      <w:pPr>
        <w:contextualSpacing/>
        <w:jc w:val="both"/>
        <w:rPr>
          <w:rFonts w:ascii="Book Antiqua" w:hAnsi="Book Antiqua"/>
          <w:b/>
          <w:bCs/>
          <w:szCs w:val="24"/>
          <w:lang w:val="es-PR"/>
        </w:rPr>
      </w:pPr>
    </w:p>
    <w:p w14:paraId="6F23D34D" w14:textId="39A582BE" w:rsidR="004D2CCA" w:rsidRPr="003B7F56" w:rsidRDefault="004D2CCA" w:rsidP="003B7F56">
      <w:pPr>
        <w:ind w:firstLine="708"/>
        <w:contextualSpacing/>
        <w:jc w:val="both"/>
        <w:rPr>
          <w:rFonts w:ascii="Book Antiqua" w:hAnsi="Book Antiqua"/>
          <w:lang w:val="es-ES"/>
        </w:rPr>
      </w:pPr>
      <w:r w:rsidRPr="003B7F56">
        <w:rPr>
          <w:rFonts w:ascii="Book Antiqua" w:hAnsi="Book Antiqua"/>
          <w:lang w:val="es-ES"/>
        </w:rPr>
        <w:t>El Departamento de Justicia, a través de su memorial explicativo, expresó que avala plenamente la continuación del trámite legislativo del P. de</w:t>
      </w:r>
      <w:r w:rsidR="001645AC" w:rsidRPr="003B7F56">
        <w:rPr>
          <w:rFonts w:ascii="Book Antiqua" w:hAnsi="Book Antiqua"/>
          <w:lang w:val="es-ES"/>
        </w:rPr>
        <w:t>l S</w:t>
      </w:r>
      <w:r w:rsidR="00F276EE">
        <w:rPr>
          <w:rFonts w:ascii="Book Antiqua" w:hAnsi="Book Antiqua"/>
          <w:lang w:val="es-ES"/>
        </w:rPr>
        <w:t>.</w:t>
      </w:r>
      <w:r w:rsidRPr="003B7F56">
        <w:rPr>
          <w:rFonts w:ascii="Book Antiqua" w:hAnsi="Book Antiqua"/>
          <w:lang w:val="es-ES"/>
        </w:rPr>
        <w:t xml:space="preserve"> </w:t>
      </w:r>
      <w:r w:rsidR="001645AC" w:rsidRPr="003B7F56">
        <w:rPr>
          <w:rFonts w:ascii="Book Antiqua" w:hAnsi="Book Antiqua"/>
          <w:lang w:val="es-ES"/>
        </w:rPr>
        <w:t>927</w:t>
      </w:r>
      <w:r w:rsidRPr="003B7F56">
        <w:rPr>
          <w:rFonts w:ascii="Book Antiqua" w:hAnsi="Book Antiqua"/>
          <w:lang w:val="es-ES"/>
        </w:rPr>
        <w:t xml:space="preserve">. En su evaluación constitucional, la agencia enfatizó que la medida responde a un propósito </w:t>
      </w:r>
      <w:r w:rsidRPr="003B7F56">
        <w:rPr>
          <w:rFonts w:ascii="Book Antiqua" w:hAnsi="Book Antiqua"/>
          <w:lang w:val="es-ES"/>
        </w:rPr>
        <w:lastRenderedPageBreak/>
        <w:t>legislativo legítimo y puramente secular, enmarcado dentro de la amplia prerrogativa de la Asamblea Legislativa para formular política pública dirigida al fortalecimiento del servicio público. El Departamento destacó que, aunque la Constitución de Puerto Rico prohíbe el establecimiento de una religión oficial y garantiza la separación de Iglesia y Estado, ello no impide que el Gobierno fomente espacios educativos y reflexivos que promuevan valores cívicos. Al concebirse el concepto de “meditar” desde una perspectiva secular—como el acto de pensar atenta y detenidamente—el Departamento concluye que el estatuto no constituye un ejercicio religioso y no vulnera la Carta Magna.</w:t>
      </w:r>
    </w:p>
    <w:p w14:paraId="4C54D95B" w14:textId="77777777" w:rsidR="004C21CA" w:rsidRDefault="004C21CA" w:rsidP="003B7F56">
      <w:pPr>
        <w:ind w:firstLine="708"/>
        <w:contextualSpacing/>
        <w:jc w:val="both"/>
        <w:rPr>
          <w:rFonts w:ascii="Book Antiqua" w:hAnsi="Book Antiqua"/>
          <w:szCs w:val="24"/>
          <w:lang w:val="es-PR"/>
        </w:rPr>
      </w:pPr>
    </w:p>
    <w:p w14:paraId="5C20B531" w14:textId="25D7F011" w:rsidR="004C21CA" w:rsidRPr="003B7F56" w:rsidRDefault="004C21CA" w:rsidP="003B7F56">
      <w:pPr>
        <w:ind w:firstLine="708"/>
        <w:contextualSpacing/>
        <w:jc w:val="both"/>
        <w:rPr>
          <w:rFonts w:ascii="Book Antiqua" w:hAnsi="Book Antiqua"/>
          <w:lang w:val="es-ES"/>
        </w:rPr>
      </w:pPr>
      <w:r w:rsidRPr="003B7F56">
        <w:rPr>
          <w:rFonts w:ascii="Book Antiqua" w:hAnsi="Book Antiqua"/>
          <w:lang w:val="es-ES"/>
        </w:rPr>
        <w:t xml:space="preserve">En su análisis, el Departamento aclaró que, si bien la Constitución consagra la separación entre Iglesia y Estado, el Tribunal Supremo de los Estados Unidos ha validado los minutos de silencio o reflexión siempre y cuando carezcan de una motivación religiosa explícita (citando el caso </w:t>
      </w:r>
      <w:r w:rsidRPr="003B7F56">
        <w:rPr>
          <w:rFonts w:ascii="Book Antiqua" w:hAnsi="Book Antiqua"/>
          <w:i/>
          <w:iCs/>
          <w:lang w:val="es-ES"/>
        </w:rPr>
        <w:t xml:space="preserve">Wallace v. </w:t>
      </w:r>
      <w:proofErr w:type="spellStart"/>
      <w:r w:rsidRPr="003B7F56">
        <w:rPr>
          <w:rFonts w:ascii="Book Antiqua" w:hAnsi="Book Antiqua"/>
          <w:i/>
          <w:iCs/>
          <w:lang w:val="es-ES"/>
        </w:rPr>
        <w:t>Jaffree</w:t>
      </w:r>
      <w:proofErr w:type="spellEnd"/>
      <w:r w:rsidRPr="003B7F56">
        <w:rPr>
          <w:rFonts w:ascii="Book Antiqua" w:hAnsi="Book Antiqua"/>
          <w:lang w:val="es-ES"/>
        </w:rPr>
        <w:t>). Justicia concluyó que la medida representa una regulación neutral y secular, cuyo fin es el afianzamiento de valores éticos y el mejoramiento del servicio público, sin constituir un ejercicio religioso.</w:t>
      </w:r>
    </w:p>
    <w:p w14:paraId="38D6447C" w14:textId="77777777" w:rsidR="004D2CCA" w:rsidRDefault="004D2CCA" w:rsidP="003B7F56">
      <w:pPr>
        <w:ind w:firstLine="720"/>
        <w:contextualSpacing/>
        <w:jc w:val="both"/>
        <w:rPr>
          <w:rFonts w:ascii="Book Antiqua" w:hAnsi="Book Antiqua"/>
          <w:szCs w:val="24"/>
          <w:lang w:val="es-PR"/>
        </w:rPr>
      </w:pPr>
    </w:p>
    <w:p w14:paraId="4C6E1560" w14:textId="7664B46D" w:rsidR="004D2CCA" w:rsidRPr="004D2CCA" w:rsidRDefault="00B61542" w:rsidP="003B7F56">
      <w:pPr>
        <w:ind w:firstLine="720"/>
        <w:contextualSpacing/>
        <w:jc w:val="both"/>
        <w:rPr>
          <w:rFonts w:ascii="Book Antiqua" w:hAnsi="Book Antiqua"/>
          <w:szCs w:val="24"/>
          <w:lang w:val="es-PR"/>
        </w:rPr>
      </w:pPr>
      <w:r w:rsidRPr="00B61542">
        <w:rPr>
          <w:rFonts w:ascii="Book Antiqua" w:hAnsi="Book Antiqua"/>
          <w:szCs w:val="24"/>
          <w:lang w:val="es-PR"/>
        </w:rPr>
        <w:t>En cuanto a sus recomendaciones</w:t>
      </w:r>
      <w:r>
        <w:rPr>
          <w:rFonts w:ascii="Book Antiqua" w:hAnsi="Book Antiqua"/>
          <w:szCs w:val="24"/>
          <w:lang w:val="es-PR"/>
        </w:rPr>
        <w:t xml:space="preserve"> y sugerencias</w:t>
      </w:r>
      <w:r w:rsidRPr="00B61542">
        <w:rPr>
          <w:rFonts w:ascii="Book Antiqua" w:hAnsi="Book Antiqua"/>
          <w:szCs w:val="24"/>
          <w:lang w:val="es-PR"/>
        </w:rPr>
        <w:t xml:space="preserve">, el Departamento de Justicia había señalado en su evaluación inicial del proyecto un error de técnica legislativa relacionado con la duplicidad del "Artículo 2" (uno para Política Pública y otro para Definiciones), recomendando su </w:t>
      </w:r>
      <w:proofErr w:type="spellStart"/>
      <w:r w:rsidRPr="00B61542">
        <w:rPr>
          <w:rFonts w:ascii="Book Antiqua" w:hAnsi="Book Antiqua"/>
          <w:szCs w:val="24"/>
          <w:lang w:val="es-PR"/>
        </w:rPr>
        <w:t>reenumeración</w:t>
      </w:r>
      <w:proofErr w:type="spellEnd"/>
      <w:r w:rsidRPr="00B61542">
        <w:rPr>
          <w:rFonts w:ascii="Book Antiqua" w:hAnsi="Book Antiqua"/>
          <w:szCs w:val="24"/>
          <w:lang w:val="es-PR"/>
        </w:rPr>
        <w:t xml:space="preserve"> para evitar confusiones en la interpretación del estatuto. Es pertinente señalar que el Senado de Puerto Rico acogió esta crítica en su versión final y realizó las correcciones de estilo sugeridas. Asimismo, Justicia recomendó que se solicitara la opinión de la OATRH por ser la agencia perita en relaciones laborales del servicio público, recomendación que esta Comisión cumplió cabalmente</w:t>
      </w:r>
      <w:r w:rsidR="004D2CCA" w:rsidRPr="004D2CCA">
        <w:rPr>
          <w:rFonts w:ascii="Book Antiqua" w:hAnsi="Book Antiqua"/>
          <w:szCs w:val="24"/>
          <w:lang w:val="es-PR"/>
        </w:rPr>
        <w:t>.</w:t>
      </w:r>
    </w:p>
    <w:p w14:paraId="2C0C4428" w14:textId="77777777" w:rsidR="004D2CCA" w:rsidRDefault="004D2CCA" w:rsidP="003B7F56">
      <w:pPr>
        <w:contextualSpacing/>
        <w:jc w:val="both"/>
        <w:rPr>
          <w:rFonts w:ascii="Book Antiqua" w:hAnsi="Book Antiqua"/>
          <w:b/>
          <w:bCs/>
          <w:szCs w:val="24"/>
          <w:lang w:val="es-PR"/>
        </w:rPr>
      </w:pPr>
    </w:p>
    <w:p w14:paraId="1BE4952E" w14:textId="77777777" w:rsidR="004D2CCA" w:rsidRDefault="004D2CCA" w:rsidP="003B7F56">
      <w:pPr>
        <w:contextualSpacing/>
        <w:jc w:val="center"/>
        <w:rPr>
          <w:rFonts w:ascii="Book Antiqua" w:hAnsi="Book Antiqua"/>
          <w:b/>
          <w:bCs/>
          <w:szCs w:val="24"/>
          <w:lang w:val="es-PR"/>
        </w:rPr>
      </w:pPr>
      <w:r w:rsidRPr="004D2CCA">
        <w:rPr>
          <w:rFonts w:ascii="Book Antiqua" w:hAnsi="Book Antiqua"/>
          <w:b/>
          <w:bCs/>
          <w:szCs w:val="24"/>
          <w:lang w:val="es-PR"/>
        </w:rPr>
        <w:t>Oficina de Administración y Transformación de los Recursos Humanos (OATRH)</w:t>
      </w:r>
    </w:p>
    <w:p w14:paraId="2F4F08C9" w14:textId="77777777" w:rsidR="004D2CCA" w:rsidRDefault="004D2CCA" w:rsidP="003B7F56">
      <w:pPr>
        <w:contextualSpacing/>
        <w:jc w:val="both"/>
        <w:rPr>
          <w:rFonts w:ascii="Book Antiqua" w:hAnsi="Book Antiqua"/>
          <w:szCs w:val="24"/>
          <w:lang w:val="es-PR"/>
        </w:rPr>
      </w:pPr>
    </w:p>
    <w:p w14:paraId="3636ED00" w14:textId="50A7957B" w:rsidR="004D2CCA" w:rsidRDefault="004D2CCA" w:rsidP="003B7F56">
      <w:pPr>
        <w:ind w:firstLine="708"/>
        <w:contextualSpacing/>
        <w:jc w:val="both"/>
        <w:rPr>
          <w:rFonts w:ascii="Book Antiqua" w:hAnsi="Book Antiqua"/>
          <w:szCs w:val="24"/>
          <w:lang w:val="es-PR"/>
        </w:rPr>
      </w:pPr>
      <w:r w:rsidRPr="004D2CCA">
        <w:rPr>
          <w:rFonts w:ascii="Book Antiqua" w:hAnsi="Book Antiqua"/>
          <w:szCs w:val="24"/>
          <w:lang w:val="es-PR"/>
        </w:rPr>
        <w:t xml:space="preserve">La Oficina de Administración y Transformación de los Recursos Humanos emitió un memorial explicativo en el cual establecen que favorecen la medida y no tienen objeción a que sea aprobada. La OATRH justificó su postura argumentando que la libertad religiosa, un derecho protegido a nivel estatal y federal, comprende tanto el derecho a actuar conforme a las creencias que se ostentan, como el derecho fundamental de abstenerse de hacerlo. A la luz de esto, la Oficina validó la corrección de que el periodo de reflexión de cinco (5) </w:t>
      </w:r>
      <w:proofErr w:type="gramStart"/>
      <w:r w:rsidR="00275DEB">
        <w:rPr>
          <w:rFonts w:ascii="Book Antiqua" w:hAnsi="Book Antiqua"/>
          <w:szCs w:val="24"/>
          <w:lang w:val="es-PR"/>
        </w:rPr>
        <w:t>minutos</w:t>
      </w:r>
      <w:r w:rsidR="00FB200B" w:rsidRPr="004D2CCA">
        <w:rPr>
          <w:rFonts w:ascii="Book Antiqua" w:hAnsi="Book Antiqua"/>
          <w:szCs w:val="24"/>
          <w:lang w:val="es-PR"/>
        </w:rPr>
        <w:t xml:space="preserve"> propuesto</w:t>
      </w:r>
      <w:proofErr w:type="gramEnd"/>
      <w:r w:rsidRPr="004D2CCA">
        <w:rPr>
          <w:rFonts w:ascii="Book Antiqua" w:hAnsi="Book Antiqua"/>
          <w:szCs w:val="24"/>
          <w:lang w:val="es-PR"/>
        </w:rPr>
        <w:t xml:space="preserve"> sea estrictamente voluntario y forme parte de la jornada laboral compensada, garantizando así que no se menoscabe el derecho de los empleados a decidir sobre su participación sin temor a represalias.</w:t>
      </w:r>
    </w:p>
    <w:p w14:paraId="4C8CF7C3" w14:textId="77777777" w:rsidR="004D2CCA" w:rsidRPr="004D2CCA" w:rsidRDefault="004D2CCA" w:rsidP="003B7F56">
      <w:pPr>
        <w:ind w:firstLine="708"/>
        <w:contextualSpacing/>
        <w:jc w:val="both"/>
        <w:rPr>
          <w:rFonts w:ascii="Book Antiqua" w:hAnsi="Book Antiqua"/>
          <w:szCs w:val="24"/>
          <w:lang w:val="es-PR"/>
        </w:rPr>
      </w:pPr>
    </w:p>
    <w:p w14:paraId="0EC46CBF" w14:textId="6071D93F" w:rsidR="00C3186C" w:rsidRDefault="004D2CCA" w:rsidP="003B7F56">
      <w:pPr>
        <w:ind w:firstLine="720"/>
        <w:contextualSpacing/>
        <w:jc w:val="both"/>
        <w:rPr>
          <w:rFonts w:ascii="Book Antiqua" w:hAnsi="Book Antiqua"/>
          <w:szCs w:val="24"/>
          <w:lang w:val="es-PR"/>
        </w:rPr>
      </w:pPr>
      <w:r w:rsidRPr="004D2CCA">
        <w:rPr>
          <w:rFonts w:ascii="Book Antiqua" w:hAnsi="Book Antiqua"/>
          <w:szCs w:val="24"/>
          <w:lang w:val="es-PR"/>
        </w:rPr>
        <w:t xml:space="preserve">Por otro lado, la OATRH presentó una importante observación respecto a su alcance jurisdiccional en cuanto a la materia principal del estatuto. Aclararon que, bajo las facultades delegadas en la Ley 8-2017 ("Ley para la Administración y Transformación de los Recursos Humanos en el Gobierno de Puerto Rico"), la agencia no cuenta con la jurisdicción directa para dictar la política pública sobre un periodo de reflexión y meditación. Sin embargo, en el ejercicio de su función delegada para asesorar sobre las </w:t>
      </w:r>
      <w:r w:rsidRPr="004D2CCA">
        <w:rPr>
          <w:rFonts w:ascii="Book Antiqua" w:hAnsi="Book Antiqua"/>
          <w:szCs w:val="24"/>
          <w:lang w:val="es-PR"/>
        </w:rPr>
        <w:lastRenderedPageBreak/>
        <w:t>relaciones laborales y la administración de recursos humanos, reiteraron su aval a las disposiciones laborables que incluye el proyecto, reconociendo el compromiso de la Administración de fomentar una convivencia armoniosa compatible con los derechos de todos los ciudadanos.</w:t>
      </w:r>
      <w:r w:rsidR="00C3186C">
        <w:rPr>
          <w:rFonts w:ascii="Book Antiqua" w:hAnsi="Book Antiqua"/>
          <w:szCs w:val="24"/>
          <w:lang w:val="es-PR"/>
        </w:rPr>
        <w:t xml:space="preserve">  </w:t>
      </w:r>
      <w:r w:rsidR="00C3186C" w:rsidRPr="00C3186C">
        <w:rPr>
          <w:rFonts w:ascii="Book Antiqua" w:hAnsi="Book Antiqua"/>
          <w:szCs w:val="24"/>
          <w:lang w:val="es-PR"/>
        </w:rPr>
        <w:t>Cabe destacar que, al igual que el Senado, esta Comisión entiende que la OATRH sí posee un rol vital de asesoría en cualquier legislación que incida en la administración y las condiciones de empleo del personal gubernamental</w:t>
      </w:r>
      <w:r w:rsidR="00C3186C">
        <w:rPr>
          <w:rFonts w:ascii="Book Antiqua" w:hAnsi="Book Antiqua"/>
          <w:szCs w:val="24"/>
          <w:lang w:val="es-PR"/>
        </w:rPr>
        <w:t>.</w:t>
      </w:r>
    </w:p>
    <w:p w14:paraId="6B37E5D0" w14:textId="77777777" w:rsidR="00C3186C" w:rsidRDefault="00C3186C" w:rsidP="003B7F56">
      <w:pPr>
        <w:ind w:firstLine="720"/>
        <w:contextualSpacing/>
        <w:jc w:val="both"/>
        <w:rPr>
          <w:rFonts w:ascii="Book Antiqua" w:hAnsi="Book Antiqua"/>
          <w:szCs w:val="24"/>
          <w:lang w:val="es-PR"/>
        </w:rPr>
      </w:pPr>
    </w:p>
    <w:p w14:paraId="0E61A9D5" w14:textId="77777777" w:rsidR="00C71902" w:rsidRDefault="00C71902" w:rsidP="003B7F56">
      <w:pPr>
        <w:contextualSpacing/>
        <w:jc w:val="center"/>
        <w:rPr>
          <w:rFonts w:ascii="Book Antiqua" w:hAnsi="Book Antiqua"/>
          <w:b/>
          <w:bCs/>
          <w:szCs w:val="24"/>
          <w:lang w:val="es-PR"/>
        </w:rPr>
      </w:pPr>
      <w:r w:rsidRPr="00C71902">
        <w:rPr>
          <w:rFonts w:ascii="Book Antiqua" w:hAnsi="Book Antiqua"/>
          <w:b/>
          <w:bCs/>
          <w:szCs w:val="24"/>
          <w:lang w:val="es-PR"/>
        </w:rPr>
        <w:t>Departamento del Trabajo y Recursos Humanos (DTRH)</w:t>
      </w:r>
    </w:p>
    <w:p w14:paraId="3AD55B18" w14:textId="77777777" w:rsidR="00C71902" w:rsidRPr="00C71902" w:rsidRDefault="00C71902" w:rsidP="003B7F56">
      <w:pPr>
        <w:ind w:firstLine="720"/>
        <w:contextualSpacing/>
        <w:jc w:val="both"/>
        <w:rPr>
          <w:rFonts w:ascii="Book Antiqua" w:hAnsi="Book Antiqua"/>
          <w:szCs w:val="24"/>
          <w:lang w:val="es-PR"/>
        </w:rPr>
      </w:pPr>
    </w:p>
    <w:p w14:paraId="53BD0C3F" w14:textId="77777777" w:rsidR="00C71902" w:rsidRDefault="00C71902" w:rsidP="003B7F56">
      <w:pPr>
        <w:ind w:firstLine="720"/>
        <w:contextualSpacing/>
        <w:jc w:val="both"/>
        <w:rPr>
          <w:rFonts w:ascii="Book Antiqua" w:hAnsi="Book Antiqua"/>
          <w:szCs w:val="24"/>
          <w:lang w:val="es-PR"/>
        </w:rPr>
      </w:pPr>
      <w:r w:rsidRPr="00C71902">
        <w:rPr>
          <w:rFonts w:ascii="Book Antiqua" w:hAnsi="Book Antiqua"/>
          <w:szCs w:val="24"/>
          <w:lang w:val="es-PR"/>
        </w:rPr>
        <w:t>El DTRH compareció mediante memorial explicativo respaldando la aprobación del proyecto, considerando acertada la intención legislativa de regular de forma neutral un espacio de reflexión sin importar el credo religioso. En su análisis, la agencia destacó la aplicabilidad de la Ley 100 de 1959, la cual prohíbe el discrimen en el empleo por razones religiosas, y de la Ley 4 de 2017 (Ley de Transformación y Flexibilidad Laboral) sobre la obligación de proveer acomodo razonable para prácticas religiosas. La agencia concluyó que el carácter estrictamente voluntario de la medida protege adecuadamente contra cualquier tipo de discrimen.</w:t>
      </w:r>
    </w:p>
    <w:p w14:paraId="7842E494" w14:textId="77777777" w:rsidR="00C71902" w:rsidRPr="00C71902" w:rsidRDefault="00C71902" w:rsidP="003B7F56">
      <w:pPr>
        <w:ind w:firstLine="720"/>
        <w:contextualSpacing/>
        <w:jc w:val="both"/>
        <w:rPr>
          <w:rFonts w:ascii="Book Antiqua" w:hAnsi="Book Antiqua"/>
          <w:szCs w:val="24"/>
          <w:lang w:val="es-PR"/>
        </w:rPr>
      </w:pPr>
    </w:p>
    <w:p w14:paraId="168BABC0" w14:textId="470147CF" w:rsidR="00C71902" w:rsidRPr="00C71902" w:rsidRDefault="00C71902" w:rsidP="003B7F56">
      <w:pPr>
        <w:ind w:firstLine="720"/>
        <w:contextualSpacing/>
        <w:jc w:val="both"/>
        <w:rPr>
          <w:rFonts w:ascii="Book Antiqua" w:hAnsi="Book Antiqua"/>
          <w:szCs w:val="24"/>
          <w:lang w:val="es-PR"/>
        </w:rPr>
      </w:pPr>
      <w:r w:rsidRPr="00C71902">
        <w:rPr>
          <w:rFonts w:ascii="Book Antiqua" w:hAnsi="Book Antiqua"/>
          <w:szCs w:val="24"/>
          <w:lang w:val="es-PR"/>
        </w:rPr>
        <w:t>En términos de sus recomendaciones institucionales, el DTRH fue enfático en delimitar su área de competencia. Señalaron que su jurisdicción cobija principalmente al sector laboral privado y a las corporaciones públicas que operan como negocios privados. Por ende, al tratarse de una medida que impacta de manera general la política pública de los empleados públicos de la Rama Ejecutiva, recomendaron dar total deferencia a la OATRH en los asuntos de administración de personal gubernamental y al Departamento de Justicia en todo lo que concierne a la viabilidad constitucional frente a la cláusula de separación de Iglesia y Estado</w:t>
      </w:r>
      <w:r w:rsidR="00BC7B0E">
        <w:rPr>
          <w:rFonts w:ascii="Book Antiqua" w:hAnsi="Book Antiqua"/>
          <w:szCs w:val="24"/>
          <w:lang w:val="es-PR"/>
        </w:rPr>
        <w:t>.</w:t>
      </w:r>
    </w:p>
    <w:p w14:paraId="52BD28B7" w14:textId="77777777" w:rsidR="00C3186C" w:rsidRDefault="00C3186C" w:rsidP="003B7F56">
      <w:pPr>
        <w:ind w:firstLine="720"/>
        <w:contextualSpacing/>
        <w:jc w:val="both"/>
        <w:rPr>
          <w:rFonts w:ascii="Book Antiqua" w:hAnsi="Book Antiqua"/>
          <w:szCs w:val="24"/>
          <w:lang w:val="es-PR"/>
        </w:rPr>
      </w:pPr>
    </w:p>
    <w:p w14:paraId="4CBEBF01" w14:textId="7BAEE85F" w:rsidR="007D1738" w:rsidRPr="007D1738" w:rsidRDefault="007D1738" w:rsidP="003B7F56">
      <w:pPr>
        <w:contextualSpacing/>
        <w:jc w:val="center"/>
        <w:rPr>
          <w:rFonts w:ascii="Book Antiqua" w:hAnsi="Book Antiqua"/>
          <w:b/>
          <w:bCs/>
          <w:szCs w:val="24"/>
          <w:lang w:val="es-PR"/>
        </w:rPr>
      </w:pPr>
      <w:r w:rsidRPr="007D1738">
        <w:rPr>
          <w:rFonts w:ascii="Book Antiqua" w:hAnsi="Book Antiqua"/>
          <w:b/>
          <w:bCs/>
          <w:szCs w:val="24"/>
          <w:lang w:val="es-PR"/>
        </w:rPr>
        <w:t>IMPACTO FISCAL</w:t>
      </w:r>
    </w:p>
    <w:p w14:paraId="3C25290A" w14:textId="77777777" w:rsidR="007D1738" w:rsidRDefault="007D1738" w:rsidP="003B7F56">
      <w:pPr>
        <w:ind w:firstLine="720"/>
        <w:contextualSpacing/>
        <w:jc w:val="both"/>
        <w:rPr>
          <w:rFonts w:ascii="Book Antiqua" w:hAnsi="Book Antiqua"/>
          <w:szCs w:val="24"/>
          <w:lang w:val="es-PR"/>
        </w:rPr>
      </w:pPr>
    </w:p>
    <w:p w14:paraId="7429206D" w14:textId="0E38C3B4" w:rsidR="00CD6FA2" w:rsidRDefault="00CD6FA2" w:rsidP="003B7F56">
      <w:pPr>
        <w:ind w:firstLine="720"/>
        <w:contextualSpacing/>
        <w:jc w:val="both"/>
        <w:rPr>
          <w:rFonts w:ascii="Book Antiqua" w:hAnsi="Book Antiqua"/>
          <w:szCs w:val="24"/>
          <w:lang w:val="es-PR"/>
        </w:rPr>
      </w:pPr>
      <w:r w:rsidRPr="00CD6FA2">
        <w:rPr>
          <w:rFonts w:ascii="Book Antiqua" w:hAnsi="Book Antiqua"/>
          <w:szCs w:val="24"/>
          <w:lang w:val="es-PR"/>
        </w:rPr>
        <w:t xml:space="preserve">Para la evaluación del impacto económico de esta medida, esta Comisión tomó conocimiento del Informe 2026-411 emitido por la Oficina de Presupuesto de la Asamblea Legislativa (OPAL) sobre el Proyecto de la Cámara 1030, equivalente al P. del S. 927. </w:t>
      </w:r>
      <w:r w:rsidR="00390752">
        <w:rPr>
          <w:rFonts w:ascii="Book Antiqua" w:hAnsi="Book Antiqua"/>
          <w:szCs w:val="24"/>
          <w:lang w:val="es-PR"/>
        </w:rPr>
        <w:t xml:space="preserve"> </w:t>
      </w:r>
      <w:r w:rsidRPr="00CD6FA2">
        <w:rPr>
          <w:rFonts w:ascii="Book Antiqua" w:hAnsi="Book Antiqua"/>
          <w:szCs w:val="24"/>
          <w:lang w:val="es-PR"/>
        </w:rPr>
        <w:t>En dicho documento, la OPAL determinó categóricamente que la concesión de un periodo de reflexión voluntario de cinco (5) minutos diarios no representa un impacto presupuestario para las arcas gubernamentales, ni se traduce en un aumento en el gasto público. Por consiguiente, la aprobación de esta medida no requiere erogación de fondos adicionales del Fondo General.</w:t>
      </w:r>
    </w:p>
    <w:p w14:paraId="6A3A9DBE" w14:textId="77777777" w:rsidR="00390752" w:rsidRPr="00CD6FA2" w:rsidRDefault="00390752" w:rsidP="003B7F56">
      <w:pPr>
        <w:ind w:firstLine="720"/>
        <w:contextualSpacing/>
        <w:jc w:val="both"/>
        <w:rPr>
          <w:rFonts w:ascii="Book Antiqua" w:hAnsi="Book Antiqua"/>
          <w:szCs w:val="24"/>
          <w:lang w:val="es-PR"/>
        </w:rPr>
      </w:pPr>
    </w:p>
    <w:p w14:paraId="68CDF785" w14:textId="77777777" w:rsidR="00CD6FA2" w:rsidRDefault="00CD6FA2" w:rsidP="003B7F56">
      <w:pPr>
        <w:ind w:firstLine="720"/>
        <w:contextualSpacing/>
        <w:jc w:val="both"/>
        <w:rPr>
          <w:rFonts w:ascii="Book Antiqua" w:hAnsi="Book Antiqua"/>
          <w:szCs w:val="24"/>
          <w:lang w:val="es-PR"/>
        </w:rPr>
      </w:pPr>
      <w:r w:rsidRPr="00CD6FA2">
        <w:rPr>
          <w:rFonts w:ascii="Book Antiqua" w:hAnsi="Book Antiqua"/>
          <w:szCs w:val="24"/>
          <w:lang w:val="es-PR"/>
        </w:rPr>
        <w:t xml:space="preserve">No obstante, en aras de mantener un cuadro transparente de la administración de nuestros recursos, la OPAL detalló que la implementación de este periodo de reflexión representa un "costo económico implícito" o de oportunidad estimado en $41.9 millones anualmente. Este número no constituye un gasto nuevo, sino el valor económico del tiempo de la jornada laboral que los servidores públicos dedicarían a este periodo </w:t>
      </w:r>
      <w:r w:rsidRPr="00CD6FA2">
        <w:rPr>
          <w:rFonts w:ascii="Book Antiqua" w:hAnsi="Book Antiqua"/>
          <w:szCs w:val="24"/>
          <w:lang w:val="es-PR"/>
        </w:rPr>
        <w:lastRenderedPageBreak/>
        <w:t>voluntario. Dado a que a la fecha del informe restaban aproximadamente 4 meses del año fiscal 2026, la OPAL proyectó que el costo implícito para el cierre de este periodo ascendería a $14.0 millones.</w:t>
      </w:r>
    </w:p>
    <w:p w14:paraId="6FEB752F" w14:textId="77777777" w:rsidR="00390752" w:rsidRPr="00CD6FA2" w:rsidRDefault="00390752" w:rsidP="003B7F56">
      <w:pPr>
        <w:ind w:firstLine="720"/>
        <w:contextualSpacing/>
        <w:jc w:val="both"/>
        <w:rPr>
          <w:rFonts w:ascii="Book Antiqua" w:hAnsi="Book Antiqua"/>
          <w:szCs w:val="24"/>
          <w:lang w:val="es-PR"/>
        </w:rPr>
      </w:pPr>
    </w:p>
    <w:p w14:paraId="409DA852" w14:textId="77777777" w:rsidR="00CD6FA2" w:rsidRDefault="00CD6FA2" w:rsidP="003B7F56">
      <w:pPr>
        <w:ind w:firstLine="720"/>
        <w:contextualSpacing/>
        <w:jc w:val="both"/>
        <w:rPr>
          <w:rFonts w:ascii="Book Antiqua" w:hAnsi="Book Antiqua"/>
          <w:szCs w:val="24"/>
          <w:lang w:val="es-PR"/>
        </w:rPr>
      </w:pPr>
      <w:r w:rsidRPr="00CD6FA2">
        <w:rPr>
          <w:rFonts w:ascii="Book Antiqua" w:hAnsi="Book Antiqua"/>
          <w:szCs w:val="24"/>
          <w:lang w:val="es-PR"/>
        </w:rPr>
        <w:t>Para llegar a estas proyecciones, la OPAL basó su análisis en un universo de 98,734 empleados adscritos a los Departamentos, Agencias, Negociados, Oficinas y Corporaciones Públicas (excluyendo a los empleados de las Ramas Judicial y Legislativa, y de la Universidad de Puerto Rico). Asimismo, se utilizó como base un salario promedio anual de $38,160 por empleado, lo que equivaldría a un costo de oportunidad promedio de $424 anuales por individuo participante.</w:t>
      </w:r>
    </w:p>
    <w:p w14:paraId="672DE068" w14:textId="77777777" w:rsidR="00390752" w:rsidRPr="00CD6FA2" w:rsidRDefault="00390752" w:rsidP="003B7F56">
      <w:pPr>
        <w:ind w:firstLine="720"/>
        <w:contextualSpacing/>
        <w:jc w:val="both"/>
        <w:rPr>
          <w:rFonts w:ascii="Book Antiqua" w:hAnsi="Book Antiqua"/>
          <w:szCs w:val="24"/>
          <w:lang w:val="es-PR"/>
        </w:rPr>
      </w:pPr>
    </w:p>
    <w:p w14:paraId="7B4F270E" w14:textId="77777777" w:rsidR="00CD6FA2" w:rsidRPr="00CD6FA2" w:rsidRDefault="00CD6FA2" w:rsidP="003B7F56">
      <w:pPr>
        <w:ind w:firstLine="720"/>
        <w:contextualSpacing/>
        <w:jc w:val="both"/>
        <w:rPr>
          <w:rFonts w:ascii="Book Antiqua" w:hAnsi="Book Antiqua"/>
          <w:szCs w:val="24"/>
          <w:lang w:val="es-PR"/>
        </w:rPr>
      </w:pPr>
      <w:r w:rsidRPr="00CD6FA2">
        <w:rPr>
          <w:rFonts w:ascii="Book Antiqua" w:hAnsi="Book Antiqua"/>
          <w:szCs w:val="24"/>
          <w:lang w:val="es-PR"/>
        </w:rPr>
        <w:t>En síntesis, fundamentado en la certificación oficial de la OPAL para la medida homóloga, esta Comisión concluye que el P. del S. 927 cumple con los preceptos de responsabilidad fiscal, toda vez que su implementación no afectará negativamente ni requerirá alteraciones en los presupuestos vigentes de las agencias, dependencias, instrumentalidades y corporaciones públicas del Gobierno de Puerto Rico.</w:t>
      </w:r>
    </w:p>
    <w:p w14:paraId="1C30C564" w14:textId="77777777" w:rsidR="00384950" w:rsidRPr="00AA1174" w:rsidRDefault="00384950" w:rsidP="003B7F56">
      <w:pPr>
        <w:ind w:firstLine="720"/>
        <w:contextualSpacing/>
        <w:jc w:val="both"/>
        <w:rPr>
          <w:rFonts w:ascii="Book Antiqua" w:hAnsi="Book Antiqua"/>
          <w:szCs w:val="24"/>
          <w:lang w:val="es-PR"/>
        </w:rPr>
      </w:pPr>
    </w:p>
    <w:p w14:paraId="1B0A6314" w14:textId="77777777" w:rsidR="004D2CCA" w:rsidRDefault="004D2CCA" w:rsidP="003B7F56">
      <w:pPr>
        <w:contextualSpacing/>
        <w:jc w:val="center"/>
        <w:rPr>
          <w:rFonts w:ascii="Book Antiqua" w:hAnsi="Book Antiqua"/>
          <w:b/>
          <w:bCs/>
          <w:szCs w:val="24"/>
          <w:lang w:val="es-PR"/>
        </w:rPr>
      </w:pPr>
      <w:r w:rsidRPr="004D2CCA">
        <w:rPr>
          <w:rFonts w:ascii="Book Antiqua" w:hAnsi="Book Antiqua"/>
          <w:b/>
          <w:bCs/>
          <w:szCs w:val="24"/>
          <w:lang w:val="es-PR"/>
        </w:rPr>
        <w:t>CONCLUSIÓN</w:t>
      </w:r>
    </w:p>
    <w:p w14:paraId="53515908" w14:textId="77777777" w:rsidR="004D2CCA" w:rsidRDefault="004D2CCA" w:rsidP="003B7F56">
      <w:pPr>
        <w:ind w:firstLine="708"/>
        <w:contextualSpacing/>
        <w:jc w:val="both"/>
        <w:rPr>
          <w:rFonts w:ascii="Book Antiqua" w:hAnsi="Book Antiqua"/>
          <w:szCs w:val="24"/>
          <w:lang w:val="es-PR"/>
        </w:rPr>
      </w:pPr>
    </w:p>
    <w:p w14:paraId="524E7AE7" w14:textId="4A809F3E" w:rsidR="004705AA" w:rsidRDefault="004705AA" w:rsidP="003B7F56">
      <w:pPr>
        <w:ind w:firstLine="708"/>
        <w:contextualSpacing/>
        <w:jc w:val="both"/>
        <w:rPr>
          <w:rFonts w:ascii="Book Antiqua" w:hAnsi="Book Antiqua"/>
          <w:szCs w:val="24"/>
          <w:lang w:val="es-PR"/>
        </w:rPr>
      </w:pPr>
      <w:r w:rsidRPr="004705AA">
        <w:rPr>
          <w:rFonts w:ascii="Book Antiqua" w:hAnsi="Book Antiqua"/>
          <w:szCs w:val="24"/>
          <w:lang w:val="es-PR"/>
        </w:rPr>
        <w:t>La Comisión de Gobierno de la Cámara de Representantes de Puerto Rico ha revisado detalladamente el Proyecto del Senado 927, sus enmiendas y los planteamientos presentados por las agencias. Esta Comisión reconoce que el P. del S. 927 es una medida equivalente al P. de la C. 1030, y busca de manera legítima proveer a los servidores públicos un espacio de cinco minutos de introspección que redunde en un servicio más sosegado, respetuoso y eficiente.</w:t>
      </w:r>
    </w:p>
    <w:p w14:paraId="6D2C6F47" w14:textId="77777777" w:rsidR="004705AA" w:rsidRPr="004705AA" w:rsidRDefault="004705AA" w:rsidP="003B7F56">
      <w:pPr>
        <w:ind w:firstLine="708"/>
        <w:contextualSpacing/>
        <w:jc w:val="both"/>
        <w:rPr>
          <w:rFonts w:ascii="Book Antiqua" w:hAnsi="Book Antiqua"/>
          <w:szCs w:val="24"/>
          <w:lang w:val="es-PR"/>
        </w:rPr>
      </w:pPr>
    </w:p>
    <w:p w14:paraId="473E1E41" w14:textId="234CBB03" w:rsidR="004D2CCA" w:rsidRDefault="004705AA" w:rsidP="003B7F56">
      <w:pPr>
        <w:ind w:firstLine="708"/>
        <w:contextualSpacing/>
        <w:jc w:val="both"/>
        <w:rPr>
          <w:rFonts w:ascii="Book Antiqua" w:hAnsi="Book Antiqua"/>
          <w:szCs w:val="24"/>
          <w:lang w:val="es-PR"/>
        </w:rPr>
      </w:pPr>
      <w:r w:rsidRPr="004705AA">
        <w:rPr>
          <w:rFonts w:ascii="Book Antiqua" w:hAnsi="Book Antiqua"/>
          <w:szCs w:val="24"/>
          <w:lang w:val="es-PR"/>
        </w:rPr>
        <w:t xml:space="preserve">El proyecto, en su versión final </w:t>
      </w:r>
      <w:r w:rsidR="002E3224">
        <w:rPr>
          <w:rFonts w:ascii="Book Antiqua" w:hAnsi="Book Antiqua"/>
          <w:szCs w:val="24"/>
          <w:lang w:val="es-PR"/>
        </w:rPr>
        <w:t>aprobada</w:t>
      </w:r>
      <w:r w:rsidRPr="004705AA">
        <w:rPr>
          <w:rFonts w:ascii="Book Antiqua" w:hAnsi="Book Antiqua"/>
          <w:szCs w:val="24"/>
          <w:lang w:val="es-PR"/>
        </w:rPr>
        <w:t xml:space="preserve"> por el Senado, mejoró considerablemente al integrar las recomendaciones de técnica legislativa sugeridas por el Departamento de Justicia. Además, tanto la OATRH como el DTRH y Justicia coinciden en que la medida, por su naturaleza voluntaria, neutral y no sectaria, respeta la separación de Iglesia y Estado y salvaguarda los derechos civiles y laborales de los empleados. No impone dogmas ni coacciona a la participación, garantizando la inviolabilidad de la libertad de culto y pensamiento.</w:t>
      </w:r>
    </w:p>
    <w:p w14:paraId="551618A4" w14:textId="77777777" w:rsidR="00F475B6" w:rsidRDefault="00F475B6" w:rsidP="003B7F56">
      <w:pPr>
        <w:ind w:firstLine="708"/>
        <w:contextualSpacing/>
        <w:jc w:val="both"/>
        <w:rPr>
          <w:rFonts w:ascii="Book Antiqua" w:hAnsi="Book Antiqua"/>
          <w:szCs w:val="24"/>
          <w:lang w:val="es-PR"/>
        </w:rPr>
      </w:pPr>
    </w:p>
    <w:p w14:paraId="7FE1595E" w14:textId="600C84C1" w:rsidR="001A6DE2" w:rsidRPr="003B7F56" w:rsidRDefault="00F475B6" w:rsidP="003B7F56">
      <w:pPr>
        <w:ind w:firstLine="708"/>
        <w:contextualSpacing/>
        <w:jc w:val="both"/>
        <w:rPr>
          <w:rFonts w:ascii="Book Antiqua" w:hAnsi="Book Antiqua"/>
          <w:lang w:val="es-ES"/>
        </w:rPr>
      </w:pPr>
      <w:r w:rsidRPr="003B7F56">
        <w:rPr>
          <w:rFonts w:ascii="Book Antiqua" w:hAnsi="Book Antiqua"/>
          <w:lang w:val="es-ES"/>
        </w:rPr>
        <w:t xml:space="preserve">Finalmente, esta Comisión de Gobierno de la Cámara de Representantes determina acoger y avalar la enmienda realizada por el Senado que elimina el lenguaje sobre el proceso de acomodo razonable de la Exposición de Motivos. </w:t>
      </w:r>
      <w:r w:rsidR="00CE6392" w:rsidRPr="003B7F56">
        <w:rPr>
          <w:rFonts w:ascii="Book Antiqua" w:hAnsi="Book Antiqua"/>
          <w:lang w:val="es-ES"/>
        </w:rPr>
        <w:t xml:space="preserve">Aun cuando no se </w:t>
      </w:r>
      <w:r w:rsidR="004E293D" w:rsidRPr="003B7F56">
        <w:rPr>
          <w:rFonts w:ascii="Book Antiqua" w:hAnsi="Book Antiqua"/>
          <w:lang w:val="es-ES"/>
        </w:rPr>
        <w:t xml:space="preserve">expone </w:t>
      </w:r>
      <w:r w:rsidR="00730D92" w:rsidRPr="003B7F56">
        <w:rPr>
          <w:rFonts w:ascii="Book Antiqua" w:hAnsi="Book Antiqua"/>
          <w:lang w:val="es-ES"/>
        </w:rPr>
        <w:t>explícitamente la razón para la eliminación de esa disposición, c</w:t>
      </w:r>
      <w:r w:rsidRPr="003B7F56">
        <w:rPr>
          <w:rFonts w:ascii="Book Antiqua" w:hAnsi="Book Antiqua"/>
          <w:lang w:val="es-ES"/>
        </w:rPr>
        <w:t>oncurrimos en que dicha disposición resultaba redundante e innecesaria frente a la naturaleza jurídica de</w:t>
      </w:r>
      <w:r w:rsidR="00730D92" w:rsidRPr="003B7F56">
        <w:rPr>
          <w:rFonts w:ascii="Book Antiqua" w:hAnsi="Book Antiqua"/>
          <w:lang w:val="es-ES"/>
        </w:rPr>
        <w:t xml:space="preserve">l </w:t>
      </w:r>
      <w:r w:rsidR="001A6DE2" w:rsidRPr="003B7F56">
        <w:rPr>
          <w:rFonts w:ascii="Book Antiqua" w:hAnsi="Book Antiqua"/>
          <w:lang w:val="es-ES"/>
        </w:rPr>
        <w:t>proyecto</w:t>
      </w:r>
      <w:r w:rsidRPr="003B7F56">
        <w:rPr>
          <w:rFonts w:ascii="Book Antiqua" w:hAnsi="Book Antiqua"/>
          <w:lang w:val="es-ES"/>
        </w:rPr>
        <w:t xml:space="preserve">. Al disponerse de forma expresa y meridiana en el texto de la medida que la participación en este periodo de reflexión es de carácter estrictamente voluntario y que la abstención no conllevará penalidad ni alteración alguna a las condiciones de empleo, </w:t>
      </w:r>
      <w:r w:rsidRPr="003B7F56">
        <w:rPr>
          <w:rFonts w:ascii="Book Antiqua" w:hAnsi="Book Antiqua"/>
          <w:lang w:val="es-ES"/>
        </w:rPr>
        <w:lastRenderedPageBreak/>
        <w:t xml:space="preserve">no se configura una lesión a la libertad de culto que requiera un proceso formal de acomodo; el empleado que así lo desee, simplemente ejerce su derecho a no participar. </w:t>
      </w:r>
    </w:p>
    <w:p w14:paraId="25E1F891" w14:textId="77777777" w:rsidR="001A6DE2" w:rsidRDefault="001A6DE2" w:rsidP="003B7F56">
      <w:pPr>
        <w:ind w:firstLine="708"/>
        <w:contextualSpacing/>
        <w:jc w:val="both"/>
        <w:rPr>
          <w:rFonts w:ascii="Book Antiqua" w:hAnsi="Book Antiqua"/>
          <w:szCs w:val="24"/>
          <w:lang w:val="es-PR"/>
        </w:rPr>
      </w:pPr>
    </w:p>
    <w:p w14:paraId="0EA62C82" w14:textId="726308B6" w:rsidR="00F475B6" w:rsidRDefault="00F475B6" w:rsidP="003B7F56">
      <w:pPr>
        <w:ind w:firstLine="708"/>
        <w:contextualSpacing/>
        <w:jc w:val="both"/>
        <w:rPr>
          <w:rFonts w:ascii="Book Antiqua" w:hAnsi="Book Antiqua"/>
          <w:szCs w:val="24"/>
          <w:lang w:val="es-PR"/>
        </w:rPr>
      </w:pPr>
      <w:r w:rsidRPr="00F475B6">
        <w:rPr>
          <w:rFonts w:ascii="Book Antiqua" w:hAnsi="Book Antiqua"/>
          <w:szCs w:val="24"/>
          <w:lang w:val="es-PR"/>
        </w:rPr>
        <w:t xml:space="preserve">Más aún, tal y como fue esbozado por el Departamento del Trabajo y Recursos Humanos, el ordenamiento jurídico puertorriqueño ya provee amplias y sólidas salvaguardas contra el discrimen por ideas religiosas en el servicio público, particularmente a través del principio de mérito contenido en la Ley 8-2017. Por consiguiente, la eliminación de ese lenguaje </w:t>
      </w:r>
      <w:r w:rsidR="00FB7215">
        <w:rPr>
          <w:rFonts w:ascii="Book Antiqua" w:hAnsi="Book Antiqua"/>
          <w:szCs w:val="24"/>
          <w:lang w:val="es-PR"/>
        </w:rPr>
        <w:t>mejora</w:t>
      </w:r>
      <w:r w:rsidRPr="00F475B6">
        <w:rPr>
          <w:rFonts w:ascii="Book Antiqua" w:hAnsi="Book Antiqua"/>
          <w:szCs w:val="24"/>
          <w:lang w:val="es-PR"/>
        </w:rPr>
        <w:t xml:space="preserve"> la pieza legislativa, evita procesos administrativos redundantes en las agencias y se logra sin dejar desprovistos de protección a los trabajadores gubernamentales.</w:t>
      </w:r>
    </w:p>
    <w:p w14:paraId="4B022C40" w14:textId="77777777" w:rsidR="009F7990" w:rsidRPr="004D2CCA" w:rsidRDefault="009F7990" w:rsidP="003B7F56">
      <w:pPr>
        <w:ind w:firstLine="708"/>
        <w:contextualSpacing/>
        <w:jc w:val="both"/>
        <w:rPr>
          <w:rFonts w:ascii="Book Antiqua" w:hAnsi="Book Antiqua"/>
          <w:szCs w:val="24"/>
          <w:lang w:val="es-PR"/>
        </w:rPr>
      </w:pPr>
    </w:p>
    <w:p w14:paraId="067C4B1C" w14:textId="4B0AE7D1" w:rsidR="00A109B7" w:rsidRPr="00A109B7" w:rsidRDefault="00A109B7" w:rsidP="003B7F56">
      <w:pPr>
        <w:ind w:firstLine="720"/>
        <w:contextualSpacing/>
        <w:jc w:val="both"/>
        <w:rPr>
          <w:rFonts w:ascii="Book Antiqua" w:hAnsi="Book Antiqua"/>
          <w:bCs/>
          <w:szCs w:val="24"/>
          <w:lang w:val="es-PR"/>
        </w:rPr>
      </w:pPr>
      <w:r w:rsidRPr="00A109B7">
        <w:rPr>
          <w:rFonts w:ascii="Book Antiqua" w:hAnsi="Book Antiqua"/>
          <w:bCs/>
          <w:szCs w:val="24"/>
          <w:lang w:val="es-PR"/>
        </w:rPr>
        <w:t xml:space="preserve">POR TODO LO ANTES EXPUESTO, </w:t>
      </w:r>
      <w:r w:rsidR="00B41E06" w:rsidRPr="00B41E06">
        <w:rPr>
          <w:rFonts w:ascii="Book Antiqua" w:hAnsi="Book Antiqua"/>
          <w:bCs/>
          <w:szCs w:val="24"/>
          <w:lang w:val="es-PR"/>
        </w:rPr>
        <w:t xml:space="preserve">la Comisión de Gobierno de la Cámara de Representantes de Puerto Rico rinde este Informe Positivo sobre el Proyecto del Senado 927, recomendando su aprobación </w:t>
      </w:r>
      <w:r w:rsidR="00323077">
        <w:rPr>
          <w:rFonts w:ascii="Book Antiqua" w:hAnsi="Book Antiqua"/>
          <w:bCs/>
          <w:szCs w:val="24"/>
          <w:lang w:val="es-PR"/>
        </w:rPr>
        <w:t>sin enmiendas</w:t>
      </w:r>
      <w:r w:rsidR="00665B21" w:rsidRPr="00665B21">
        <w:rPr>
          <w:rFonts w:ascii="Book Antiqua" w:hAnsi="Book Antiqua"/>
          <w:bCs/>
          <w:szCs w:val="24"/>
          <w:lang w:val="es-PR"/>
        </w:rPr>
        <w:t>.</w:t>
      </w:r>
    </w:p>
    <w:p w14:paraId="4AB88811" w14:textId="77777777" w:rsidR="007B4FC6" w:rsidRPr="00323077" w:rsidRDefault="007B4FC6" w:rsidP="003B7F56">
      <w:pPr>
        <w:contextualSpacing/>
        <w:jc w:val="both"/>
        <w:rPr>
          <w:rFonts w:ascii="Book Antiqua" w:hAnsi="Book Antiqua"/>
          <w:szCs w:val="24"/>
          <w:lang w:val="es-PR"/>
        </w:rPr>
      </w:pPr>
    </w:p>
    <w:p w14:paraId="2DF957E7" w14:textId="77777777" w:rsidR="000B5F52" w:rsidRDefault="000B5F52" w:rsidP="003B7F56">
      <w:pPr>
        <w:contextualSpacing/>
        <w:jc w:val="both"/>
        <w:rPr>
          <w:rFonts w:ascii="Book Antiqua" w:hAnsi="Book Antiqua"/>
          <w:szCs w:val="24"/>
          <w:lang w:val="es-ES"/>
        </w:rPr>
      </w:pPr>
    </w:p>
    <w:p w14:paraId="1C848A06" w14:textId="13C6BFCB" w:rsidR="00D723FE" w:rsidRPr="003052D8" w:rsidRDefault="00D723FE" w:rsidP="003B7F56">
      <w:pPr>
        <w:contextualSpacing/>
        <w:jc w:val="both"/>
        <w:rPr>
          <w:rFonts w:ascii="Book Antiqua" w:hAnsi="Book Antiqua"/>
          <w:szCs w:val="24"/>
          <w:lang w:val="es-ES"/>
        </w:rPr>
      </w:pPr>
      <w:r w:rsidRPr="003052D8">
        <w:rPr>
          <w:rFonts w:ascii="Book Antiqua" w:hAnsi="Book Antiqua"/>
          <w:szCs w:val="24"/>
          <w:lang w:val="es-ES"/>
        </w:rPr>
        <w:t>Respetuosamente sometido,</w:t>
      </w:r>
    </w:p>
    <w:p w14:paraId="23AFD116" w14:textId="77777777" w:rsidR="00D723FE" w:rsidRDefault="00D723FE" w:rsidP="003B7F56">
      <w:pPr>
        <w:contextualSpacing/>
        <w:jc w:val="both"/>
        <w:rPr>
          <w:rFonts w:ascii="Book Antiqua" w:hAnsi="Book Antiqua"/>
          <w:szCs w:val="24"/>
          <w:lang w:val="es-ES"/>
        </w:rPr>
      </w:pPr>
    </w:p>
    <w:p w14:paraId="751CD7DE" w14:textId="77777777" w:rsidR="000D58B3" w:rsidRDefault="000D58B3" w:rsidP="003B7F56">
      <w:pPr>
        <w:contextualSpacing/>
        <w:jc w:val="both"/>
        <w:rPr>
          <w:rFonts w:ascii="Book Antiqua" w:hAnsi="Book Antiqua"/>
          <w:szCs w:val="24"/>
          <w:lang w:val="es-ES"/>
        </w:rPr>
      </w:pPr>
    </w:p>
    <w:p w14:paraId="006E4034" w14:textId="77777777" w:rsidR="000D58B3" w:rsidRDefault="000D58B3" w:rsidP="003B7F56">
      <w:pPr>
        <w:contextualSpacing/>
        <w:jc w:val="both"/>
        <w:rPr>
          <w:rFonts w:ascii="Book Antiqua" w:hAnsi="Book Antiqua"/>
          <w:szCs w:val="24"/>
          <w:lang w:val="es-ES"/>
        </w:rPr>
      </w:pPr>
    </w:p>
    <w:p w14:paraId="2AF508B8" w14:textId="77777777" w:rsidR="00D723FE" w:rsidRPr="003052D8" w:rsidRDefault="00D723FE" w:rsidP="003B7F56">
      <w:pPr>
        <w:contextualSpacing/>
        <w:jc w:val="both"/>
        <w:rPr>
          <w:rFonts w:ascii="Book Antiqua" w:hAnsi="Book Antiqua"/>
          <w:szCs w:val="24"/>
          <w:lang w:val="es-ES"/>
        </w:rPr>
      </w:pPr>
    </w:p>
    <w:p w14:paraId="155C3883" w14:textId="77777777" w:rsidR="00D723FE" w:rsidRPr="003052D8" w:rsidRDefault="00D723FE" w:rsidP="003B7F56">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0DF0BFE0" w14:textId="77777777" w:rsidR="00D723FE" w:rsidRPr="003052D8" w:rsidRDefault="00D723FE" w:rsidP="003B7F56">
      <w:pPr>
        <w:contextualSpacing/>
        <w:jc w:val="both"/>
        <w:rPr>
          <w:rFonts w:ascii="Book Antiqua" w:hAnsi="Book Antiqua"/>
          <w:szCs w:val="24"/>
          <w:lang w:val="es-ES"/>
        </w:rPr>
      </w:pPr>
      <w:r w:rsidRPr="003052D8">
        <w:rPr>
          <w:rFonts w:ascii="Book Antiqua" w:hAnsi="Book Antiqua"/>
          <w:szCs w:val="24"/>
          <w:lang w:val="es-ES"/>
        </w:rPr>
        <w:t>Presidente</w:t>
      </w:r>
    </w:p>
    <w:p w14:paraId="67FDB662" w14:textId="77777777" w:rsidR="00D723FE" w:rsidRPr="003052D8" w:rsidRDefault="00D723FE" w:rsidP="003B7F56">
      <w:pPr>
        <w:contextualSpacing/>
        <w:jc w:val="both"/>
        <w:rPr>
          <w:rFonts w:ascii="Book Antiqua" w:hAnsi="Book Antiqua"/>
          <w:szCs w:val="24"/>
          <w:lang w:val="es-ES"/>
        </w:rPr>
      </w:pPr>
      <w:r w:rsidRPr="003052D8">
        <w:rPr>
          <w:rFonts w:ascii="Book Antiqua" w:hAnsi="Book Antiqua"/>
          <w:szCs w:val="24"/>
          <w:lang w:val="es-ES"/>
        </w:rPr>
        <w:t>Comisión de Gobierno</w:t>
      </w:r>
    </w:p>
    <w:p w14:paraId="0B4ACEC8" w14:textId="77777777" w:rsidR="00D723FE" w:rsidRPr="003052D8" w:rsidRDefault="00D723FE" w:rsidP="003B7F56">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55C0C669" w14:textId="77777777" w:rsidR="00D723FE" w:rsidRPr="00D723FE" w:rsidRDefault="00D723FE" w:rsidP="003B7F56">
      <w:pPr>
        <w:contextualSpacing/>
        <w:rPr>
          <w:lang w:val="es-PR"/>
        </w:rPr>
      </w:pPr>
    </w:p>
    <w:sectPr w:rsidR="00D723FE" w:rsidRPr="00D723FE" w:rsidSect="00D723FE">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1AD2B" w14:textId="77777777" w:rsidR="00274E45" w:rsidRDefault="00274E45" w:rsidP="00E55AF8">
      <w:r>
        <w:separator/>
      </w:r>
    </w:p>
  </w:endnote>
  <w:endnote w:type="continuationSeparator" w:id="0">
    <w:p w14:paraId="7A571542" w14:textId="77777777" w:rsidR="00274E45" w:rsidRDefault="00274E45" w:rsidP="00E55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DA022" w14:textId="77777777" w:rsidR="00274E45" w:rsidRDefault="00274E45" w:rsidP="00E55AF8">
      <w:r>
        <w:separator/>
      </w:r>
    </w:p>
  </w:footnote>
  <w:footnote w:type="continuationSeparator" w:id="0">
    <w:p w14:paraId="79797366" w14:textId="77777777" w:rsidR="00274E45" w:rsidRDefault="00274E45" w:rsidP="00E55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B87D3" w14:textId="77777777" w:rsidR="00D723FE" w:rsidRPr="00297773" w:rsidRDefault="00D723FE" w:rsidP="00DF3993">
    <w:pPr>
      <w:pStyle w:val="Header"/>
      <w:rPr>
        <w:rFonts w:ascii="Book Antiqua" w:hAnsi="Book Antiqua"/>
        <w:b/>
        <w:i/>
        <w:iCs/>
        <w:sz w:val="20"/>
        <w:lang w:val="es-PR"/>
      </w:rPr>
    </w:pPr>
    <w:r w:rsidRPr="00297773">
      <w:rPr>
        <w:rFonts w:ascii="Book Antiqua" w:hAnsi="Book Antiqua"/>
        <w:b/>
        <w:i/>
        <w:iCs/>
        <w:sz w:val="20"/>
        <w:lang w:val="es-PR"/>
      </w:rPr>
      <w:t>Comisión de Gobierno</w:t>
    </w:r>
  </w:p>
  <w:p w14:paraId="19C69A33" w14:textId="44EA0102" w:rsidR="00D723FE" w:rsidRPr="00297773" w:rsidRDefault="00D723FE" w:rsidP="00DF3993">
    <w:pPr>
      <w:pStyle w:val="Header"/>
      <w:pBdr>
        <w:bottom w:val="single" w:sz="8" w:space="1" w:color="auto"/>
      </w:pBdr>
      <w:rPr>
        <w:rFonts w:ascii="Book Antiqua" w:hAnsi="Book Antiqua"/>
        <w:b/>
        <w:i/>
        <w:iCs/>
        <w:noProof/>
        <w:sz w:val="20"/>
        <w:lang w:val="es-PR"/>
      </w:rPr>
    </w:pPr>
    <w:r w:rsidRPr="00297773">
      <w:rPr>
        <w:rFonts w:ascii="Book Antiqua" w:hAnsi="Book Antiqua"/>
        <w:b/>
        <w:i/>
        <w:iCs/>
        <w:sz w:val="20"/>
        <w:lang w:val="es-PR"/>
      </w:rPr>
      <w:t xml:space="preserve">Informe Positivo sobre el P. del </w:t>
    </w:r>
    <w:r w:rsidR="00DF2C07" w:rsidRPr="00297773">
      <w:rPr>
        <w:rFonts w:ascii="Book Antiqua" w:hAnsi="Book Antiqua"/>
        <w:b/>
        <w:i/>
        <w:iCs/>
        <w:sz w:val="20"/>
        <w:lang w:val="es-PR"/>
      </w:rPr>
      <w:t>S</w:t>
    </w:r>
    <w:r w:rsidRPr="00297773">
      <w:rPr>
        <w:rFonts w:ascii="Book Antiqua" w:hAnsi="Book Antiqua"/>
        <w:b/>
        <w:i/>
        <w:iCs/>
        <w:sz w:val="20"/>
        <w:lang w:val="es-PR"/>
      </w:rPr>
      <w:t xml:space="preserve">. </w:t>
    </w:r>
    <w:r w:rsidR="00DF2C07" w:rsidRPr="00297773">
      <w:rPr>
        <w:rFonts w:ascii="Book Antiqua" w:hAnsi="Book Antiqua"/>
        <w:b/>
        <w:i/>
        <w:iCs/>
        <w:sz w:val="20"/>
        <w:lang w:val="es-PR"/>
      </w:rPr>
      <w:t>927</w:t>
    </w:r>
    <w:r w:rsidRPr="00297773">
      <w:rPr>
        <w:rFonts w:ascii="Book Antiqua" w:hAnsi="Book Antiqua"/>
        <w:b/>
        <w:i/>
        <w:iCs/>
        <w:sz w:val="20"/>
        <w:lang w:val="es-PR"/>
      </w:rPr>
      <w:tab/>
    </w:r>
    <w:r w:rsidRPr="00297773">
      <w:rPr>
        <w:rFonts w:ascii="Book Antiqua" w:hAnsi="Book Antiqua"/>
        <w:b/>
        <w:i/>
        <w:iCs/>
        <w:sz w:val="20"/>
        <w:lang w:val="es-PR"/>
      </w:rPr>
      <w:tab/>
      <w:t xml:space="preserve">Página </w:t>
    </w:r>
    <w:r w:rsidRPr="00297773">
      <w:rPr>
        <w:rFonts w:ascii="Book Antiqua" w:hAnsi="Book Antiqua"/>
        <w:b/>
        <w:i/>
        <w:iCs/>
        <w:sz w:val="20"/>
        <w:lang w:val="es-PR"/>
      </w:rPr>
      <w:fldChar w:fldCharType="begin"/>
    </w:r>
    <w:r w:rsidRPr="00297773">
      <w:rPr>
        <w:rFonts w:ascii="Book Antiqua" w:hAnsi="Book Antiqua"/>
        <w:b/>
        <w:i/>
        <w:iCs/>
        <w:sz w:val="20"/>
        <w:lang w:val="es-PR"/>
      </w:rPr>
      <w:instrText xml:space="preserve"> PAGE   \* MERGEFORMAT </w:instrText>
    </w:r>
    <w:r w:rsidRPr="00297773">
      <w:rPr>
        <w:rFonts w:ascii="Book Antiqua" w:hAnsi="Book Antiqua"/>
        <w:b/>
        <w:i/>
        <w:iCs/>
        <w:sz w:val="20"/>
        <w:lang w:val="es-PR"/>
      </w:rPr>
      <w:fldChar w:fldCharType="separate"/>
    </w:r>
    <w:r w:rsidRPr="00297773">
      <w:rPr>
        <w:rFonts w:ascii="Book Antiqua" w:hAnsi="Book Antiqua"/>
        <w:b/>
        <w:i/>
        <w:iCs/>
        <w:noProof/>
        <w:sz w:val="20"/>
        <w:lang w:val="es-PR"/>
      </w:rPr>
      <w:t>2</w:t>
    </w:r>
    <w:r w:rsidRPr="00297773">
      <w:rPr>
        <w:rFonts w:ascii="Book Antiqua" w:hAnsi="Book Antiqua"/>
        <w:b/>
        <w:i/>
        <w:iCs/>
        <w:noProof/>
        <w:sz w:val="20"/>
        <w:lang w:val="es-PR"/>
      </w:rPr>
      <w:fldChar w:fldCharType="end"/>
    </w:r>
  </w:p>
  <w:p w14:paraId="73164342" w14:textId="77777777" w:rsidR="00D723FE" w:rsidRPr="00DF3993" w:rsidRDefault="00D723FE">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F14A8"/>
    <w:multiLevelType w:val="multilevel"/>
    <w:tmpl w:val="5CF46538"/>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 w15:restartNumberingAfterBreak="0">
    <w:nsid w:val="519E5DFC"/>
    <w:multiLevelType w:val="hybridMultilevel"/>
    <w:tmpl w:val="C30C5152"/>
    <w:lvl w:ilvl="0" w:tplc="AF9EDF7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87889336">
    <w:abstractNumId w:val="2"/>
  </w:num>
  <w:num w:numId="2" w16cid:durableId="1373579540">
    <w:abstractNumId w:val="0"/>
  </w:num>
  <w:num w:numId="3" w16cid:durableId="1929650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3FE"/>
    <w:rsid w:val="00012A33"/>
    <w:rsid w:val="000B5F52"/>
    <w:rsid w:val="000D58B3"/>
    <w:rsid w:val="00101B5D"/>
    <w:rsid w:val="001645AC"/>
    <w:rsid w:val="001A6DE2"/>
    <w:rsid w:val="001E52D5"/>
    <w:rsid w:val="00271BD6"/>
    <w:rsid w:val="00272919"/>
    <w:rsid w:val="00274E45"/>
    <w:rsid w:val="00275DEB"/>
    <w:rsid w:val="00297773"/>
    <w:rsid w:val="002A0BE5"/>
    <w:rsid w:val="002A49DC"/>
    <w:rsid w:val="002E3224"/>
    <w:rsid w:val="00323077"/>
    <w:rsid w:val="00351116"/>
    <w:rsid w:val="003649A1"/>
    <w:rsid w:val="00384950"/>
    <w:rsid w:val="00390752"/>
    <w:rsid w:val="003931F1"/>
    <w:rsid w:val="003B7F56"/>
    <w:rsid w:val="003D5528"/>
    <w:rsid w:val="004705AA"/>
    <w:rsid w:val="004C21CA"/>
    <w:rsid w:val="004D2CCA"/>
    <w:rsid w:val="004E293D"/>
    <w:rsid w:val="004F7E10"/>
    <w:rsid w:val="005056C4"/>
    <w:rsid w:val="0052480D"/>
    <w:rsid w:val="00593174"/>
    <w:rsid w:val="00595C07"/>
    <w:rsid w:val="0059703B"/>
    <w:rsid w:val="0060067F"/>
    <w:rsid w:val="00665B21"/>
    <w:rsid w:val="0068563F"/>
    <w:rsid w:val="006C7BFD"/>
    <w:rsid w:val="00730D92"/>
    <w:rsid w:val="0074525E"/>
    <w:rsid w:val="00752DFB"/>
    <w:rsid w:val="007B4FC6"/>
    <w:rsid w:val="007B764A"/>
    <w:rsid w:val="007D1738"/>
    <w:rsid w:val="0088720F"/>
    <w:rsid w:val="008B0D49"/>
    <w:rsid w:val="008F1C1E"/>
    <w:rsid w:val="00930D8B"/>
    <w:rsid w:val="009516E2"/>
    <w:rsid w:val="009B10EC"/>
    <w:rsid w:val="009B4460"/>
    <w:rsid w:val="009B5637"/>
    <w:rsid w:val="009F7990"/>
    <w:rsid w:val="00A109B7"/>
    <w:rsid w:val="00A153BF"/>
    <w:rsid w:val="00A51081"/>
    <w:rsid w:val="00A77DC8"/>
    <w:rsid w:val="00AA0445"/>
    <w:rsid w:val="00AA1174"/>
    <w:rsid w:val="00AF4A87"/>
    <w:rsid w:val="00B2250F"/>
    <w:rsid w:val="00B41E06"/>
    <w:rsid w:val="00B61542"/>
    <w:rsid w:val="00B63F4F"/>
    <w:rsid w:val="00B85703"/>
    <w:rsid w:val="00BC7B0E"/>
    <w:rsid w:val="00C3186C"/>
    <w:rsid w:val="00C71902"/>
    <w:rsid w:val="00C818E6"/>
    <w:rsid w:val="00CC7977"/>
    <w:rsid w:val="00CD6FA2"/>
    <w:rsid w:val="00CE6392"/>
    <w:rsid w:val="00D723FE"/>
    <w:rsid w:val="00D75E23"/>
    <w:rsid w:val="00DF2C07"/>
    <w:rsid w:val="00E43062"/>
    <w:rsid w:val="00E55AF8"/>
    <w:rsid w:val="00E642E3"/>
    <w:rsid w:val="00EE6EDD"/>
    <w:rsid w:val="00F276EE"/>
    <w:rsid w:val="00F475B6"/>
    <w:rsid w:val="00FB200B"/>
    <w:rsid w:val="00FB7215"/>
    <w:rsid w:val="00FD1880"/>
    <w:rsid w:val="00FF5767"/>
    <w:rsid w:val="531439C4"/>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9A5CA"/>
  <w15:chartTrackingRefBased/>
  <w15:docId w15:val="{95A65F4E-859C-4190-B001-011558FCC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3FE"/>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D72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2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2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3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3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3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3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2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2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2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3FE"/>
    <w:rPr>
      <w:rFonts w:eastAsiaTheme="majorEastAsia" w:cstheme="majorBidi"/>
      <w:color w:val="272727" w:themeColor="text1" w:themeTint="D8"/>
    </w:rPr>
  </w:style>
  <w:style w:type="paragraph" w:styleId="Title">
    <w:name w:val="Title"/>
    <w:basedOn w:val="Normal"/>
    <w:next w:val="Normal"/>
    <w:link w:val="TitleChar"/>
    <w:uiPriority w:val="10"/>
    <w:qFormat/>
    <w:rsid w:val="00D723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3FE"/>
    <w:pPr>
      <w:spacing w:before="160"/>
      <w:jc w:val="center"/>
    </w:pPr>
    <w:rPr>
      <w:i/>
      <w:iCs/>
      <w:color w:val="404040" w:themeColor="text1" w:themeTint="BF"/>
    </w:rPr>
  </w:style>
  <w:style w:type="character" w:customStyle="1" w:styleId="QuoteChar">
    <w:name w:val="Quote Char"/>
    <w:basedOn w:val="DefaultParagraphFont"/>
    <w:link w:val="Quote"/>
    <w:uiPriority w:val="29"/>
    <w:rsid w:val="00D723FE"/>
    <w:rPr>
      <w:i/>
      <w:iCs/>
      <w:color w:val="404040" w:themeColor="text1" w:themeTint="BF"/>
    </w:rPr>
  </w:style>
  <w:style w:type="paragraph" w:styleId="ListParagraph">
    <w:name w:val="List Paragraph"/>
    <w:basedOn w:val="Normal"/>
    <w:uiPriority w:val="34"/>
    <w:qFormat/>
    <w:rsid w:val="00D723FE"/>
    <w:pPr>
      <w:ind w:left="720"/>
      <w:contextualSpacing/>
    </w:pPr>
  </w:style>
  <w:style w:type="character" w:styleId="IntenseEmphasis">
    <w:name w:val="Intense Emphasis"/>
    <w:basedOn w:val="DefaultParagraphFont"/>
    <w:uiPriority w:val="21"/>
    <w:qFormat/>
    <w:rsid w:val="00D723FE"/>
    <w:rPr>
      <w:i/>
      <w:iCs/>
      <w:color w:val="0F4761" w:themeColor="accent1" w:themeShade="BF"/>
    </w:rPr>
  </w:style>
  <w:style w:type="paragraph" w:styleId="IntenseQuote">
    <w:name w:val="Intense Quote"/>
    <w:basedOn w:val="Normal"/>
    <w:next w:val="Normal"/>
    <w:link w:val="IntenseQuoteChar"/>
    <w:uiPriority w:val="30"/>
    <w:qFormat/>
    <w:rsid w:val="00D72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3FE"/>
    <w:rPr>
      <w:i/>
      <w:iCs/>
      <w:color w:val="0F4761" w:themeColor="accent1" w:themeShade="BF"/>
    </w:rPr>
  </w:style>
  <w:style w:type="character" w:styleId="IntenseReference">
    <w:name w:val="Intense Reference"/>
    <w:basedOn w:val="DefaultParagraphFont"/>
    <w:uiPriority w:val="32"/>
    <w:qFormat/>
    <w:rsid w:val="00D723FE"/>
    <w:rPr>
      <w:b/>
      <w:bCs/>
      <w:smallCaps/>
      <w:color w:val="0F4761" w:themeColor="accent1" w:themeShade="BF"/>
      <w:spacing w:val="5"/>
    </w:rPr>
  </w:style>
  <w:style w:type="paragraph" w:customStyle="1" w:styleId="ColorfulList-Accent11">
    <w:name w:val="Colorful List - Accent 11"/>
    <w:basedOn w:val="Normal"/>
    <w:uiPriority w:val="34"/>
    <w:qFormat/>
    <w:rsid w:val="00D723FE"/>
    <w:pPr>
      <w:ind w:left="720"/>
      <w:contextualSpacing/>
    </w:pPr>
  </w:style>
  <w:style w:type="paragraph" w:styleId="Header">
    <w:name w:val="header"/>
    <w:basedOn w:val="Normal"/>
    <w:link w:val="HeaderChar"/>
    <w:uiPriority w:val="99"/>
    <w:unhideWhenUsed/>
    <w:rsid w:val="00D723FE"/>
    <w:pPr>
      <w:tabs>
        <w:tab w:val="center" w:pos="4680"/>
        <w:tab w:val="right" w:pos="9360"/>
      </w:tabs>
    </w:pPr>
  </w:style>
  <w:style w:type="character" w:customStyle="1" w:styleId="HeaderChar">
    <w:name w:val="Header Char"/>
    <w:basedOn w:val="DefaultParagraphFont"/>
    <w:link w:val="Header"/>
    <w:uiPriority w:val="99"/>
    <w:rsid w:val="00D723FE"/>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E55AF8"/>
    <w:pPr>
      <w:tabs>
        <w:tab w:val="center" w:pos="4680"/>
        <w:tab w:val="right" w:pos="9360"/>
      </w:tabs>
    </w:pPr>
  </w:style>
  <w:style w:type="character" w:customStyle="1" w:styleId="FooterChar">
    <w:name w:val="Footer Char"/>
    <w:basedOn w:val="DefaultParagraphFont"/>
    <w:link w:val="Footer"/>
    <w:uiPriority w:val="99"/>
    <w:rsid w:val="00E55AF8"/>
    <w:rPr>
      <w:rFonts w:ascii="Times New Roman" w:eastAsia="Batang" w:hAnsi="Times New Roman" w:cs="Times New Roman"/>
      <w:kern w:val="0"/>
      <w:szCs w:val="20"/>
      <w:lang w:val="en-US"/>
      <w14:ligatures w14:val="none"/>
    </w:rPr>
  </w:style>
  <w:style w:type="paragraph" w:styleId="NormalWeb">
    <w:name w:val="Normal (Web)"/>
    <w:basedOn w:val="Normal"/>
    <w:uiPriority w:val="99"/>
    <w:unhideWhenUsed/>
    <w:rsid w:val="00E55AF8"/>
    <w:pPr>
      <w:spacing w:before="100" w:beforeAutospacing="1" w:after="100" w:afterAutospacing="1"/>
    </w:pPr>
    <w:rPr>
      <w:rFonts w:eastAsia="Times New Roman"/>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2046</Words>
  <Characters>11666</Characters>
  <Application>Microsoft Office Word</Application>
  <DocSecurity>4</DocSecurity>
  <Lines>97</Lines>
  <Paragraphs>27</Paragraphs>
  <ScaleCrop>false</ScaleCrop>
  <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2026-03-12T18:50:00Z</dcterms:created>
  <dcterms:modified xsi:type="dcterms:W3CDTF">2026-03-12T18:50:00Z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36bf80c5-4633-4583-80ec-a18c87d47792</vt:lpwstr>
  </property>
</Properties>
</file>