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0C0CD" w14:textId="2BCE14B7" w:rsidR="008C6F2E" w:rsidRPr="008C6F2E" w:rsidRDefault="008C6F2E" w:rsidP="00A50E3D">
      <w:pPr>
        <w:jc w:val="center"/>
        <w:rPr>
          <w:rFonts w:ascii="Book Antiqua" w:hAnsi="Book Antiqua"/>
          <w:szCs w:val="24"/>
          <w:lang w:val="es-PR"/>
        </w:rPr>
      </w:pPr>
      <w:proofErr w:type="spellStart"/>
      <w:r w:rsidRPr="00584F5D">
        <w:rPr>
          <w:rFonts w:ascii="Book Antiqua" w:hAnsi="Book Antiqua"/>
          <w:sz w:val="36"/>
          <w:szCs w:val="36"/>
          <w:lang w:val="es-PR"/>
        </w:rPr>
        <w:t>Entirillado</w:t>
      </w:r>
      <w:proofErr w:type="spellEnd"/>
      <w:r w:rsidRPr="00584F5D">
        <w:rPr>
          <w:rFonts w:ascii="Book Antiqua" w:hAnsi="Book Antiqua"/>
          <w:sz w:val="36"/>
          <w:szCs w:val="36"/>
          <w:lang w:val="es-PR"/>
        </w:rPr>
        <w:t xml:space="preserve"> Electrónico</w:t>
      </w:r>
    </w:p>
    <w:p w14:paraId="73270280" w14:textId="27B6C217" w:rsidR="00A50E3D" w:rsidRPr="008B5572" w:rsidRDefault="00A50E3D" w:rsidP="00A50E3D">
      <w:pPr>
        <w:jc w:val="center"/>
        <w:rPr>
          <w:rFonts w:ascii="Book Antiqua" w:hAnsi="Book Antiqua"/>
          <w:sz w:val="36"/>
          <w:szCs w:val="36"/>
          <w:lang w:val="es-PR"/>
        </w:rPr>
      </w:pPr>
      <w:r w:rsidRPr="008B5572">
        <w:rPr>
          <w:rFonts w:ascii="Book Antiqua" w:hAnsi="Book Antiqua"/>
          <w:sz w:val="36"/>
          <w:szCs w:val="36"/>
          <w:lang w:val="es-PR"/>
        </w:rPr>
        <w:t>GOBIERNO DE PUERTO RICO</w:t>
      </w:r>
    </w:p>
    <w:p w14:paraId="3A97DE23" w14:textId="77777777" w:rsidR="00A50E3D" w:rsidRPr="0018251B" w:rsidRDefault="00A50E3D" w:rsidP="00A50E3D">
      <w:pPr>
        <w:jc w:val="center"/>
        <w:rPr>
          <w:rFonts w:ascii="Book Antiqua" w:hAnsi="Book Antiqua"/>
          <w:sz w:val="36"/>
          <w:szCs w:val="36"/>
          <w:lang w:val="es-PR"/>
        </w:rPr>
      </w:pPr>
    </w:p>
    <w:p w14:paraId="6F31C572" w14:textId="77777777" w:rsidR="00A50E3D" w:rsidRPr="008B5572" w:rsidRDefault="00A50E3D" w:rsidP="00A50E3D">
      <w:pPr>
        <w:pStyle w:val="Title2"/>
        <w:tabs>
          <w:tab w:val="clear" w:pos="7776"/>
        </w:tabs>
        <w:rPr>
          <w:rFonts w:ascii="Book Antiqua" w:hAnsi="Book Antiqua"/>
          <w:lang w:val="es-PR"/>
        </w:rPr>
      </w:pPr>
      <w:r w:rsidRPr="008B5572">
        <w:rPr>
          <w:rFonts w:ascii="Book Antiqua" w:hAnsi="Book Antiqua"/>
          <w:lang w:val="es-PR"/>
        </w:rPr>
        <w:t>20</w:t>
      </w:r>
      <w:r w:rsidRPr="0018251B">
        <w:rPr>
          <w:rFonts w:ascii="Book Antiqua" w:hAnsi="Book Antiqua"/>
          <w:vertAlign w:val="superscript"/>
          <w:lang w:val="es-PR"/>
        </w:rPr>
        <w:t>ma.</w:t>
      </w:r>
      <w:r w:rsidRPr="008B5572">
        <w:rPr>
          <w:rFonts w:ascii="Book Antiqua" w:hAnsi="Book Antiqua"/>
          <w:lang w:val="es-PR"/>
        </w:rPr>
        <w:t xml:space="preserve"> Asamblea </w:t>
      </w:r>
      <w:r w:rsidRPr="008B5572"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>3</w:t>
      </w:r>
      <w:r w:rsidRPr="0018251B">
        <w:rPr>
          <w:rFonts w:ascii="Book Antiqua" w:hAnsi="Book Antiqua"/>
          <w:vertAlign w:val="superscript"/>
          <w:lang w:val="es-PR"/>
        </w:rPr>
        <w:t>ra.</w:t>
      </w:r>
      <w:r w:rsidRPr="008B5572">
        <w:rPr>
          <w:rFonts w:ascii="Book Antiqua" w:hAnsi="Book Antiqua"/>
          <w:lang w:val="es-PR"/>
        </w:rPr>
        <w:t xml:space="preserve"> Sesión</w:t>
      </w:r>
    </w:p>
    <w:p w14:paraId="6370935C" w14:textId="77777777" w:rsidR="00A50E3D" w:rsidRPr="008B5572" w:rsidRDefault="00A50E3D" w:rsidP="00A50E3D">
      <w:pPr>
        <w:pStyle w:val="Title2"/>
        <w:tabs>
          <w:tab w:val="clear" w:pos="648"/>
          <w:tab w:val="clear" w:pos="7776"/>
          <w:tab w:val="left" w:pos="540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Pr="008B5572">
        <w:rPr>
          <w:rFonts w:ascii="Book Antiqua" w:hAnsi="Book Antiqua"/>
          <w:lang w:val="es-PR"/>
        </w:rPr>
        <w:t>Legislativa</w:t>
      </w:r>
      <w:r w:rsidRPr="008B5572">
        <w:rPr>
          <w:rFonts w:ascii="Book Antiqua" w:hAnsi="Book Antiqua"/>
          <w:lang w:val="es-PR"/>
        </w:rPr>
        <w:tab/>
      </w:r>
      <w:r w:rsidRPr="008B5572">
        <w:rPr>
          <w:rFonts w:ascii="Book Antiqua" w:hAnsi="Book Antiqua"/>
          <w:lang w:val="es-PR"/>
        </w:rPr>
        <w:tab/>
        <w:t xml:space="preserve">     Ordinaria</w:t>
      </w:r>
      <w:r w:rsidRPr="008B5572">
        <w:rPr>
          <w:rFonts w:ascii="Book Antiqua" w:hAnsi="Book Antiqua"/>
          <w:lang w:val="es-PR"/>
        </w:rPr>
        <w:tab/>
      </w:r>
      <w:r w:rsidRPr="008B5572">
        <w:rPr>
          <w:rFonts w:ascii="Book Antiqua" w:hAnsi="Book Antiqua"/>
          <w:lang w:val="es-PR"/>
        </w:rPr>
        <w:tab/>
      </w:r>
      <w:r w:rsidRPr="008B5572">
        <w:rPr>
          <w:rFonts w:ascii="Book Antiqua" w:hAnsi="Book Antiqua"/>
          <w:lang w:val="es-PR"/>
        </w:rPr>
        <w:tab/>
      </w:r>
      <w:r w:rsidRPr="008B5572">
        <w:rPr>
          <w:rFonts w:ascii="Book Antiqua" w:hAnsi="Book Antiqua"/>
          <w:lang w:val="es-PR"/>
        </w:rPr>
        <w:tab/>
      </w:r>
      <w:r w:rsidRPr="008B5572">
        <w:rPr>
          <w:rFonts w:ascii="Book Antiqua" w:hAnsi="Book Antiqua"/>
          <w:lang w:val="es-PR"/>
        </w:rPr>
        <w:tab/>
      </w:r>
    </w:p>
    <w:p w14:paraId="70D20E74" w14:textId="77777777" w:rsidR="00A50E3D" w:rsidRPr="008B5572" w:rsidRDefault="00A50E3D" w:rsidP="00A50E3D">
      <w:pPr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8B5572">
        <w:rPr>
          <w:rFonts w:ascii="Book Antiqua" w:hAnsi="Book Antiqua"/>
          <w:b/>
          <w:sz w:val="36"/>
          <w:szCs w:val="36"/>
          <w:lang w:val="es-PR"/>
        </w:rPr>
        <w:t xml:space="preserve">SENADO DE PUERTO RICO </w:t>
      </w:r>
    </w:p>
    <w:p w14:paraId="458176C5" w14:textId="77777777" w:rsidR="00A50E3D" w:rsidRPr="008B5572" w:rsidRDefault="00A50E3D" w:rsidP="00A50E3D">
      <w:pPr>
        <w:jc w:val="center"/>
        <w:rPr>
          <w:rFonts w:ascii="Book Antiqua" w:hAnsi="Book Antiqua"/>
          <w:b/>
          <w:szCs w:val="24"/>
          <w:lang w:val="es-PR"/>
        </w:rPr>
      </w:pPr>
    </w:p>
    <w:p w14:paraId="12B63C82" w14:textId="77777777" w:rsidR="00A50E3D" w:rsidRPr="000A1D5C" w:rsidRDefault="00A50E3D" w:rsidP="00A50E3D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8B5572">
        <w:rPr>
          <w:rFonts w:ascii="Book Antiqua" w:hAnsi="Book Antiqua"/>
          <w:b/>
          <w:sz w:val="52"/>
          <w:szCs w:val="52"/>
          <w:lang w:val="es-PR"/>
        </w:rPr>
        <w:t>P. del S.</w:t>
      </w:r>
      <w:r>
        <w:rPr>
          <w:rFonts w:ascii="Book Antiqua" w:hAnsi="Book Antiqua"/>
          <w:b/>
          <w:sz w:val="52"/>
          <w:szCs w:val="52"/>
          <w:lang w:val="es-PR"/>
        </w:rPr>
        <w:t xml:space="preserve"> 928</w:t>
      </w:r>
    </w:p>
    <w:p w14:paraId="743C1201" w14:textId="77777777" w:rsidR="00A50E3D" w:rsidRPr="008B5572" w:rsidRDefault="00A50E3D" w:rsidP="00A50E3D">
      <w:pPr>
        <w:spacing w:before="12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12 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sdt>
        <w:sdtPr>
          <w:rPr>
            <w:color w:val="000000" w:themeColor="text1"/>
            <w:lang w:val="es-PR"/>
          </w:rPr>
          <w:tag w:val="goog_rdk_1"/>
          <w:id w:val="-1150512329"/>
        </w:sdtPr>
        <w:sdtEndPr/>
        <w:sdtContent>
          <w:r>
            <w:rPr>
              <w:color w:val="000000" w:themeColor="text1"/>
              <w:lang w:val="es-PR"/>
            </w:rPr>
            <w:t>enero</w:t>
          </w:r>
        </w:sdtContent>
      </w:sdt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202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6</w:t>
      </w:r>
    </w:p>
    <w:p w14:paraId="3F8B94D8" w14:textId="0B9ADCAF" w:rsidR="00A50E3D" w:rsidRPr="008B5572" w:rsidRDefault="00A50E3D" w:rsidP="00A50E3D">
      <w:pPr>
        <w:spacing w:before="120"/>
        <w:jc w:val="center"/>
        <w:rPr>
          <w:rFonts w:ascii="Book Antiqua" w:eastAsia="Book Antiqua" w:hAnsi="Book Antiqua" w:cs="Book Antiqua"/>
          <w:i/>
          <w:color w:val="000000" w:themeColor="text1"/>
          <w:lang w:val="es-PR"/>
        </w:rPr>
      </w:pP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Presentado por los señores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>Rivera Schatz, Ríos Santiago</w:t>
      </w:r>
      <w:r w:rsidR="00CE47A6">
        <w:rPr>
          <w:rFonts w:ascii="Book Antiqua" w:eastAsia="Book Antiqua" w:hAnsi="Book Antiqua" w:cs="Book Antiqua"/>
          <w:i/>
          <w:color w:val="000000" w:themeColor="text1"/>
          <w:lang w:val="es-PR"/>
        </w:rPr>
        <w:t>;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 xml:space="preserve"> 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la señora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>Jiménez Santoni</w:t>
      </w:r>
      <w:r w:rsidR="00CE47A6">
        <w:rPr>
          <w:rFonts w:ascii="Book Antiqua" w:eastAsia="Book Antiqua" w:hAnsi="Book Antiqua" w:cs="Book Antiqua"/>
          <w:i/>
          <w:color w:val="000000" w:themeColor="text1"/>
          <w:lang w:val="es-PR"/>
        </w:rPr>
        <w:t>;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 xml:space="preserve"> 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los señores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>Matías Rosario, Morales Rodríguez</w:t>
      </w:r>
      <w:r w:rsidR="00CE47A6">
        <w:rPr>
          <w:rFonts w:ascii="Book Antiqua" w:eastAsia="Book Antiqua" w:hAnsi="Book Antiqua" w:cs="Book Antiqua"/>
          <w:i/>
          <w:color w:val="000000" w:themeColor="text1"/>
          <w:lang w:val="es-PR"/>
        </w:rPr>
        <w:t>;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 xml:space="preserve"> 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>la señora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 xml:space="preserve"> Barlucea Rodríguez</w:t>
      </w:r>
      <w:r w:rsidR="00CE47A6">
        <w:rPr>
          <w:rFonts w:ascii="Book Antiqua" w:eastAsia="Book Antiqua" w:hAnsi="Book Antiqua" w:cs="Book Antiqua"/>
          <w:color w:val="000000" w:themeColor="text1"/>
          <w:lang w:val="es-PR"/>
        </w:rPr>
        <w:t>;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 los señores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>Colón La Santa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>González López</w:t>
      </w:r>
      <w:r w:rsidR="00CE47A6">
        <w:rPr>
          <w:rFonts w:ascii="Book Antiqua" w:eastAsia="Book Antiqua" w:hAnsi="Book Antiqua" w:cs="Book Antiqua"/>
          <w:color w:val="000000" w:themeColor="text1"/>
          <w:lang w:val="es-PR"/>
        </w:rPr>
        <w:t>;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 las señoras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>Padilla Alvelo, Moran Trinidad, Pérez Soto</w:t>
      </w:r>
      <w:r w:rsidR="00CE47A6">
        <w:rPr>
          <w:rFonts w:ascii="Book Antiqua" w:eastAsia="Book Antiqua" w:hAnsi="Book Antiqua" w:cs="Book Antiqua"/>
          <w:color w:val="000000" w:themeColor="text1"/>
          <w:lang w:val="es-PR"/>
        </w:rPr>
        <w:t>;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 el señor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>Reyes Berríos</w:t>
      </w:r>
      <w:r w:rsidR="00CE47A6">
        <w:rPr>
          <w:rFonts w:ascii="Book Antiqua" w:eastAsia="Book Antiqua" w:hAnsi="Book Antiqua" w:cs="Book Antiqua"/>
          <w:color w:val="000000" w:themeColor="text1"/>
          <w:lang w:val="es-PR"/>
        </w:rPr>
        <w:t>;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 la señora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>Román Rodríguez</w:t>
      </w:r>
      <w:r w:rsidR="00CE47A6">
        <w:rPr>
          <w:rFonts w:ascii="Book Antiqua" w:eastAsia="Book Antiqua" w:hAnsi="Book Antiqua" w:cs="Book Antiqua"/>
          <w:color w:val="000000" w:themeColor="text1"/>
          <w:lang w:val="es-PR"/>
        </w:rPr>
        <w:t>;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 los señores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>Rosa Ramos, Sánchez Álvarez, Santos Ortiz</w:t>
      </w:r>
      <w:r w:rsidR="00CE47A6">
        <w:rPr>
          <w:rFonts w:ascii="Book Antiqua" w:eastAsia="Book Antiqua" w:hAnsi="Book Antiqua" w:cs="Book Antiqua"/>
          <w:i/>
          <w:color w:val="000000" w:themeColor="text1"/>
          <w:lang w:val="es-PR"/>
        </w:rPr>
        <w:t>;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 las señoras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>Soto Aguilú, Soto Tolentino</w:t>
      </w:r>
      <w:r w:rsidR="00CE47A6">
        <w:rPr>
          <w:rFonts w:ascii="Book Antiqua" w:eastAsia="Book Antiqua" w:hAnsi="Book Antiqua" w:cs="Book Antiqua"/>
          <w:color w:val="000000" w:themeColor="text1"/>
          <w:lang w:val="es-PR"/>
        </w:rPr>
        <w:t>;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 y el señor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>Toledo López</w:t>
      </w:r>
    </w:p>
    <w:p w14:paraId="68D9EC45" w14:textId="77777777" w:rsidR="00A50E3D" w:rsidRPr="0018251B" w:rsidRDefault="00A50E3D" w:rsidP="00A50E3D">
      <w:pPr>
        <w:pStyle w:val="NoSpacing"/>
        <w:rPr>
          <w:rFonts w:ascii="Book Antiqua" w:hAnsi="Book Antiqua"/>
          <w:sz w:val="12"/>
          <w:szCs w:val="12"/>
          <w:lang w:val="es-PR"/>
        </w:rPr>
      </w:pPr>
    </w:p>
    <w:p w14:paraId="0B4A100D" w14:textId="77777777" w:rsidR="00A50E3D" w:rsidRPr="007A4177" w:rsidRDefault="00A50E3D" w:rsidP="00A50E3D">
      <w:pPr>
        <w:spacing w:line="360" w:lineRule="auto"/>
        <w:jc w:val="center"/>
        <w:rPr>
          <w:rFonts w:ascii="Book Antiqua" w:hAnsi="Book Antiqua"/>
          <w:i/>
          <w:iCs/>
          <w:szCs w:val="24"/>
          <w:lang w:val="es-419"/>
        </w:rPr>
      </w:pPr>
      <w:r w:rsidRPr="0018251B">
        <w:rPr>
          <w:rFonts w:ascii="Book Antiqua" w:hAnsi="Book Antiqua"/>
          <w:i/>
          <w:iCs/>
          <w:lang w:val="es-PR"/>
        </w:rPr>
        <w:t>Referido a</w:t>
      </w:r>
      <w:r>
        <w:rPr>
          <w:rFonts w:ascii="Book Antiqua" w:hAnsi="Book Antiqua"/>
          <w:i/>
          <w:iCs/>
          <w:lang w:val="es-PR"/>
        </w:rPr>
        <w:t xml:space="preserve"> la Comisión de</w:t>
      </w:r>
      <w:r w:rsidRPr="0018251B">
        <w:rPr>
          <w:rFonts w:ascii="Book Antiqua" w:hAnsi="Book Antiqua"/>
          <w:i/>
          <w:iCs/>
          <w:szCs w:val="24"/>
          <w:lang w:val="es-419"/>
        </w:rPr>
        <w:t xml:space="preserve"> </w:t>
      </w:r>
      <w:r w:rsidRPr="007A4177">
        <w:rPr>
          <w:rFonts w:ascii="Book Antiqua" w:hAnsi="Book Antiqua"/>
          <w:i/>
          <w:iCs/>
          <w:szCs w:val="24"/>
          <w:lang w:val="es-419"/>
        </w:rPr>
        <w:t>Innovación, Reforma y Nombramientos</w:t>
      </w:r>
    </w:p>
    <w:p w14:paraId="3356754D" w14:textId="77777777" w:rsidR="00A50E3D" w:rsidRPr="0018251B" w:rsidRDefault="00A50E3D" w:rsidP="00A50E3D">
      <w:pPr>
        <w:pStyle w:val="NoSpacing"/>
        <w:jc w:val="center"/>
        <w:rPr>
          <w:rFonts w:ascii="Book Antiqua" w:hAnsi="Book Antiqua"/>
          <w:i/>
          <w:iCs/>
          <w:sz w:val="16"/>
          <w:szCs w:val="16"/>
          <w:lang w:val="es-PR"/>
        </w:rPr>
      </w:pPr>
    </w:p>
    <w:p w14:paraId="16DED5C1" w14:textId="77777777" w:rsidR="00A50E3D" w:rsidRPr="008B5572" w:rsidRDefault="00A50E3D" w:rsidP="00A50E3D">
      <w:pPr>
        <w:jc w:val="center"/>
        <w:rPr>
          <w:rFonts w:ascii="Book Antiqua" w:hAnsi="Book Antiqua"/>
          <w:b/>
          <w:szCs w:val="24"/>
          <w:lang w:val="es-PR"/>
        </w:rPr>
      </w:pPr>
      <w:r w:rsidRPr="008B5572">
        <w:rPr>
          <w:rFonts w:ascii="Book Antiqua" w:hAnsi="Book Antiqua"/>
          <w:b/>
          <w:szCs w:val="24"/>
          <w:lang w:val="es-PR"/>
        </w:rPr>
        <w:t>LEY</w:t>
      </w:r>
    </w:p>
    <w:p w14:paraId="7DBB0B3A" w14:textId="77777777" w:rsidR="00A50E3D" w:rsidRPr="0018251B" w:rsidRDefault="00A50E3D" w:rsidP="00A50E3D">
      <w:pPr>
        <w:jc w:val="center"/>
        <w:rPr>
          <w:rFonts w:ascii="Book Antiqua" w:hAnsi="Book Antiqua"/>
          <w:b/>
          <w:sz w:val="12"/>
          <w:szCs w:val="12"/>
          <w:lang w:val="es-PR"/>
        </w:rPr>
      </w:pPr>
    </w:p>
    <w:p w14:paraId="0BAAA02B" w14:textId="6F480BEE" w:rsidR="00A50E3D" w:rsidRPr="006075E7" w:rsidRDefault="00A50E3D" w:rsidP="00A50E3D">
      <w:pPr>
        <w:ind w:left="540" w:hanging="54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6075E7">
        <w:rPr>
          <w:rFonts w:ascii="Book Antiqua" w:hAnsi="Book Antiqua"/>
          <w:snapToGrid w:val="0"/>
          <w:szCs w:val="24"/>
          <w:lang w:val="es-PR"/>
        </w:rPr>
        <w:t xml:space="preserve">Para </w:t>
      </w:r>
      <w:r w:rsidRPr="006075E7">
        <w:rPr>
          <w:rFonts w:ascii="Book Antiqua" w:hAnsi="Book Antiqua"/>
          <w:lang w:val="es-PR"/>
        </w:rPr>
        <w:t xml:space="preserve">enmendar los  </w:t>
      </w:r>
      <w:r w:rsidR="000D1588" w:rsidRPr="006075E7">
        <w:rPr>
          <w:rFonts w:ascii="Book Antiqua" w:hAnsi="Book Antiqua"/>
          <w:lang w:val="es-PR"/>
        </w:rPr>
        <w:t xml:space="preserve">Artículos </w:t>
      </w:r>
      <w:r w:rsidRPr="006075E7">
        <w:rPr>
          <w:rFonts w:ascii="Book Antiqua" w:hAnsi="Book Antiqua"/>
          <w:lang w:val="es-PR"/>
        </w:rPr>
        <w:t xml:space="preserve">6 y 7 de la Ley </w:t>
      </w:r>
      <w:r w:rsidR="00584F5D">
        <w:rPr>
          <w:rFonts w:ascii="Book Antiqua" w:hAnsi="Book Antiqua"/>
          <w:i/>
          <w:iCs/>
          <w:u w:val="single"/>
          <w:lang w:val="es-PR"/>
        </w:rPr>
        <w:t>Núm.</w:t>
      </w:r>
      <w:r w:rsidR="00584F5D" w:rsidRPr="00584F5D">
        <w:rPr>
          <w:rFonts w:ascii="Book Antiqua" w:hAnsi="Book Antiqua"/>
          <w:i/>
          <w:iCs/>
          <w:lang w:val="es-PR"/>
        </w:rPr>
        <w:t xml:space="preserve"> </w:t>
      </w:r>
      <w:r w:rsidRPr="006075E7">
        <w:rPr>
          <w:rFonts w:ascii="Book Antiqua" w:hAnsi="Book Antiqua"/>
          <w:lang w:val="es-PR"/>
        </w:rPr>
        <w:t>183-1998, según enmendada,  conocida como la “Ley de Compensación y Servicios a las Víctimas y Testigos de Delito”</w:t>
      </w:r>
      <w:r w:rsidR="004F6CFE">
        <w:rPr>
          <w:rFonts w:ascii="Book Antiqua" w:hAnsi="Book Antiqua"/>
          <w:lang w:val="es-PR"/>
        </w:rPr>
        <w:t>,</w:t>
      </w:r>
      <w:r w:rsidRPr="006075E7">
        <w:rPr>
          <w:rFonts w:ascii="Book Antiqua" w:hAnsi="Book Antiqua"/>
          <w:lang w:val="es-PR"/>
        </w:rPr>
        <w:t xml:space="preserve"> para </w:t>
      </w:r>
      <w:r w:rsidR="008D007F" w:rsidRPr="006075E7">
        <w:rPr>
          <w:rFonts w:ascii="Book Antiqua" w:hAnsi="Book Antiqua"/>
          <w:lang w:val="es-PR"/>
        </w:rPr>
        <w:t xml:space="preserve"> incluir</w:t>
      </w:r>
      <w:r w:rsidRPr="006075E7">
        <w:rPr>
          <w:rFonts w:ascii="Book Antiqua" w:hAnsi="Book Antiqua"/>
          <w:lang w:val="es-PR"/>
        </w:rPr>
        <w:t xml:space="preserve"> a las víctimas de trata humana como elegibles para que la Oficina </w:t>
      </w:r>
      <w:r w:rsidR="007A71C3" w:rsidRPr="006075E7">
        <w:rPr>
          <w:rFonts w:ascii="Book Antiqua" w:hAnsi="Book Antiqua"/>
          <w:lang w:val="es-PR"/>
        </w:rPr>
        <w:t xml:space="preserve">de Compensación y Servicios a las Víctimas y Testigos de Delito </w:t>
      </w:r>
      <w:r w:rsidRPr="006075E7">
        <w:rPr>
          <w:rFonts w:ascii="Book Antiqua" w:hAnsi="Book Antiqua"/>
          <w:lang w:val="es-PR"/>
        </w:rPr>
        <w:t xml:space="preserve">pueda </w:t>
      </w:r>
      <w:r w:rsidR="00136FD8" w:rsidRPr="006075E7">
        <w:rPr>
          <w:rFonts w:ascii="Book Antiqua" w:hAnsi="Book Antiqua"/>
          <w:lang w:val="es-PR"/>
        </w:rPr>
        <w:t xml:space="preserve">concederles </w:t>
      </w:r>
      <w:r w:rsidRPr="006075E7">
        <w:rPr>
          <w:rFonts w:ascii="Book Antiqua" w:hAnsi="Book Antiqua"/>
          <w:lang w:val="es-PR"/>
        </w:rPr>
        <w:t>compensación por daños ocurridos a causa de ser víctimas de dicho delito; y para que no le aplique a estas víctimas el impedimento para recibir compensación si cometieren delitos durante su condición de víctimas de trata</w:t>
      </w:r>
      <w:r w:rsidRPr="008C6F2E">
        <w:rPr>
          <w:rFonts w:ascii="Book Antiqua" w:hAnsi="Book Antiqua"/>
          <w:strike/>
          <w:lang w:val="es-PR"/>
        </w:rPr>
        <w:t>; y para otros fines relacionados</w:t>
      </w:r>
      <w:r w:rsidRPr="006075E7">
        <w:rPr>
          <w:rFonts w:ascii="Book Antiqua" w:hAnsi="Book Antiqua"/>
          <w:lang w:val="es-PR"/>
        </w:rPr>
        <w:t>.</w:t>
      </w:r>
    </w:p>
    <w:p w14:paraId="2BCF3AE8" w14:textId="77777777" w:rsidR="00A50E3D" w:rsidRPr="0018251B" w:rsidRDefault="00A50E3D" w:rsidP="00A50E3D">
      <w:pPr>
        <w:suppressLineNumbers/>
        <w:ind w:left="540" w:hanging="529"/>
        <w:jc w:val="both"/>
        <w:rPr>
          <w:rFonts w:ascii="Book Antiqua" w:hAnsi="Book Antiqua"/>
          <w:snapToGrid w:val="0"/>
          <w:sz w:val="16"/>
          <w:szCs w:val="16"/>
          <w:highlight w:val="yellow"/>
          <w:lang w:val="es-PR"/>
        </w:rPr>
      </w:pPr>
    </w:p>
    <w:p w14:paraId="4813B358" w14:textId="77777777" w:rsidR="00A50E3D" w:rsidRDefault="00A50E3D" w:rsidP="00A50E3D">
      <w:pPr>
        <w:ind w:left="720" w:hanging="720"/>
        <w:jc w:val="center"/>
        <w:rPr>
          <w:rFonts w:ascii="Book Antiqua" w:hAnsi="Book Antiqua"/>
          <w:b/>
          <w:bCs/>
          <w:snapToGrid w:val="0"/>
          <w:szCs w:val="24"/>
          <w:lang w:val="es-PR"/>
        </w:rPr>
      </w:pPr>
      <w:r w:rsidRPr="008B5572">
        <w:rPr>
          <w:rFonts w:ascii="Book Antiqua" w:hAnsi="Book Antiqua"/>
          <w:b/>
          <w:bCs/>
          <w:snapToGrid w:val="0"/>
          <w:szCs w:val="24"/>
          <w:lang w:val="es-PR"/>
        </w:rPr>
        <w:t>EXPOSICI</w:t>
      </w:r>
      <w:r>
        <w:rPr>
          <w:rFonts w:ascii="Book Antiqua" w:hAnsi="Book Antiqua"/>
          <w:b/>
          <w:bCs/>
          <w:snapToGrid w:val="0"/>
          <w:szCs w:val="24"/>
          <w:lang w:val="es-PR"/>
        </w:rPr>
        <w:t>Ó</w:t>
      </w:r>
      <w:r w:rsidRPr="008B5572">
        <w:rPr>
          <w:rFonts w:ascii="Book Antiqua" w:hAnsi="Book Antiqua"/>
          <w:b/>
          <w:bCs/>
          <w:snapToGrid w:val="0"/>
          <w:szCs w:val="24"/>
          <w:lang w:val="es-PR"/>
        </w:rPr>
        <w:t>N DE MOTIVOS</w:t>
      </w:r>
    </w:p>
    <w:p w14:paraId="36D40160" w14:textId="77777777" w:rsidR="00A50E3D" w:rsidRDefault="00A50E3D" w:rsidP="00A50E3D">
      <w:pPr>
        <w:ind w:left="720" w:hanging="720"/>
        <w:jc w:val="center"/>
        <w:rPr>
          <w:rFonts w:ascii="Book Antiqua" w:hAnsi="Book Antiqua"/>
          <w:b/>
          <w:bCs/>
          <w:snapToGrid w:val="0"/>
          <w:sz w:val="16"/>
          <w:szCs w:val="16"/>
          <w:lang w:val="es-PR"/>
        </w:rPr>
      </w:pPr>
    </w:p>
    <w:p w14:paraId="7E458182" w14:textId="72302B0F" w:rsidR="00A50E3D" w:rsidRPr="006075E7" w:rsidRDefault="00A50E3D" w:rsidP="00A50E3D">
      <w:pPr>
        <w:spacing w:before="120" w:after="120" w:line="360" w:lineRule="auto"/>
        <w:ind w:firstLine="540"/>
        <w:jc w:val="both"/>
        <w:rPr>
          <w:rFonts w:ascii="Book Antiqua" w:hAnsi="Book Antiqua"/>
          <w:lang w:val="es-PR"/>
        </w:rPr>
      </w:pPr>
      <w:r w:rsidRPr="006075E7">
        <w:rPr>
          <w:rFonts w:ascii="Book Antiqua" w:hAnsi="Book Antiqua"/>
          <w:lang w:val="es-PR"/>
        </w:rPr>
        <w:t xml:space="preserve">Recientemente se aprobó la Ley </w:t>
      </w:r>
      <w:r w:rsidR="00376AE3">
        <w:rPr>
          <w:rFonts w:ascii="Book Antiqua" w:hAnsi="Book Antiqua"/>
          <w:i/>
          <w:iCs/>
          <w:u w:val="single"/>
          <w:lang w:val="es-PR"/>
        </w:rPr>
        <w:t>Núm.</w:t>
      </w:r>
      <w:r w:rsidR="00376AE3" w:rsidRPr="00376AE3">
        <w:rPr>
          <w:rFonts w:ascii="Book Antiqua" w:hAnsi="Book Antiqua"/>
          <w:i/>
          <w:iCs/>
          <w:lang w:val="es-PR"/>
        </w:rPr>
        <w:t xml:space="preserve"> </w:t>
      </w:r>
      <w:r w:rsidRPr="006075E7">
        <w:rPr>
          <w:rFonts w:ascii="Book Antiqua" w:hAnsi="Book Antiqua"/>
          <w:lang w:val="es-PR"/>
        </w:rPr>
        <w:t>141-2025 que enmienda la Ley</w:t>
      </w:r>
      <w:r w:rsidR="00376AE3">
        <w:rPr>
          <w:rFonts w:ascii="Book Antiqua" w:hAnsi="Book Antiqua"/>
          <w:lang w:val="es-PR"/>
        </w:rPr>
        <w:t xml:space="preserve"> </w:t>
      </w:r>
      <w:r w:rsidR="00376AE3">
        <w:rPr>
          <w:rFonts w:ascii="Book Antiqua" w:hAnsi="Book Antiqua"/>
          <w:i/>
          <w:iCs/>
          <w:u w:val="single"/>
          <w:lang w:val="es-PR"/>
        </w:rPr>
        <w:t>Núm.</w:t>
      </w:r>
      <w:r w:rsidRPr="006075E7">
        <w:rPr>
          <w:rFonts w:ascii="Book Antiqua" w:hAnsi="Book Antiqua"/>
          <w:lang w:val="es-PR"/>
        </w:rPr>
        <w:t xml:space="preserve"> 146-2012, conocida como “Código Penal de Puerto Rico”, a los fines de reconocer como una de las causas de exclusión de responsabilidad penal a las víctimas de trata humana por haber participado en actividades ilícitas en la medida en que esa participación fue causada por su situación de víctima. </w:t>
      </w:r>
    </w:p>
    <w:p w14:paraId="4B865CED" w14:textId="2ECBD884" w:rsidR="00A50E3D" w:rsidRPr="006075E7" w:rsidRDefault="00A50E3D" w:rsidP="00A50E3D">
      <w:pPr>
        <w:spacing w:before="120" w:after="120" w:line="360" w:lineRule="auto"/>
        <w:ind w:firstLine="540"/>
        <w:jc w:val="both"/>
        <w:rPr>
          <w:rFonts w:ascii="Book Antiqua" w:hAnsi="Book Antiqua"/>
          <w:lang w:val="es-PR"/>
        </w:rPr>
      </w:pPr>
      <w:r w:rsidRPr="006075E7">
        <w:rPr>
          <w:rFonts w:ascii="Book Antiqua" w:hAnsi="Book Antiqua"/>
          <w:lang w:val="es-PR"/>
        </w:rPr>
        <w:lastRenderedPageBreak/>
        <w:t>Dicha legislación reconoció que la trata de personas es un tema que ha cobrado relevancia a nivel mundial y que el Gobierno de Puerto Rico se une a los esfuerzos contra</w:t>
      </w:r>
      <w:r w:rsidRPr="00D92FD7">
        <w:rPr>
          <w:rFonts w:ascii="Book Antiqua" w:hAnsi="Book Antiqua"/>
          <w:lang w:val="es-PR"/>
        </w:rPr>
        <w:t xml:space="preserve"> </w:t>
      </w:r>
      <w:r w:rsidRPr="006075E7">
        <w:rPr>
          <w:rFonts w:ascii="Book Antiqua" w:hAnsi="Book Antiqua"/>
          <w:lang w:val="es-PR"/>
        </w:rPr>
        <w:t>esta forma de esclavitud contemporánea. Como parte de esos esfuerzos y de la corriente internacional, se concluyó que la penalización de las víctimas humana, por conducta delictiva relacionado a su condición de víctima, limita el acceso a la justicia y la protección, reduciendo las probabilidades que denuncien ante las autoridades a sus tratantes.</w:t>
      </w:r>
    </w:p>
    <w:p w14:paraId="7CA7BDF2" w14:textId="301F35E7" w:rsidR="00A50E3D" w:rsidRPr="006075E7" w:rsidRDefault="00A50E3D" w:rsidP="00A50E3D">
      <w:pPr>
        <w:spacing w:before="120" w:after="120" w:line="360" w:lineRule="auto"/>
        <w:ind w:firstLine="540"/>
        <w:jc w:val="both"/>
        <w:rPr>
          <w:rFonts w:ascii="Book Antiqua" w:hAnsi="Book Antiqua"/>
          <w:lang w:val="es-PR"/>
        </w:rPr>
      </w:pPr>
      <w:r w:rsidRPr="006075E7">
        <w:rPr>
          <w:rFonts w:ascii="Book Antiqua" w:hAnsi="Book Antiqua"/>
          <w:lang w:val="es-PR"/>
        </w:rPr>
        <w:t xml:space="preserve">Cónsono con estos esfuerzos, es necesario ampliar las protecciones a las víctimas de trata de personas para fomentar el acceso a la justicia.  </w:t>
      </w:r>
      <w:r w:rsidR="00E03431" w:rsidRPr="006075E7">
        <w:rPr>
          <w:rFonts w:ascii="Book Antiqua" w:hAnsi="Book Antiqua"/>
          <w:lang w:val="es-PR"/>
        </w:rPr>
        <w:t>P</w:t>
      </w:r>
      <w:r w:rsidR="00692799" w:rsidRPr="006075E7">
        <w:rPr>
          <w:rFonts w:ascii="Book Antiqua" w:hAnsi="Book Antiqua"/>
          <w:lang w:val="es-PR"/>
        </w:rPr>
        <w:t xml:space="preserve">or ello, </w:t>
      </w:r>
      <w:r w:rsidR="00187C7C" w:rsidRPr="006075E7">
        <w:rPr>
          <w:rFonts w:ascii="Book Antiqua" w:hAnsi="Book Antiqua"/>
          <w:lang w:val="es-PR"/>
        </w:rPr>
        <w:t xml:space="preserve">se propone </w:t>
      </w:r>
      <w:r w:rsidRPr="006075E7">
        <w:rPr>
          <w:rFonts w:ascii="Book Antiqua" w:hAnsi="Book Antiqua"/>
          <w:lang w:val="es-PR"/>
        </w:rPr>
        <w:t xml:space="preserve">enmendar la “Ley de Compensación y Servicios a las Víctimas y Testigos de Delito” para incluir expresamente a la víctima de trata humana como elegible para recibir compensación. Igualmente, corresponde enmendar la </w:t>
      </w:r>
      <w:r w:rsidR="004F6CFE">
        <w:rPr>
          <w:rFonts w:ascii="Book Antiqua" w:hAnsi="Book Antiqua"/>
          <w:lang w:val="es-PR"/>
        </w:rPr>
        <w:t>L</w:t>
      </w:r>
      <w:r w:rsidRPr="006075E7">
        <w:rPr>
          <w:rFonts w:ascii="Book Antiqua" w:hAnsi="Book Antiqua"/>
          <w:lang w:val="es-PR"/>
        </w:rPr>
        <w:t>ey para excluir, bajo las circunstancias antes descrita</w:t>
      </w:r>
      <w:r w:rsidR="00CE47A6">
        <w:rPr>
          <w:rFonts w:ascii="Book Antiqua" w:hAnsi="Book Antiqua"/>
          <w:lang w:val="es-PR"/>
        </w:rPr>
        <w:t>s</w:t>
      </w:r>
      <w:r w:rsidRPr="006075E7">
        <w:rPr>
          <w:rFonts w:ascii="Book Antiqua" w:hAnsi="Book Antiqua"/>
          <w:lang w:val="es-PR"/>
        </w:rPr>
        <w:t>, a la víctima de trata humana de la disposición que impide ofrecer compensación a una víctima que ha participado en conducta delictiva.</w:t>
      </w:r>
    </w:p>
    <w:p w14:paraId="4A2EE28D" w14:textId="77777777" w:rsidR="00A50E3D" w:rsidRPr="00D92FD7" w:rsidRDefault="00A50E3D" w:rsidP="00A50E3D">
      <w:pPr>
        <w:spacing w:before="120" w:after="120" w:line="360" w:lineRule="auto"/>
        <w:ind w:firstLine="540"/>
        <w:jc w:val="both"/>
        <w:rPr>
          <w:rFonts w:ascii="Book Antiqua" w:hAnsi="Book Antiqua"/>
          <w:lang w:val="es-PR"/>
        </w:rPr>
      </w:pPr>
      <w:r w:rsidRPr="006075E7">
        <w:rPr>
          <w:rFonts w:ascii="Book Antiqua" w:hAnsi="Book Antiqua"/>
          <w:lang w:val="es-PR"/>
        </w:rPr>
        <w:t>Esta es una medida de justicia que brinda protecciones a las víctimas de trata y fomentará que se atrevan a denunciar a sus tratantes y así seguir combatiendo un delito</w:t>
      </w:r>
      <w:r w:rsidRPr="00D92FD7">
        <w:rPr>
          <w:rFonts w:ascii="Book Antiqua" w:hAnsi="Book Antiqua"/>
          <w:lang w:val="es-PR"/>
        </w:rPr>
        <w:t xml:space="preserve"> que no debe tener espacio en nuestra sociedad.</w:t>
      </w:r>
    </w:p>
    <w:p w14:paraId="03B61BF6" w14:textId="77777777" w:rsidR="00A50E3D" w:rsidRPr="00B329F2" w:rsidRDefault="00A50E3D" w:rsidP="00A50E3D">
      <w:pPr>
        <w:spacing w:line="480" w:lineRule="auto"/>
        <w:jc w:val="both"/>
        <w:rPr>
          <w:rFonts w:ascii="Book Antiqua" w:hAnsi="Book Antiqua"/>
          <w:b/>
          <w:bCs/>
          <w:iCs/>
          <w:lang w:val="es-PR"/>
        </w:rPr>
      </w:pPr>
      <w:r w:rsidRPr="00B329F2">
        <w:rPr>
          <w:rFonts w:ascii="Book Antiqua" w:hAnsi="Book Antiqua"/>
          <w:b/>
          <w:bCs/>
          <w:iCs/>
          <w:lang w:val="es-PR"/>
        </w:rPr>
        <w:t>DECRÉTASE POR LA ASAMBLEA LEGISLATIVA DE PUERTO RICO:</w:t>
      </w:r>
    </w:p>
    <w:p w14:paraId="7C5B4C95" w14:textId="77777777" w:rsidR="00A50E3D" w:rsidRPr="008B5572" w:rsidRDefault="00A50E3D" w:rsidP="00A50E3D">
      <w:pPr>
        <w:spacing w:line="480" w:lineRule="auto"/>
        <w:jc w:val="both"/>
        <w:rPr>
          <w:rFonts w:ascii="Book Antiqua" w:hAnsi="Book Antiqua"/>
          <w:szCs w:val="24"/>
          <w:lang w:val="es-PR"/>
        </w:rPr>
        <w:sectPr w:rsidR="00A50E3D" w:rsidRPr="008B5572" w:rsidSect="00A50E3D">
          <w:headerReference w:type="even" r:id="rId10"/>
          <w:headerReference w:type="default" r:id="rId11"/>
          <w:headerReference w:type="first" r:id="rId12"/>
          <w:pgSz w:w="12240" w:h="15840"/>
          <w:pgMar w:top="1440" w:right="1440" w:bottom="1440" w:left="1440" w:header="720" w:footer="720" w:gutter="0"/>
          <w:cols w:space="720"/>
          <w:titlePg/>
        </w:sectPr>
      </w:pPr>
    </w:p>
    <w:p w14:paraId="5595F460" w14:textId="492E45C2" w:rsidR="00A50E3D" w:rsidRPr="006075E7" w:rsidRDefault="00A50E3D" w:rsidP="00A50E3D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bookmarkStart w:id="1" w:name="_Hlk206434876"/>
      <w:r w:rsidRPr="006075E7">
        <w:rPr>
          <w:rFonts w:ascii="Book Antiqua" w:hAnsi="Book Antiqua"/>
          <w:lang w:val="es-ES"/>
        </w:rPr>
        <w:t>Sección 1.- Se enmienda el Artículo 6 de la Ley</w:t>
      </w:r>
      <w:r w:rsidR="00110B5B">
        <w:rPr>
          <w:rFonts w:ascii="Book Antiqua" w:hAnsi="Book Antiqua"/>
          <w:lang w:val="es-ES"/>
        </w:rPr>
        <w:t xml:space="preserve"> </w:t>
      </w:r>
      <w:r w:rsidR="00110B5B">
        <w:rPr>
          <w:rFonts w:ascii="Book Antiqua" w:hAnsi="Book Antiqua"/>
          <w:i/>
          <w:iCs/>
          <w:u w:val="single"/>
          <w:lang w:val="es-PR"/>
        </w:rPr>
        <w:t>Núm.</w:t>
      </w:r>
      <w:r w:rsidRPr="006075E7">
        <w:rPr>
          <w:rFonts w:ascii="Book Antiqua" w:hAnsi="Book Antiqua"/>
          <w:lang w:val="es-ES"/>
        </w:rPr>
        <w:t xml:space="preserve"> 183-1998, según enmendada</w:t>
      </w:r>
      <w:r w:rsidR="00E03431" w:rsidRPr="006075E7">
        <w:rPr>
          <w:rFonts w:ascii="Book Antiqua" w:hAnsi="Book Antiqua"/>
          <w:lang w:val="es-ES"/>
        </w:rPr>
        <w:t>,</w:t>
      </w:r>
      <w:r w:rsidRPr="006075E7">
        <w:rPr>
          <w:rFonts w:ascii="Book Antiqua" w:hAnsi="Book Antiqua"/>
          <w:lang w:val="es-ES"/>
        </w:rPr>
        <w:t xml:space="preserve"> </w:t>
      </w:r>
      <w:r w:rsidR="00E03431" w:rsidRPr="00110B5B">
        <w:rPr>
          <w:rFonts w:ascii="Book Antiqua" w:hAnsi="Book Antiqua"/>
          <w:strike/>
          <w:lang w:val="es-PR"/>
        </w:rPr>
        <w:t>conocida como “Ley de Compensación y Servicios a las Víctimas y Testigos de Delito”</w:t>
      </w:r>
      <w:r w:rsidR="00E03431" w:rsidRPr="00110B5B">
        <w:rPr>
          <w:rFonts w:ascii="Book Antiqua" w:hAnsi="Book Antiqua"/>
          <w:strike/>
          <w:lang w:val="es-ES"/>
        </w:rPr>
        <w:t>,</w:t>
      </w:r>
      <w:r w:rsidR="00E03431" w:rsidRPr="006075E7">
        <w:rPr>
          <w:rFonts w:ascii="Book Antiqua" w:hAnsi="Book Antiqua"/>
          <w:lang w:val="es-ES"/>
        </w:rPr>
        <w:t xml:space="preserve"> </w:t>
      </w:r>
      <w:r w:rsidRPr="006075E7">
        <w:rPr>
          <w:rFonts w:ascii="Book Antiqua" w:hAnsi="Book Antiqua"/>
          <w:lang w:val="es-ES"/>
        </w:rPr>
        <w:t>para que se lea como sigue:</w:t>
      </w:r>
    </w:p>
    <w:p w14:paraId="74CCF7A4" w14:textId="77777777" w:rsidR="00A50E3D" w:rsidRPr="006075E7" w:rsidRDefault="00A50E3D" w:rsidP="00A50E3D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6075E7">
        <w:rPr>
          <w:rFonts w:ascii="Book Antiqua" w:hAnsi="Book Antiqua"/>
          <w:lang w:val="es-ES"/>
        </w:rPr>
        <w:t xml:space="preserve">“Artículo 6. — Delitos que puedan dar lugar a compensación. </w:t>
      </w:r>
    </w:p>
    <w:p w14:paraId="76453693" w14:textId="19CDC628" w:rsidR="00A50E3D" w:rsidRPr="006075E7" w:rsidRDefault="00A50E3D" w:rsidP="00A50E3D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6075E7">
        <w:rPr>
          <w:rFonts w:ascii="Book Antiqua" w:hAnsi="Book Antiqua"/>
          <w:lang w:val="es-ES"/>
        </w:rPr>
        <w:t xml:space="preserve">La Oficina podrá conceder compensación </w:t>
      </w:r>
      <w:r w:rsidR="007A71C3" w:rsidRPr="006075E7">
        <w:rPr>
          <w:rFonts w:ascii="Book Antiqua" w:hAnsi="Book Antiqua"/>
          <w:lang w:val="es-ES"/>
        </w:rPr>
        <w:t xml:space="preserve">a las víctimas </w:t>
      </w:r>
      <w:r w:rsidRPr="006075E7">
        <w:rPr>
          <w:rFonts w:ascii="Book Antiqua" w:hAnsi="Book Antiqua"/>
          <w:lang w:val="es-ES"/>
        </w:rPr>
        <w:t>por daños ocurridos a causa de la comisión de uno o más de los siguientes delitos o sus tentativas:</w:t>
      </w:r>
    </w:p>
    <w:p w14:paraId="584BAA19" w14:textId="77777777" w:rsidR="00A50E3D" w:rsidRPr="006075E7" w:rsidRDefault="00A50E3D" w:rsidP="00A50E3D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6075E7">
        <w:rPr>
          <w:rFonts w:ascii="Book Antiqua" w:hAnsi="Book Antiqua"/>
          <w:lang w:val="es-ES"/>
        </w:rPr>
        <w:t>(a)</w:t>
      </w:r>
      <w:r w:rsidRPr="006075E7">
        <w:rPr>
          <w:rFonts w:ascii="Book Antiqua" w:hAnsi="Book Antiqua"/>
          <w:lang w:val="es-ES"/>
        </w:rPr>
        <w:tab/>
        <w:t>…</w:t>
      </w:r>
    </w:p>
    <w:p w14:paraId="747375B6" w14:textId="77777777" w:rsidR="00A50E3D" w:rsidRPr="006075E7" w:rsidRDefault="00A50E3D" w:rsidP="00A50E3D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6075E7">
        <w:rPr>
          <w:rFonts w:ascii="Book Antiqua" w:hAnsi="Book Antiqua"/>
          <w:lang w:val="es-ES"/>
        </w:rPr>
        <w:lastRenderedPageBreak/>
        <w:t>…</w:t>
      </w:r>
    </w:p>
    <w:p w14:paraId="0C77AEBF" w14:textId="013B8EFD" w:rsidR="00A50E3D" w:rsidRPr="00BA53AD" w:rsidRDefault="00A50E3D" w:rsidP="00A50E3D">
      <w:pPr>
        <w:spacing w:line="480" w:lineRule="auto"/>
        <w:ind w:firstLine="720"/>
        <w:jc w:val="both"/>
        <w:rPr>
          <w:rFonts w:ascii="Book Antiqua" w:hAnsi="Book Antiqua"/>
          <w:i/>
          <w:iCs/>
          <w:u w:val="single"/>
          <w:lang w:val="es-ES"/>
        </w:rPr>
      </w:pPr>
      <w:r w:rsidRPr="006075E7">
        <w:rPr>
          <w:rFonts w:ascii="Book Antiqua" w:hAnsi="Book Antiqua"/>
          <w:lang w:val="es-ES"/>
        </w:rPr>
        <w:t>(o)</w:t>
      </w:r>
      <w:r w:rsidRPr="006075E7">
        <w:rPr>
          <w:rFonts w:ascii="Book Antiqua" w:hAnsi="Book Antiqua"/>
          <w:lang w:val="es-ES"/>
        </w:rPr>
        <w:tab/>
      </w:r>
      <w:r w:rsidR="006439AC" w:rsidRPr="008C4531">
        <w:rPr>
          <w:rFonts w:ascii="Book Antiqua" w:hAnsi="Book Antiqua"/>
          <w:lang w:val="es-ES"/>
        </w:rPr>
        <w:t xml:space="preserve">Trata </w:t>
      </w:r>
      <w:r w:rsidR="006439AC" w:rsidRPr="00F06D4A">
        <w:rPr>
          <w:rFonts w:ascii="Book Antiqua" w:hAnsi="Book Antiqua"/>
          <w:strike/>
          <w:lang w:val="es-ES"/>
        </w:rPr>
        <w:t>Humana</w:t>
      </w:r>
      <w:r w:rsidR="00BA53AD" w:rsidRPr="002D4D9A">
        <w:rPr>
          <w:rFonts w:ascii="Book Antiqua" w:hAnsi="Book Antiqua"/>
          <w:lang w:val="es-ES"/>
        </w:rPr>
        <w:t xml:space="preserve"> </w:t>
      </w:r>
      <w:proofErr w:type="spellStart"/>
      <w:r w:rsidR="00BA53AD">
        <w:rPr>
          <w:rFonts w:ascii="Book Antiqua" w:hAnsi="Book Antiqua"/>
          <w:i/>
          <w:iCs/>
          <w:u w:val="single"/>
          <w:lang w:val="es-ES"/>
        </w:rPr>
        <w:t>humana</w:t>
      </w:r>
      <w:proofErr w:type="spellEnd"/>
      <w:r w:rsidR="008C4531">
        <w:rPr>
          <w:rFonts w:ascii="Book Antiqua" w:hAnsi="Book Antiqua"/>
          <w:i/>
          <w:iCs/>
          <w:u w:val="single"/>
          <w:lang w:val="es-ES"/>
        </w:rPr>
        <w:t>.</w:t>
      </w:r>
    </w:p>
    <w:p w14:paraId="667790F4" w14:textId="77777777" w:rsidR="00A50E3D" w:rsidRPr="00DE2232" w:rsidRDefault="00A50E3D" w:rsidP="00A50E3D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DE2232">
        <w:rPr>
          <w:rFonts w:ascii="Book Antiqua" w:hAnsi="Book Antiqua"/>
          <w:lang w:val="es-ES"/>
        </w:rPr>
        <w:t>...”</w:t>
      </w:r>
    </w:p>
    <w:p w14:paraId="1400C9FE" w14:textId="3DCF8EA2" w:rsidR="00A50E3D" w:rsidRPr="006075E7" w:rsidRDefault="00A50E3D" w:rsidP="00A50E3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075E7">
        <w:rPr>
          <w:rFonts w:ascii="Book Antiqua" w:hAnsi="Book Antiqua"/>
          <w:lang w:val="es-PR"/>
        </w:rPr>
        <w:t>Sección 2.– Se enmienda el Artículo 7 de la Ley</w:t>
      </w:r>
      <w:r w:rsidR="00E67319">
        <w:rPr>
          <w:rFonts w:ascii="Book Antiqua" w:hAnsi="Book Antiqua"/>
          <w:lang w:val="es-PR"/>
        </w:rPr>
        <w:t xml:space="preserve"> </w:t>
      </w:r>
      <w:r w:rsidR="00E67319">
        <w:rPr>
          <w:rFonts w:ascii="Book Antiqua" w:hAnsi="Book Antiqua"/>
          <w:i/>
          <w:iCs/>
          <w:u w:val="single"/>
          <w:lang w:val="es-PR"/>
        </w:rPr>
        <w:t>Núm.</w:t>
      </w:r>
      <w:r w:rsidRPr="006075E7">
        <w:rPr>
          <w:rFonts w:ascii="Book Antiqua" w:hAnsi="Book Antiqua"/>
          <w:lang w:val="es-PR"/>
        </w:rPr>
        <w:t xml:space="preserve"> 183-1998, según enmendada,</w:t>
      </w:r>
      <w:r w:rsidR="00E03431" w:rsidRPr="006075E7">
        <w:rPr>
          <w:rFonts w:ascii="Book Antiqua" w:hAnsi="Book Antiqua"/>
          <w:lang w:val="es-ES"/>
        </w:rPr>
        <w:t xml:space="preserve"> </w:t>
      </w:r>
      <w:r w:rsidR="00E03431" w:rsidRPr="00E67319">
        <w:rPr>
          <w:rFonts w:ascii="Book Antiqua" w:hAnsi="Book Antiqua"/>
          <w:strike/>
          <w:lang w:val="es-PR"/>
        </w:rPr>
        <w:t>conocida como “Ley de Compensación y Servicios a las Víctimas y Testigos de Delito”,</w:t>
      </w:r>
      <w:r w:rsidRPr="006075E7">
        <w:rPr>
          <w:rFonts w:ascii="Book Antiqua" w:hAnsi="Book Antiqua"/>
          <w:lang w:val="es-PR"/>
        </w:rPr>
        <w:t xml:space="preserve"> para que se lea como sigue:</w:t>
      </w:r>
    </w:p>
    <w:p w14:paraId="7D51D795" w14:textId="5A00C912" w:rsidR="00A50E3D" w:rsidRPr="006075E7" w:rsidRDefault="00A50E3D" w:rsidP="00A50E3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075E7">
        <w:rPr>
          <w:rFonts w:ascii="Book Antiqua" w:hAnsi="Book Antiqua"/>
          <w:lang w:val="es-PR"/>
        </w:rPr>
        <w:t>“Artículo 7.</w:t>
      </w:r>
      <w:r w:rsidR="006075E7">
        <w:rPr>
          <w:rFonts w:ascii="Book Antiqua" w:hAnsi="Book Antiqua"/>
          <w:lang w:val="es-PR"/>
        </w:rPr>
        <w:t>-</w:t>
      </w:r>
      <w:r w:rsidRPr="006075E7">
        <w:rPr>
          <w:rFonts w:ascii="Book Antiqua" w:hAnsi="Book Antiqua"/>
          <w:lang w:val="es-PR"/>
        </w:rPr>
        <w:t xml:space="preserve"> Impedimentos para Ofrecer Compensación. </w:t>
      </w:r>
    </w:p>
    <w:p w14:paraId="47C865D1" w14:textId="77777777" w:rsidR="00A50E3D" w:rsidRPr="006075E7" w:rsidRDefault="00A50E3D" w:rsidP="00A50E3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075E7">
        <w:rPr>
          <w:rFonts w:ascii="Book Antiqua" w:hAnsi="Book Antiqua"/>
          <w:lang w:val="es-PR"/>
        </w:rPr>
        <w:t xml:space="preserve">La Oficina estará impedida para conceder el pago de una compensación cuando estén presentes una o más de las siguientes circunstancias: </w:t>
      </w:r>
    </w:p>
    <w:p w14:paraId="6DF6D1F9" w14:textId="77777777" w:rsidR="00A50E3D" w:rsidRPr="006075E7" w:rsidRDefault="00A50E3D" w:rsidP="00A50E3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075E7">
        <w:rPr>
          <w:rFonts w:ascii="Book Antiqua" w:hAnsi="Book Antiqua"/>
          <w:lang w:val="es-PR"/>
        </w:rPr>
        <w:t>(a)…</w:t>
      </w:r>
    </w:p>
    <w:p w14:paraId="30E22F80" w14:textId="6197D1E8" w:rsidR="00A50E3D" w:rsidRPr="006075E7" w:rsidRDefault="00A50E3D" w:rsidP="00A50E3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075E7">
        <w:rPr>
          <w:rFonts w:ascii="Book Antiqua" w:hAnsi="Book Antiqua"/>
          <w:lang w:val="es-PR"/>
        </w:rPr>
        <w:t>(b) Cuando la víctima se encontraba incurriendo en una conducta delictiva al momento de los hechos</w:t>
      </w:r>
      <w:r w:rsidR="00266710">
        <w:rPr>
          <w:rFonts w:ascii="Book Antiqua" w:hAnsi="Book Antiqua"/>
          <w:lang w:val="es-PR"/>
        </w:rPr>
        <w:t xml:space="preserve"> </w:t>
      </w:r>
      <w:r w:rsidR="00266710">
        <w:rPr>
          <w:rFonts w:ascii="Book Antiqua" w:hAnsi="Book Antiqua"/>
          <w:i/>
          <w:iCs/>
          <w:u w:val="single"/>
          <w:lang w:val="es-PR"/>
        </w:rPr>
        <w:t>y dicha conducta contribuyó a la muerte o a los daños sufridos</w:t>
      </w:r>
      <w:r w:rsidRPr="006075E7">
        <w:rPr>
          <w:rFonts w:ascii="Book Antiqua" w:hAnsi="Book Antiqua"/>
          <w:lang w:val="es-PR"/>
        </w:rPr>
        <w:t xml:space="preserve">, salvo en el caso de una víctima de trata humana, siempre que la conducta fue causada por estar en condición de víctima de trata o guarde relación directa con ese delito. No </w:t>
      </w:r>
      <w:proofErr w:type="gramStart"/>
      <w:r w:rsidRPr="006075E7">
        <w:rPr>
          <w:rFonts w:ascii="Book Antiqua" w:hAnsi="Book Antiqua"/>
          <w:lang w:val="es-PR"/>
        </w:rPr>
        <w:t>obstante</w:t>
      </w:r>
      <w:proofErr w:type="gramEnd"/>
      <w:r w:rsidRPr="00AE7A21">
        <w:rPr>
          <w:rFonts w:ascii="Book Antiqua" w:hAnsi="Book Antiqua"/>
          <w:lang w:val="es-PR"/>
        </w:rPr>
        <w:t xml:space="preserve"> lo anterior</w:t>
      </w:r>
      <w:r w:rsidRPr="006075E7">
        <w:rPr>
          <w:rFonts w:ascii="Book Antiqua" w:hAnsi="Book Antiqua"/>
          <w:lang w:val="es-PR"/>
        </w:rPr>
        <w:t xml:space="preserve">, en los casos en que muera la víctima al llevar a cabo tal conducta delictiva, los dependientes o familiares menores de edad de </w:t>
      </w:r>
      <w:r w:rsidR="004F6CFE">
        <w:rPr>
          <w:rFonts w:ascii="Book Antiqua" w:hAnsi="Book Antiqua"/>
          <w:lang w:val="es-PR"/>
        </w:rPr>
        <w:t>e</w:t>
      </w:r>
      <w:r w:rsidRPr="006075E7">
        <w:rPr>
          <w:rFonts w:ascii="Book Antiqua" w:hAnsi="Book Antiqua"/>
          <w:lang w:val="es-PR"/>
        </w:rPr>
        <w:t xml:space="preserve">sta tendrán derecho a reclamar los gastos psicológicos en que hayan incurrido a consecuencia del delito y el beneficio de pérdida de sustento provisto por esta </w:t>
      </w:r>
      <w:r w:rsidR="004F6CFE">
        <w:rPr>
          <w:rFonts w:ascii="Book Antiqua" w:hAnsi="Book Antiqua"/>
          <w:lang w:val="es-PR"/>
        </w:rPr>
        <w:t>L</w:t>
      </w:r>
      <w:r w:rsidRPr="006075E7">
        <w:rPr>
          <w:rFonts w:ascii="Book Antiqua" w:hAnsi="Book Antiqua"/>
          <w:lang w:val="es-PR"/>
        </w:rPr>
        <w:t xml:space="preserve">ey en caso de muerte de la víctima. En los casos donde el estatus migratorio </w:t>
      </w:r>
      <w:r w:rsidR="00360457">
        <w:rPr>
          <w:rFonts w:ascii="Book Antiqua" w:hAnsi="Book Antiqua"/>
          <w:i/>
          <w:iCs/>
          <w:u w:val="single"/>
          <w:lang w:val="es-PR"/>
        </w:rPr>
        <w:t>de</w:t>
      </w:r>
      <w:r w:rsidR="00360457" w:rsidRPr="00360457">
        <w:rPr>
          <w:rFonts w:ascii="Book Antiqua" w:hAnsi="Book Antiqua"/>
          <w:i/>
          <w:iCs/>
          <w:lang w:val="es-PR"/>
        </w:rPr>
        <w:t xml:space="preserve"> </w:t>
      </w:r>
      <w:r w:rsidRPr="006075E7">
        <w:rPr>
          <w:rFonts w:ascii="Book Antiqua" w:hAnsi="Book Antiqua"/>
          <w:lang w:val="es-PR"/>
        </w:rPr>
        <w:t xml:space="preserve">la víctima sea ilegal y </w:t>
      </w:r>
      <w:r w:rsidR="004F6CFE">
        <w:rPr>
          <w:rFonts w:ascii="Book Antiqua" w:hAnsi="Book Antiqua"/>
          <w:lang w:val="es-PR"/>
        </w:rPr>
        <w:t>e</w:t>
      </w:r>
      <w:r w:rsidRPr="006075E7">
        <w:rPr>
          <w:rFonts w:ascii="Book Antiqua" w:hAnsi="Book Antiqua"/>
          <w:lang w:val="es-PR"/>
        </w:rPr>
        <w:t>sta haya solicitado protección bajo el “Violence Against Women Act” por caso de violencia doméstica o agresión sexual, sus dependientes o familiares menores de edad recibirán los beneficios de compensación que provee esta Ley. Así</w:t>
      </w:r>
      <w:r w:rsidR="004F6CFE">
        <w:rPr>
          <w:rFonts w:ascii="Book Antiqua" w:hAnsi="Book Antiqua"/>
          <w:lang w:val="es-PR"/>
        </w:rPr>
        <w:t xml:space="preserve"> </w:t>
      </w:r>
      <w:r w:rsidRPr="006075E7">
        <w:rPr>
          <w:rFonts w:ascii="Book Antiqua" w:hAnsi="Book Antiqua"/>
          <w:lang w:val="es-PR"/>
        </w:rPr>
        <w:t xml:space="preserve">mismo, se podrá ofrecer compensación a una víctima cuyo estatus </w:t>
      </w:r>
      <w:r w:rsidRPr="006075E7">
        <w:rPr>
          <w:rFonts w:ascii="Book Antiqua" w:hAnsi="Book Antiqua"/>
          <w:lang w:val="es-PR"/>
        </w:rPr>
        <w:lastRenderedPageBreak/>
        <w:t xml:space="preserve">migratorio sea ilegal cuando </w:t>
      </w:r>
      <w:r w:rsidRPr="0040131B">
        <w:rPr>
          <w:rFonts w:ascii="Book Antiqua" w:hAnsi="Book Antiqua"/>
          <w:strike/>
          <w:lang w:val="es-PR"/>
        </w:rPr>
        <w:t>este</w:t>
      </w:r>
      <w:r w:rsidRPr="006075E7">
        <w:rPr>
          <w:rFonts w:ascii="Book Antiqua" w:hAnsi="Book Antiqua"/>
          <w:lang w:val="es-PR"/>
        </w:rPr>
        <w:t xml:space="preserve"> </w:t>
      </w:r>
      <w:proofErr w:type="spellStart"/>
      <w:r w:rsidR="0040131B">
        <w:rPr>
          <w:rFonts w:ascii="Book Antiqua" w:hAnsi="Book Antiqua"/>
          <w:i/>
          <w:iCs/>
          <w:u w:val="single"/>
          <w:lang w:val="es-PR"/>
        </w:rPr>
        <w:t>esta</w:t>
      </w:r>
      <w:proofErr w:type="spellEnd"/>
      <w:r w:rsidR="0040131B" w:rsidRPr="0040131B">
        <w:rPr>
          <w:rFonts w:ascii="Book Antiqua" w:hAnsi="Book Antiqua"/>
          <w:i/>
          <w:iCs/>
          <w:lang w:val="es-PR"/>
        </w:rPr>
        <w:t xml:space="preserve"> </w:t>
      </w:r>
      <w:r w:rsidRPr="006075E7">
        <w:rPr>
          <w:rFonts w:ascii="Book Antiqua" w:hAnsi="Book Antiqua"/>
          <w:lang w:val="es-PR"/>
        </w:rPr>
        <w:t>coopere con las autoridades y sea elegible para recibir una visa U.</w:t>
      </w:r>
    </w:p>
    <w:p w14:paraId="231D4DF9" w14:textId="75C77716" w:rsidR="00A50E3D" w:rsidRPr="006075E7" w:rsidRDefault="00A50E3D" w:rsidP="00A50E3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075E7">
        <w:rPr>
          <w:rFonts w:ascii="Book Antiqua" w:hAnsi="Book Antiqua"/>
          <w:lang w:val="es-PR"/>
        </w:rPr>
        <w:t>…</w:t>
      </w:r>
    </w:p>
    <w:p w14:paraId="36451583" w14:textId="77777777" w:rsidR="00A50E3D" w:rsidRPr="006075E7" w:rsidRDefault="00A50E3D" w:rsidP="00A50E3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075E7">
        <w:rPr>
          <w:rFonts w:ascii="Book Antiqua" w:hAnsi="Book Antiqua"/>
          <w:lang w:val="es-PR"/>
        </w:rPr>
        <w:t>(f)…”</w:t>
      </w:r>
    </w:p>
    <w:p w14:paraId="13570415" w14:textId="0FEAF21D" w:rsidR="00A50E3D" w:rsidRPr="006075E7" w:rsidRDefault="00A50E3D" w:rsidP="00A50E3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075E7">
        <w:rPr>
          <w:rFonts w:ascii="Book Antiqua" w:hAnsi="Book Antiqua"/>
          <w:lang w:val="es-PR"/>
        </w:rPr>
        <w:t xml:space="preserve">Sección </w:t>
      </w:r>
      <w:proofErr w:type="gramStart"/>
      <w:r w:rsidRPr="006075E7">
        <w:rPr>
          <w:rFonts w:ascii="Book Antiqua" w:hAnsi="Book Antiqua"/>
          <w:lang w:val="es-PR"/>
        </w:rPr>
        <w:t>3.</w:t>
      </w:r>
      <w:r w:rsidR="006A3A5C" w:rsidRPr="006A3A5C">
        <w:rPr>
          <w:rFonts w:ascii="Book Antiqua" w:hAnsi="Book Antiqua"/>
          <w:i/>
          <w:iCs/>
          <w:u w:val="single"/>
          <w:lang w:val="es-PR"/>
        </w:rPr>
        <w:t>–</w:t>
      </w:r>
      <w:proofErr w:type="gramEnd"/>
      <w:r w:rsidR="006A3A5C">
        <w:rPr>
          <w:rFonts w:ascii="Book Antiqua" w:hAnsi="Book Antiqua"/>
          <w:i/>
          <w:iCs/>
          <w:u w:val="single"/>
          <w:lang w:val="es-PR"/>
        </w:rPr>
        <w:t xml:space="preserve"> Vigencia.</w:t>
      </w:r>
      <w:r w:rsidR="006A3A5C" w:rsidRPr="006A3A5C">
        <w:rPr>
          <w:rFonts w:ascii="Book Antiqua" w:hAnsi="Book Antiqua"/>
          <w:lang w:val="es-PR"/>
        </w:rPr>
        <w:t xml:space="preserve"> </w:t>
      </w:r>
      <w:r w:rsidRPr="002E09B4">
        <w:rPr>
          <w:rFonts w:ascii="Book Antiqua" w:hAnsi="Book Antiqua"/>
          <w:strike/>
          <w:lang w:val="es-PR"/>
        </w:rPr>
        <w:t>-Vigencia.</w:t>
      </w:r>
    </w:p>
    <w:p w14:paraId="5D53169C" w14:textId="237A387B" w:rsidR="00BA0F9A" w:rsidRDefault="00A50E3D" w:rsidP="006075E7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075E7">
        <w:rPr>
          <w:rFonts w:ascii="Book Antiqua" w:hAnsi="Book Antiqua"/>
          <w:lang w:val="es-PR"/>
        </w:rPr>
        <w:t xml:space="preserve">Esta Ley entrará en vigor inmediatamente después de su aprobación. </w:t>
      </w:r>
      <w:bookmarkEnd w:id="1"/>
    </w:p>
    <w:p w14:paraId="50ADDF50" w14:textId="77777777" w:rsidR="00393253" w:rsidRDefault="00393253" w:rsidP="00393253">
      <w:pPr>
        <w:suppressLineNumbers/>
        <w:ind w:left="3780" w:firstLine="270"/>
        <w:jc w:val="both"/>
        <w:rPr>
          <w:rFonts w:ascii="Book Antiqua" w:hAnsi="Book Antiqua"/>
          <w:szCs w:val="24"/>
          <w:lang w:val="es-PR" w:eastAsia="x-none"/>
        </w:rPr>
      </w:pPr>
    </w:p>
    <w:sectPr w:rsidR="00393253" w:rsidSect="00A50E3D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402FA" w14:textId="77777777" w:rsidR="008F069C" w:rsidRDefault="008F069C">
      <w:r>
        <w:separator/>
      </w:r>
    </w:p>
  </w:endnote>
  <w:endnote w:type="continuationSeparator" w:id="0">
    <w:p w14:paraId="2B06E64B" w14:textId="77777777" w:rsidR="008F069C" w:rsidRDefault="008F0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F50B5" w14:textId="77777777" w:rsidR="008F069C" w:rsidRDefault="008F069C">
      <w:r>
        <w:separator/>
      </w:r>
    </w:p>
  </w:footnote>
  <w:footnote w:type="continuationSeparator" w:id="0">
    <w:p w14:paraId="563FCC30" w14:textId="77777777" w:rsidR="008F069C" w:rsidRDefault="008F0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4A6C7" w14:textId="77777777" w:rsidR="00A50E3D" w:rsidRDefault="00A50E3D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2BDEE7DA" w14:textId="77777777" w:rsidR="00A50E3D" w:rsidRDefault="00A50E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31E40" w14:textId="77777777" w:rsidR="00A50E3D" w:rsidRDefault="00A50E3D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1</w:t>
    </w:r>
    <w:r>
      <w:rPr>
        <w:rStyle w:val="PageNumber"/>
        <w:rFonts w:eastAsiaTheme="majorEastAsia"/>
      </w:rPr>
      <w:t>3</w:t>
    </w:r>
    <w:r>
      <w:rPr>
        <w:rStyle w:val="PageNumber"/>
        <w:rFonts w:eastAsiaTheme="majorEastAsia"/>
      </w:rPr>
      <w:fldChar w:fldCharType="end"/>
    </w:r>
  </w:p>
  <w:p w14:paraId="023C3CCB" w14:textId="77777777" w:rsidR="00A50E3D" w:rsidRDefault="00A50E3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2BA92" w14:textId="77777777" w:rsidR="006075E7" w:rsidRDefault="006075E7" w:rsidP="006075E7">
    <w:pPr>
      <w:keepNext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szCs w:val="24"/>
        <w:lang w:val="es-ES"/>
      </w:rPr>
    </w:pPr>
    <w:bookmarkStart w:id="0" w:name="_Hlk36034857"/>
    <w:r w:rsidRPr="006075E7">
      <w:rPr>
        <w:rFonts w:ascii="Book Antiqua" w:eastAsia="MS Mincho" w:hAnsi="Book Antiqua" w:cs="Arial"/>
        <w:b/>
        <w:szCs w:val="24"/>
        <w:lang w:val="es-PR"/>
      </w:rPr>
      <w:t>TEXTO APROBADO EN VOTACIÓN FINAL POR EL SENADO</w:t>
    </w:r>
  </w:p>
  <w:p w14:paraId="0B0C2612" w14:textId="77777777" w:rsidR="006075E7" w:rsidRDefault="006075E7" w:rsidP="006075E7">
    <w:pPr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 w:cs="Arial"/>
        <w:b/>
        <w:szCs w:val="24"/>
        <w:lang w:val="es-PR"/>
      </w:rPr>
    </w:pPr>
    <w:r>
      <w:rPr>
        <w:rFonts w:ascii="Book Antiqua" w:eastAsia="MS Mincho" w:hAnsi="Book Antiqua" w:cs="Arial"/>
        <w:b/>
        <w:szCs w:val="24"/>
      </w:rPr>
      <w:t>(16 DE ABRIL DE 2026)</w:t>
    </w:r>
    <w:bookmarkEnd w:id="0"/>
  </w:p>
  <w:p w14:paraId="5E1EB94F" w14:textId="77777777" w:rsidR="00A50E3D" w:rsidRPr="00C60B4E" w:rsidRDefault="00A50E3D" w:rsidP="00C60B4E">
    <w:pPr>
      <w:pStyle w:val="Header"/>
      <w:jc w:val="right"/>
      <w:rPr>
        <w:lang w:val="en-US"/>
      </w:rPr>
    </w:pPr>
    <w:r>
      <w:rPr>
        <w:lang w:val="en-US"/>
      </w:rPr>
      <w:t>A-103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E3D"/>
    <w:rsid w:val="000259CF"/>
    <w:rsid w:val="00084050"/>
    <w:rsid w:val="00093D28"/>
    <w:rsid w:val="000D1588"/>
    <w:rsid w:val="000F2D92"/>
    <w:rsid w:val="00110B5B"/>
    <w:rsid w:val="00113451"/>
    <w:rsid w:val="00136FD8"/>
    <w:rsid w:val="00171D5C"/>
    <w:rsid w:val="0017726A"/>
    <w:rsid w:val="00187C7C"/>
    <w:rsid w:val="001D4246"/>
    <w:rsid w:val="00266710"/>
    <w:rsid w:val="002723E3"/>
    <w:rsid w:val="002D4D9A"/>
    <w:rsid w:val="002E09B4"/>
    <w:rsid w:val="0031625E"/>
    <w:rsid w:val="003504B9"/>
    <w:rsid w:val="00360457"/>
    <w:rsid w:val="003760B9"/>
    <w:rsid w:val="00376AE3"/>
    <w:rsid w:val="00393253"/>
    <w:rsid w:val="003E4C28"/>
    <w:rsid w:val="0040131B"/>
    <w:rsid w:val="00405C3F"/>
    <w:rsid w:val="0043239D"/>
    <w:rsid w:val="004F6CFE"/>
    <w:rsid w:val="00565EAF"/>
    <w:rsid w:val="00567681"/>
    <w:rsid w:val="00584F5D"/>
    <w:rsid w:val="005D559B"/>
    <w:rsid w:val="006075E7"/>
    <w:rsid w:val="00614AAC"/>
    <w:rsid w:val="00630EE6"/>
    <w:rsid w:val="006439AC"/>
    <w:rsid w:val="00660E9D"/>
    <w:rsid w:val="00692799"/>
    <w:rsid w:val="006A3A5C"/>
    <w:rsid w:val="006B7D7E"/>
    <w:rsid w:val="006E703A"/>
    <w:rsid w:val="00760579"/>
    <w:rsid w:val="007939AE"/>
    <w:rsid w:val="007A167B"/>
    <w:rsid w:val="007A71C3"/>
    <w:rsid w:val="008223A3"/>
    <w:rsid w:val="00866B7D"/>
    <w:rsid w:val="00883CE5"/>
    <w:rsid w:val="00893C56"/>
    <w:rsid w:val="008C4531"/>
    <w:rsid w:val="008C6F2E"/>
    <w:rsid w:val="008D007F"/>
    <w:rsid w:val="008F069C"/>
    <w:rsid w:val="00990E02"/>
    <w:rsid w:val="009B292C"/>
    <w:rsid w:val="009C66EF"/>
    <w:rsid w:val="00A02D4E"/>
    <w:rsid w:val="00A17FF9"/>
    <w:rsid w:val="00A50E3D"/>
    <w:rsid w:val="00A66118"/>
    <w:rsid w:val="00A76F53"/>
    <w:rsid w:val="00AA5D10"/>
    <w:rsid w:val="00AE7A21"/>
    <w:rsid w:val="00B94642"/>
    <w:rsid w:val="00BA0F9A"/>
    <w:rsid w:val="00BA53AD"/>
    <w:rsid w:val="00CE47A6"/>
    <w:rsid w:val="00D34CBD"/>
    <w:rsid w:val="00D61BAF"/>
    <w:rsid w:val="00DA178D"/>
    <w:rsid w:val="00DC1D8E"/>
    <w:rsid w:val="00DF3918"/>
    <w:rsid w:val="00E03431"/>
    <w:rsid w:val="00E67319"/>
    <w:rsid w:val="00E7222B"/>
    <w:rsid w:val="00ED70A7"/>
    <w:rsid w:val="00F06D4A"/>
    <w:rsid w:val="00F505E2"/>
    <w:rsid w:val="00F84EF4"/>
    <w:rsid w:val="00FC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501AE"/>
  <w15:chartTrackingRefBased/>
  <w15:docId w15:val="{B2CA9D9F-5982-46F5-925D-999209732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0E3D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50E3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0E3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0E3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0E3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0E3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0E3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0E3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0E3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0E3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0E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0E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0E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0E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0E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0E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0E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0E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0E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0E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50E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0E3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50E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0E3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50E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0E3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50E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0E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0E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0E3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qFormat/>
    <w:rsid w:val="00A50E3D"/>
    <w:pPr>
      <w:tabs>
        <w:tab w:val="center" w:pos="4320"/>
        <w:tab w:val="right" w:pos="8640"/>
      </w:tabs>
    </w:pPr>
    <w:rPr>
      <w:lang w:val="zh-CN"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A50E3D"/>
    <w:rPr>
      <w:rFonts w:ascii="Times New Roman" w:eastAsia="Times New Roman" w:hAnsi="Times New Roman" w:cs="Times New Roman"/>
      <w:kern w:val="0"/>
      <w:szCs w:val="20"/>
      <w:lang w:val="zh-CN" w:eastAsia="zh-CN"/>
      <w14:ligatures w14:val="none"/>
    </w:rPr>
  </w:style>
  <w:style w:type="character" w:styleId="PageNumber">
    <w:name w:val="page number"/>
    <w:basedOn w:val="DefaultParagraphFont"/>
    <w:qFormat/>
    <w:rsid w:val="00A50E3D"/>
  </w:style>
  <w:style w:type="paragraph" w:customStyle="1" w:styleId="Title2">
    <w:name w:val="Title2"/>
    <w:basedOn w:val="Normal"/>
    <w:next w:val="Normal"/>
    <w:qFormat/>
    <w:rsid w:val="00A50E3D"/>
    <w:pPr>
      <w:tabs>
        <w:tab w:val="left" w:pos="648"/>
        <w:tab w:val="right" w:pos="7776"/>
        <w:tab w:val="left" w:pos="7848"/>
      </w:tabs>
    </w:pPr>
  </w:style>
  <w:style w:type="paragraph" w:styleId="NoSpacing">
    <w:name w:val="No Spacing"/>
    <w:uiPriority w:val="1"/>
    <w:qFormat/>
    <w:rsid w:val="00A50E3D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A50E3D"/>
  </w:style>
  <w:style w:type="paragraph" w:styleId="Footer">
    <w:name w:val="footer"/>
    <w:basedOn w:val="Normal"/>
    <w:link w:val="FooterChar"/>
    <w:uiPriority w:val="99"/>
    <w:unhideWhenUsed/>
    <w:rsid w:val="006075E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75E7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76866C-FFB3-4BC7-8FEF-3397298719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55342F-9422-4BE5-BC2D-8891C7FDBDCA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3.xml><?xml version="1.0" encoding="utf-8"?>
<ds:datastoreItem xmlns:ds="http://schemas.openxmlformats.org/officeDocument/2006/customXml" ds:itemID="{47D2E325-C770-4756-9865-61CF393BA3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8583A0-1123-463E-BB0D-3A5AB35F6C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762</Words>
  <Characters>4347</Characters>
  <Application>Microsoft Office Word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M. Blakeman Trujillo (Com. Innovación)</dc:creator>
  <cp:keywords/>
  <dc:description/>
  <cp:lastModifiedBy>Camyl Moreno Pantojas</cp:lastModifiedBy>
  <cp:revision>2</cp:revision>
  <cp:lastPrinted>2026-04-20T14:31:00Z</cp:lastPrinted>
  <dcterms:created xsi:type="dcterms:W3CDTF">2026-05-22T18:56:00Z</dcterms:created>
  <dcterms:modified xsi:type="dcterms:W3CDTF">2026-05-22T18:56:00Z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</Properties>
</file>