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166079" w14:textId="77777777" w:rsidR="00FF6BD2" w:rsidRPr="006A10FD" w:rsidRDefault="006A10FD" w:rsidP="00FE4A11">
      <w:pPr>
        <w:jc w:val="center"/>
        <w:rPr>
          <w:rFonts w:ascii="Book Antiqua" w:hAnsi="Book Antiqua"/>
          <w:sz w:val="28"/>
          <w:lang w:val="es-PR"/>
        </w:rPr>
      </w:pPr>
      <w:r w:rsidRPr="006A10FD">
        <w:rPr>
          <w:rFonts w:ascii="Book Antiqua" w:hAnsi="Book Antiqua"/>
          <w:sz w:val="28"/>
          <w:lang w:val="es-PR"/>
        </w:rPr>
        <w:t>GOBIERNO DE PUERTO RICO</w:t>
      </w:r>
    </w:p>
    <w:p w14:paraId="637FD700" w14:textId="77777777" w:rsidR="006A10FD" w:rsidRPr="00FE4A11" w:rsidRDefault="006A10FD" w:rsidP="00FE4A11">
      <w:pPr>
        <w:jc w:val="center"/>
        <w:rPr>
          <w:rFonts w:ascii="Book Antiqua" w:hAnsi="Book Antiqua"/>
          <w:lang w:val="es-PR"/>
        </w:rPr>
      </w:pPr>
    </w:p>
    <w:p w14:paraId="3A67FB0F" w14:textId="1998350E" w:rsidR="006A10FD" w:rsidRPr="006A10FD" w:rsidRDefault="0099272E" w:rsidP="00FE4A11">
      <w:pPr>
        <w:pStyle w:val="Title2"/>
        <w:tabs>
          <w:tab w:val="clear" w:pos="7776"/>
        </w:tabs>
        <w:rPr>
          <w:rFonts w:ascii="Book Antiqua" w:hAnsi="Book Antiqua"/>
          <w:lang w:val="es-PR"/>
        </w:rPr>
      </w:pPr>
      <w:r>
        <w:rPr>
          <w:rFonts w:ascii="Book Antiqua" w:hAnsi="Book Antiqua"/>
          <w:lang w:val="es-PR"/>
        </w:rPr>
        <w:t>20m</w:t>
      </w:r>
      <w:r w:rsidR="00FE4A11">
        <w:rPr>
          <w:rFonts w:ascii="Book Antiqua" w:hAnsi="Book Antiqua"/>
          <w:lang w:val="es-PR"/>
        </w:rPr>
        <w:t xml:space="preserve">a. </w:t>
      </w:r>
      <w:r w:rsidR="006A10FD" w:rsidRPr="006A10FD">
        <w:rPr>
          <w:rFonts w:ascii="Book Antiqua" w:hAnsi="Book Antiqua"/>
          <w:lang w:val="es-PR"/>
        </w:rPr>
        <w:t>Asamblea</w:t>
      </w:r>
      <w:r w:rsidR="006A10FD" w:rsidRPr="006A10FD">
        <w:rPr>
          <w:rFonts w:ascii="Book Antiqua" w:hAnsi="Book Antiqua"/>
          <w:lang w:val="es-PR"/>
        </w:rPr>
        <w:tab/>
        <w:t>3</w:t>
      </w:r>
      <w:r w:rsidR="00FE4A11">
        <w:rPr>
          <w:rFonts w:ascii="Book Antiqua" w:hAnsi="Book Antiqua"/>
          <w:lang w:val="es-PR"/>
        </w:rPr>
        <w:t xml:space="preserve">ra. </w:t>
      </w:r>
      <w:r w:rsidR="006A10FD" w:rsidRPr="006A10FD">
        <w:rPr>
          <w:rFonts w:ascii="Book Antiqua" w:hAnsi="Book Antiqua"/>
          <w:lang w:val="es-PR"/>
        </w:rPr>
        <w:t>Sesión</w:t>
      </w:r>
    </w:p>
    <w:p w14:paraId="4217430B" w14:textId="77777777" w:rsidR="006A10FD" w:rsidRPr="006A10FD" w:rsidRDefault="006A10FD" w:rsidP="00FE4A11">
      <w:pPr>
        <w:pStyle w:val="Title2"/>
        <w:tabs>
          <w:tab w:val="clear" w:pos="7776"/>
        </w:tabs>
        <w:rPr>
          <w:rFonts w:ascii="Book Antiqua" w:hAnsi="Book Antiqua"/>
          <w:lang w:val="es-PR"/>
        </w:rPr>
      </w:pPr>
      <w:r w:rsidRPr="006A10FD">
        <w:rPr>
          <w:rFonts w:ascii="Book Antiqua" w:hAnsi="Book Antiqua"/>
          <w:lang w:val="es-PR"/>
        </w:rPr>
        <w:tab/>
        <w:t>Legislativa</w:t>
      </w:r>
      <w:r w:rsidRPr="006A10FD">
        <w:rPr>
          <w:rFonts w:ascii="Book Antiqua" w:hAnsi="Book Antiqua"/>
          <w:lang w:val="es-PR"/>
        </w:rPr>
        <w:tab/>
      </w:r>
      <w:r w:rsidRPr="006A10FD">
        <w:rPr>
          <w:rFonts w:ascii="Book Antiqua" w:hAnsi="Book Antiqua"/>
          <w:lang w:val="es-PR"/>
        </w:rPr>
        <w:tab/>
      </w:r>
      <w:r w:rsidR="00FE4A11">
        <w:rPr>
          <w:rFonts w:ascii="Book Antiqua" w:hAnsi="Book Antiqua"/>
          <w:lang w:val="es-PR"/>
        </w:rPr>
        <w:t xml:space="preserve">      </w:t>
      </w:r>
      <w:r w:rsidRPr="006A10FD">
        <w:rPr>
          <w:rFonts w:ascii="Book Antiqua" w:hAnsi="Book Antiqua"/>
          <w:lang w:val="es-PR"/>
        </w:rPr>
        <w:t>Ordinaria</w:t>
      </w:r>
    </w:p>
    <w:p w14:paraId="1173D99C" w14:textId="77777777" w:rsidR="006A10FD" w:rsidRPr="006A10FD" w:rsidRDefault="006A10FD" w:rsidP="00FE4A11">
      <w:pPr>
        <w:rPr>
          <w:lang w:val="es-PR"/>
        </w:rPr>
      </w:pPr>
    </w:p>
    <w:p w14:paraId="246FFCA2" w14:textId="77777777" w:rsidR="006A10FD" w:rsidRPr="006A10FD" w:rsidRDefault="006A10FD" w:rsidP="00FE4A11">
      <w:pPr>
        <w:jc w:val="center"/>
        <w:rPr>
          <w:rFonts w:ascii="Book Antiqua" w:hAnsi="Book Antiqua"/>
          <w:b/>
          <w:sz w:val="36"/>
          <w:lang w:val="es-PR"/>
        </w:rPr>
      </w:pPr>
      <w:r w:rsidRPr="006A10FD">
        <w:rPr>
          <w:rFonts w:ascii="Book Antiqua" w:hAnsi="Book Antiqua"/>
          <w:b/>
          <w:sz w:val="36"/>
          <w:lang w:val="es-PR"/>
        </w:rPr>
        <w:t>CÁMARA DE REPRESENTANTES</w:t>
      </w:r>
    </w:p>
    <w:p w14:paraId="773B86D9" w14:textId="77777777" w:rsidR="006A10FD" w:rsidRPr="00FE4A11" w:rsidRDefault="006A10FD" w:rsidP="00FE4A11">
      <w:pPr>
        <w:jc w:val="center"/>
        <w:rPr>
          <w:rFonts w:ascii="Book Antiqua" w:hAnsi="Book Antiqua"/>
          <w:b/>
          <w:lang w:val="es-PR"/>
        </w:rPr>
      </w:pPr>
    </w:p>
    <w:p w14:paraId="41B13548" w14:textId="491DB828" w:rsidR="006A10FD" w:rsidRDefault="006A10FD" w:rsidP="00FE4A11">
      <w:pPr>
        <w:jc w:val="center"/>
        <w:rPr>
          <w:rFonts w:ascii="Book Antiqua" w:hAnsi="Book Antiqua"/>
          <w:b/>
          <w:sz w:val="52"/>
          <w:lang w:val="es-PR"/>
        </w:rPr>
      </w:pPr>
      <w:r w:rsidRPr="006A10FD">
        <w:rPr>
          <w:rFonts w:ascii="Book Antiqua" w:hAnsi="Book Antiqua"/>
          <w:b/>
          <w:sz w:val="52"/>
          <w:lang w:val="es-PR"/>
        </w:rPr>
        <w:t xml:space="preserve">P. de la C. </w:t>
      </w:r>
      <w:r w:rsidR="00327F2E">
        <w:rPr>
          <w:rFonts w:ascii="Book Antiqua" w:hAnsi="Book Antiqua"/>
          <w:b/>
          <w:sz w:val="52"/>
          <w:lang w:val="es-PR"/>
        </w:rPr>
        <w:t>1038</w:t>
      </w:r>
    </w:p>
    <w:p w14:paraId="4655EE23" w14:textId="77777777" w:rsidR="00FE4A11" w:rsidRPr="00D64218" w:rsidRDefault="00FE4A11" w:rsidP="00FE4A11">
      <w:pPr>
        <w:jc w:val="center"/>
        <w:rPr>
          <w:rFonts w:ascii="Book Antiqua" w:hAnsi="Book Antiqua"/>
          <w:b/>
          <w:szCs w:val="24"/>
          <w:lang w:val="es-PR"/>
        </w:rPr>
      </w:pPr>
    </w:p>
    <w:p w14:paraId="699D8C87" w14:textId="1DF89EE7" w:rsidR="006A10FD" w:rsidRDefault="0099272E" w:rsidP="00FE4A11">
      <w:pPr>
        <w:jc w:val="center"/>
        <w:rPr>
          <w:rFonts w:ascii="Book Antiqua" w:hAnsi="Book Antiqua"/>
          <w:lang w:val="es-PR"/>
        </w:rPr>
      </w:pPr>
      <w:r>
        <w:rPr>
          <w:rFonts w:ascii="Book Antiqua" w:hAnsi="Book Antiqua"/>
          <w:lang w:val="es-PR"/>
        </w:rPr>
        <w:t>1</w:t>
      </w:r>
      <w:r w:rsidR="006A10FD" w:rsidRPr="006A10FD">
        <w:rPr>
          <w:rFonts w:ascii="Book Antiqua" w:hAnsi="Book Antiqua"/>
          <w:lang w:val="es-PR"/>
        </w:rPr>
        <w:t xml:space="preserve">2 DE </w:t>
      </w:r>
      <w:r>
        <w:rPr>
          <w:rFonts w:ascii="Book Antiqua" w:hAnsi="Book Antiqua"/>
          <w:lang w:val="es-PR"/>
        </w:rPr>
        <w:t>ENERO</w:t>
      </w:r>
      <w:r w:rsidR="006A10FD" w:rsidRPr="006A10FD">
        <w:rPr>
          <w:rFonts w:ascii="Book Antiqua" w:hAnsi="Book Antiqua"/>
          <w:lang w:val="es-PR"/>
        </w:rPr>
        <w:t xml:space="preserve"> DE 20</w:t>
      </w:r>
      <w:r>
        <w:rPr>
          <w:rFonts w:ascii="Book Antiqua" w:hAnsi="Book Antiqua"/>
          <w:lang w:val="es-PR"/>
        </w:rPr>
        <w:t>26</w:t>
      </w:r>
    </w:p>
    <w:p w14:paraId="5C2512C0" w14:textId="77777777" w:rsidR="00FE4A11" w:rsidRPr="006A10FD" w:rsidRDefault="00FE4A11" w:rsidP="00FE4A11">
      <w:pPr>
        <w:jc w:val="center"/>
        <w:rPr>
          <w:rFonts w:ascii="Book Antiqua" w:hAnsi="Book Antiqua"/>
          <w:lang w:val="es-PR"/>
        </w:rPr>
      </w:pPr>
    </w:p>
    <w:p w14:paraId="154D2552" w14:textId="218C3815" w:rsidR="006A10FD" w:rsidRDefault="006A10FD" w:rsidP="00FE4A11">
      <w:pPr>
        <w:jc w:val="center"/>
        <w:rPr>
          <w:rFonts w:ascii="Book Antiqua" w:hAnsi="Book Antiqua"/>
          <w:i/>
          <w:lang w:val="es-PR"/>
        </w:rPr>
      </w:pPr>
      <w:r w:rsidRPr="006A10FD">
        <w:rPr>
          <w:rFonts w:ascii="Book Antiqua" w:hAnsi="Book Antiqua"/>
          <w:lang w:val="es-PR"/>
        </w:rPr>
        <w:t xml:space="preserve">Presentado por </w:t>
      </w:r>
      <w:r w:rsidR="0099272E">
        <w:rPr>
          <w:rFonts w:ascii="Book Antiqua" w:hAnsi="Book Antiqua"/>
          <w:lang w:val="es-PR"/>
        </w:rPr>
        <w:t>el</w:t>
      </w:r>
      <w:r w:rsidRPr="006A10FD">
        <w:rPr>
          <w:rFonts w:ascii="Book Antiqua" w:hAnsi="Book Antiqua"/>
          <w:lang w:val="es-PR"/>
        </w:rPr>
        <w:t xml:space="preserve"> representante </w:t>
      </w:r>
      <w:r w:rsidR="0099272E">
        <w:rPr>
          <w:rFonts w:ascii="Book Antiqua" w:hAnsi="Book Antiqua"/>
          <w:lang w:val="es-PR"/>
        </w:rPr>
        <w:t>Franqui Atiles</w:t>
      </w:r>
    </w:p>
    <w:p w14:paraId="4B9D7EE6" w14:textId="77777777" w:rsidR="00FE4A11" w:rsidRDefault="00FE4A11" w:rsidP="00FE4A11">
      <w:pPr>
        <w:jc w:val="center"/>
        <w:rPr>
          <w:rFonts w:ascii="Book Antiqua" w:hAnsi="Book Antiqua"/>
          <w:i/>
          <w:lang w:val="es-PR"/>
        </w:rPr>
      </w:pPr>
    </w:p>
    <w:p w14:paraId="5817DF04" w14:textId="5B6CAB48" w:rsidR="00702BF0" w:rsidRPr="00702BF0" w:rsidRDefault="00702BF0" w:rsidP="00FE4A11">
      <w:pPr>
        <w:jc w:val="center"/>
        <w:rPr>
          <w:rFonts w:ascii="Book Antiqua" w:hAnsi="Book Antiqua"/>
          <w:iCs/>
          <w:lang w:val="es-PR"/>
        </w:rPr>
      </w:pPr>
      <w:r>
        <w:rPr>
          <w:rFonts w:ascii="Book Antiqua" w:hAnsi="Book Antiqua"/>
          <w:iCs/>
          <w:lang w:val="es-PR"/>
        </w:rPr>
        <w:t>Referido a la Comisión de Banca, Seguros y Comercio</w:t>
      </w:r>
    </w:p>
    <w:p w14:paraId="28A427FE" w14:textId="77777777" w:rsidR="006A10FD" w:rsidRPr="006A10FD" w:rsidRDefault="006A10FD" w:rsidP="00FE4A11">
      <w:pPr>
        <w:jc w:val="both"/>
        <w:rPr>
          <w:rFonts w:ascii="Book Antiqua" w:hAnsi="Book Antiqua"/>
          <w:lang w:val="es-PR"/>
        </w:rPr>
      </w:pPr>
    </w:p>
    <w:p w14:paraId="3C9F1005" w14:textId="77777777" w:rsidR="006A10FD" w:rsidRPr="006A10FD" w:rsidRDefault="006A10FD" w:rsidP="00FE4A11">
      <w:pPr>
        <w:jc w:val="center"/>
        <w:rPr>
          <w:rFonts w:ascii="Book Antiqua" w:hAnsi="Book Antiqua"/>
          <w:b/>
          <w:sz w:val="28"/>
          <w:lang w:val="es-PR"/>
        </w:rPr>
      </w:pPr>
      <w:r w:rsidRPr="006A10FD">
        <w:rPr>
          <w:rFonts w:ascii="Book Antiqua" w:hAnsi="Book Antiqua"/>
          <w:b/>
          <w:sz w:val="28"/>
          <w:lang w:val="es-PR"/>
        </w:rPr>
        <w:t>LEY</w:t>
      </w:r>
    </w:p>
    <w:p w14:paraId="3D365400" w14:textId="77777777" w:rsidR="006A10FD" w:rsidRPr="006A10FD" w:rsidRDefault="006A10FD" w:rsidP="00FE4A11">
      <w:pPr>
        <w:jc w:val="both"/>
        <w:rPr>
          <w:rFonts w:ascii="Book Antiqua" w:hAnsi="Book Antiqua"/>
          <w:lang w:val="es-PR"/>
        </w:rPr>
      </w:pPr>
    </w:p>
    <w:p w14:paraId="68416913" w14:textId="1ECD9CAF" w:rsidR="006A10FD" w:rsidRDefault="006A10FD" w:rsidP="00FE4A11">
      <w:pPr>
        <w:ind w:left="720" w:hanging="720"/>
        <w:jc w:val="both"/>
        <w:rPr>
          <w:rFonts w:ascii="Book Antiqua" w:hAnsi="Book Antiqua"/>
          <w:szCs w:val="24"/>
          <w:lang w:val="es-PR"/>
        </w:rPr>
      </w:pPr>
      <w:r w:rsidRPr="006A10FD">
        <w:rPr>
          <w:rFonts w:ascii="Book Antiqua" w:hAnsi="Book Antiqua"/>
          <w:lang w:val="es-PR"/>
        </w:rPr>
        <w:t xml:space="preserve">Para </w:t>
      </w:r>
      <w:r w:rsidRPr="006A10FD">
        <w:rPr>
          <w:rFonts w:ascii="Book Antiqua" w:hAnsi="Book Antiqua"/>
          <w:szCs w:val="24"/>
          <w:lang w:val="es-PR"/>
        </w:rPr>
        <w:t xml:space="preserve">enmendar el </w:t>
      </w:r>
      <w:r w:rsidR="0099272E">
        <w:rPr>
          <w:rFonts w:ascii="Book Antiqua" w:hAnsi="Book Antiqua"/>
          <w:szCs w:val="24"/>
          <w:lang w:val="es-PR"/>
        </w:rPr>
        <w:t xml:space="preserve">inciso (c) del Articulo 14 de la Ley Núm. 106 de 28 junio de 1965, según enmendada, conocida como la “Ley de Préstamos Personales Pequeños” a los fines de flexibilizar los </w:t>
      </w:r>
      <w:r w:rsidR="00874DBD">
        <w:rPr>
          <w:rFonts w:ascii="Book Antiqua" w:hAnsi="Book Antiqua"/>
          <w:szCs w:val="24"/>
          <w:lang w:val="es-PR"/>
        </w:rPr>
        <w:t>requisitos de activos</w:t>
      </w:r>
      <w:r w:rsidR="0099272E">
        <w:rPr>
          <w:rFonts w:ascii="Book Antiqua" w:hAnsi="Book Antiqua"/>
          <w:szCs w:val="24"/>
          <w:lang w:val="es-PR"/>
        </w:rPr>
        <w:t xml:space="preserve"> mínimos que se le requieren a los concesionarios</w:t>
      </w:r>
      <w:r w:rsidRPr="006A10FD">
        <w:rPr>
          <w:rFonts w:ascii="Book Antiqua" w:hAnsi="Book Antiqua"/>
          <w:szCs w:val="24"/>
          <w:lang w:val="es-PR"/>
        </w:rPr>
        <w:t>.</w:t>
      </w:r>
    </w:p>
    <w:p w14:paraId="3068FF61" w14:textId="77777777" w:rsidR="00FE4A11" w:rsidRPr="006A10FD" w:rsidRDefault="00FE4A11" w:rsidP="00FE4A11">
      <w:pPr>
        <w:ind w:left="720" w:hanging="720"/>
        <w:jc w:val="both"/>
        <w:rPr>
          <w:rFonts w:ascii="Book Antiqua" w:hAnsi="Book Antiqua"/>
          <w:lang w:val="es-PR"/>
        </w:rPr>
      </w:pPr>
    </w:p>
    <w:p w14:paraId="471A0148" w14:textId="77777777" w:rsidR="006A10FD" w:rsidRDefault="006A10FD" w:rsidP="00FE4A11">
      <w:pPr>
        <w:jc w:val="center"/>
        <w:rPr>
          <w:rFonts w:ascii="Book Antiqua" w:hAnsi="Book Antiqua"/>
          <w:lang w:val="es-PR"/>
        </w:rPr>
      </w:pPr>
      <w:r w:rsidRPr="006A10FD">
        <w:rPr>
          <w:rFonts w:ascii="Book Antiqua" w:hAnsi="Book Antiqua"/>
          <w:lang w:val="es-PR"/>
        </w:rPr>
        <w:t>EXPOSICIÓN DE MOTIVOS</w:t>
      </w:r>
    </w:p>
    <w:p w14:paraId="4BB00737" w14:textId="77777777" w:rsidR="00FE4A11" w:rsidRPr="006A10FD" w:rsidRDefault="00FE4A11" w:rsidP="00FE4A11">
      <w:pPr>
        <w:ind w:firstLine="360"/>
        <w:jc w:val="center"/>
        <w:rPr>
          <w:rFonts w:ascii="Book Antiqua" w:hAnsi="Book Antiqua"/>
          <w:lang w:val="es-PR"/>
        </w:rPr>
      </w:pPr>
    </w:p>
    <w:p w14:paraId="44B7F00A" w14:textId="77777777" w:rsidR="00E27096" w:rsidRDefault="00E27096" w:rsidP="00E27096">
      <w:pPr>
        <w:ind w:firstLine="360"/>
        <w:jc w:val="both"/>
        <w:rPr>
          <w:rFonts w:ascii="Book Antiqua" w:hAnsi="Book Antiqua"/>
          <w:lang w:val="es-PR"/>
        </w:rPr>
      </w:pPr>
      <w:r w:rsidRPr="00E27096">
        <w:rPr>
          <w:rFonts w:ascii="Book Antiqua" w:hAnsi="Book Antiqua"/>
          <w:lang w:val="es-PR"/>
        </w:rPr>
        <w:t>La presente legislación tiene el propósito de enmendar la Ley Núm. 106 de 28 de junio de 1965, según enmendada, conocida como la "Ley de Préstamos Personales Pequeños", para revisar el requisito de activos mínimos que se le requiere a todo concesionario, de forma que se atempere a los requisitos establecidos en la mayoría de las jurisdicciones de los Estados Unidos y a los estándares ya vigentes en otras leyes de Puerto Rico que regulan actividades financieras, y modernizar los requisitos de divulgación de tasas de interés.</w:t>
      </w:r>
    </w:p>
    <w:p w14:paraId="6A5D5C61" w14:textId="77777777" w:rsidR="00874DBD" w:rsidRPr="00E27096" w:rsidRDefault="00874DBD" w:rsidP="00E27096">
      <w:pPr>
        <w:ind w:firstLine="360"/>
        <w:jc w:val="both"/>
        <w:rPr>
          <w:rFonts w:ascii="Book Antiqua" w:hAnsi="Book Antiqua"/>
          <w:lang w:val="es-PR"/>
        </w:rPr>
      </w:pPr>
    </w:p>
    <w:p w14:paraId="61A532F0" w14:textId="47EB14C8" w:rsidR="00E27096" w:rsidRDefault="00E27096" w:rsidP="00E27096">
      <w:pPr>
        <w:ind w:firstLine="360"/>
        <w:jc w:val="both"/>
        <w:rPr>
          <w:rFonts w:ascii="Book Antiqua" w:hAnsi="Book Antiqua"/>
          <w:lang w:val="es-PR"/>
        </w:rPr>
      </w:pPr>
      <w:r w:rsidRPr="00E27096">
        <w:rPr>
          <w:rFonts w:ascii="Book Antiqua" w:hAnsi="Book Antiqua"/>
          <w:lang w:val="es-PR"/>
        </w:rPr>
        <w:t>En particular, est</w:t>
      </w:r>
      <w:r w:rsidR="00874DBD">
        <w:rPr>
          <w:rFonts w:ascii="Book Antiqua" w:hAnsi="Book Antiqua"/>
          <w:lang w:val="es-PR"/>
        </w:rPr>
        <w:t>e proyecto busca</w:t>
      </w:r>
      <w:r w:rsidRPr="00E27096">
        <w:rPr>
          <w:rFonts w:ascii="Book Antiqua" w:hAnsi="Book Antiqua"/>
          <w:lang w:val="es-PR"/>
        </w:rPr>
        <w:t xml:space="preserve"> armoniza</w:t>
      </w:r>
      <w:r w:rsidR="00874DBD">
        <w:rPr>
          <w:rFonts w:ascii="Book Antiqua" w:hAnsi="Book Antiqua"/>
          <w:lang w:val="es-PR"/>
        </w:rPr>
        <w:t>r</w:t>
      </w:r>
      <w:r w:rsidRPr="00E27096">
        <w:rPr>
          <w:rFonts w:ascii="Book Antiqua" w:hAnsi="Book Antiqua"/>
          <w:lang w:val="es-PR"/>
        </w:rPr>
        <w:t xml:space="preserve"> la Ley 106 </w:t>
      </w:r>
      <w:r w:rsidR="00874DBD" w:rsidRPr="00874DBD">
        <w:rPr>
          <w:rFonts w:ascii="Book Antiqua" w:hAnsi="Book Antiqua"/>
          <w:lang w:val="es-PR"/>
        </w:rPr>
        <w:t>de 28 de junio de 1965</w:t>
      </w:r>
      <w:r w:rsidR="00874DBD">
        <w:rPr>
          <w:rFonts w:ascii="Book Antiqua" w:hAnsi="Book Antiqua"/>
          <w:lang w:val="es-PR"/>
        </w:rPr>
        <w:t xml:space="preserve">, </w:t>
      </w:r>
      <w:r w:rsidR="00874DBD" w:rsidRPr="00874DBD">
        <w:rPr>
          <w:rFonts w:ascii="Book Antiqua" w:hAnsi="Book Antiqua"/>
          <w:lang w:val="es-PR"/>
        </w:rPr>
        <w:t>“Ley de Préstamos Personales Pequeños</w:t>
      </w:r>
      <w:r w:rsidR="00874DBD">
        <w:rPr>
          <w:rFonts w:ascii="Book Antiqua" w:hAnsi="Book Antiqua"/>
          <w:lang w:val="es-PR"/>
        </w:rPr>
        <w:t>”</w:t>
      </w:r>
      <w:r w:rsidR="00874DBD" w:rsidRPr="00874DBD">
        <w:rPr>
          <w:rFonts w:ascii="Book Antiqua" w:hAnsi="Book Antiqua"/>
          <w:lang w:val="es-PR"/>
        </w:rPr>
        <w:t>,</w:t>
      </w:r>
      <w:r w:rsidR="00874DBD">
        <w:rPr>
          <w:rFonts w:ascii="Book Antiqua" w:hAnsi="Book Antiqua"/>
          <w:lang w:val="es-PR"/>
        </w:rPr>
        <w:t xml:space="preserve"> según enmendada,</w:t>
      </w:r>
      <w:r w:rsidR="00874DBD" w:rsidRPr="00874DBD">
        <w:rPr>
          <w:rFonts w:ascii="Book Antiqua" w:hAnsi="Book Antiqua"/>
          <w:lang w:val="es-PR"/>
        </w:rPr>
        <w:t xml:space="preserve"> </w:t>
      </w:r>
      <w:r w:rsidRPr="00E27096">
        <w:rPr>
          <w:rFonts w:ascii="Book Antiqua" w:hAnsi="Book Antiqua"/>
          <w:lang w:val="es-PR"/>
        </w:rPr>
        <w:t>con las disposiciones de la Ley Núm. 68 de 3 de junio de 1964,</w:t>
      </w:r>
      <w:r w:rsidR="00874DBD">
        <w:rPr>
          <w:rFonts w:ascii="Book Antiqua" w:hAnsi="Book Antiqua"/>
          <w:lang w:val="es-PR"/>
        </w:rPr>
        <w:t xml:space="preserve"> </w:t>
      </w:r>
      <w:r w:rsidR="00874DBD" w:rsidRPr="00874DBD">
        <w:rPr>
          <w:rFonts w:ascii="Book Antiqua" w:hAnsi="Book Antiqua"/>
          <w:lang w:val="es-PR"/>
        </w:rPr>
        <w:t>“Ley de Ventas a Plazos y Compañías de Financiamiento”,</w:t>
      </w:r>
      <w:r w:rsidRPr="00E27096">
        <w:rPr>
          <w:rFonts w:ascii="Book Antiqua" w:hAnsi="Book Antiqua"/>
          <w:lang w:val="es-PR"/>
        </w:rPr>
        <w:t xml:space="preserve"> según enmendada, que exige a las compañías de financiamiento un capital pagado no</w:t>
      </w:r>
      <w:r w:rsidR="00874DBD">
        <w:rPr>
          <w:rFonts w:ascii="Book Antiqua" w:hAnsi="Book Antiqua"/>
          <w:lang w:val="es-PR"/>
        </w:rPr>
        <w:t xml:space="preserve"> </w:t>
      </w:r>
      <w:r w:rsidRPr="00E27096">
        <w:rPr>
          <w:rFonts w:ascii="Book Antiqua" w:hAnsi="Book Antiqua"/>
          <w:lang w:val="es-PR"/>
        </w:rPr>
        <w:t>menor de cincuenta mil dólares ($50,000).</w:t>
      </w:r>
    </w:p>
    <w:p w14:paraId="3D274513" w14:textId="77777777" w:rsidR="00874DBD" w:rsidRPr="00E27096" w:rsidRDefault="00874DBD" w:rsidP="00E27096">
      <w:pPr>
        <w:ind w:firstLine="360"/>
        <w:jc w:val="both"/>
        <w:rPr>
          <w:rFonts w:ascii="Book Antiqua" w:hAnsi="Book Antiqua"/>
          <w:lang w:val="es-PR"/>
        </w:rPr>
      </w:pPr>
    </w:p>
    <w:p w14:paraId="2AEF3BE3" w14:textId="41489F1C" w:rsidR="00E27096" w:rsidRDefault="00E27096" w:rsidP="00E27096">
      <w:pPr>
        <w:ind w:firstLine="360"/>
        <w:jc w:val="both"/>
        <w:rPr>
          <w:rFonts w:ascii="Book Antiqua" w:hAnsi="Book Antiqua"/>
          <w:lang w:val="es-PR"/>
        </w:rPr>
      </w:pPr>
      <w:r w:rsidRPr="00E27096">
        <w:rPr>
          <w:rFonts w:ascii="Book Antiqua" w:hAnsi="Book Antiqua"/>
          <w:lang w:val="es-PR"/>
        </w:rPr>
        <w:t xml:space="preserve">En los Estados Unidos, los requisitos de liquidez para las instituciones no depositarias, como los proveedores de préstamos personales pequeños, se determinan principalmente a nivel estatal. Estos requisitos varían significativamente de una </w:t>
      </w:r>
      <w:r w:rsidRPr="00E27096">
        <w:rPr>
          <w:rFonts w:ascii="Book Antiqua" w:hAnsi="Book Antiqua"/>
          <w:lang w:val="es-PR"/>
        </w:rPr>
        <w:lastRenderedPageBreak/>
        <w:t>jurisdicción a otra, reflejando distintos enfoques regulatorios y contextos financieros. En algunos estados se establecen requisitos específicos de patrimonio neto o liquidez para garantizar que las entidades puedan cumplir con sus obligaciones y</w:t>
      </w:r>
      <w:r w:rsidR="00874DBD">
        <w:rPr>
          <w:rFonts w:ascii="Book Antiqua" w:hAnsi="Book Antiqua"/>
          <w:lang w:val="es-PR"/>
        </w:rPr>
        <w:t xml:space="preserve"> </w:t>
      </w:r>
      <w:r w:rsidRPr="00E27096">
        <w:rPr>
          <w:rFonts w:ascii="Book Antiqua" w:hAnsi="Book Antiqua"/>
          <w:lang w:val="es-PR"/>
        </w:rPr>
        <w:t>proteger al consumidor.</w:t>
      </w:r>
    </w:p>
    <w:p w14:paraId="0F2EEE1C" w14:textId="77777777" w:rsidR="00874DBD" w:rsidRPr="00E27096" w:rsidRDefault="00874DBD" w:rsidP="00A64D9A">
      <w:pPr>
        <w:jc w:val="both"/>
        <w:rPr>
          <w:rFonts w:ascii="Book Antiqua" w:hAnsi="Book Antiqua"/>
          <w:lang w:val="es-PR"/>
        </w:rPr>
      </w:pPr>
    </w:p>
    <w:p w14:paraId="5E1983F2" w14:textId="7AE0D695" w:rsidR="00E27096" w:rsidRDefault="00E27096" w:rsidP="00E27096">
      <w:pPr>
        <w:ind w:firstLine="360"/>
        <w:jc w:val="both"/>
        <w:rPr>
          <w:rFonts w:ascii="Book Antiqua" w:hAnsi="Book Antiqua"/>
          <w:lang w:val="es-PR"/>
        </w:rPr>
      </w:pPr>
      <w:r w:rsidRPr="00E27096">
        <w:rPr>
          <w:rFonts w:ascii="Book Antiqua" w:hAnsi="Book Antiqua"/>
          <w:lang w:val="es-PR"/>
        </w:rPr>
        <w:t>Tomando en cuenta la experiencia de jurisdicciones como California, Texas, Florida, Massachusetts e</w:t>
      </w:r>
      <w:r w:rsidR="00874DBD">
        <w:rPr>
          <w:rFonts w:ascii="Book Antiqua" w:hAnsi="Book Antiqua"/>
          <w:lang w:val="es-PR"/>
        </w:rPr>
        <w:t xml:space="preserve"> </w:t>
      </w:r>
      <w:r w:rsidRPr="00E27096">
        <w:rPr>
          <w:rFonts w:ascii="Book Antiqua" w:hAnsi="Book Antiqua"/>
          <w:lang w:val="es-PR"/>
        </w:rPr>
        <w:t xml:space="preserve">Illinois, y los requisitos ya vigentes para otras figuras financieras en Puerto Rico bajo la </w:t>
      </w:r>
      <w:r w:rsidR="00874DBD">
        <w:rPr>
          <w:rFonts w:ascii="Book Antiqua" w:hAnsi="Book Antiqua"/>
          <w:lang w:val="es-PR"/>
        </w:rPr>
        <w:t>L</w:t>
      </w:r>
      <w:r w:rsidRPr="00E27096">
        <w:rPr>
          <w:rFonts w:ascii="Book Antiqua" w:hAnsi="Book Antiqua"/>
          <w:lang w:val="es-PR"/>
        </w:rPr>
        <w:t>ey 68-1964, esta medida ofrece alternativas para cumplir con el requisito de activos mínimos, ya sea mediante activos líquidos, fianzas, certificados de depósito o cartas de crédito, sin menoscabar la solvencia ni la protección al consumidor. Asimismo, moderniza las exigencias de divulgación de tasas de interés, incorporando medios digitales para reducir costos y ampliar el acceso a información clara y transparente.</w:t>
      </w:r>
      <w:r w:rsidR="00874DBD">
        <w:rPr>
          <w:rFonts w:ascii="Book Antiqua" w:hAnsi="Book Antiqua"/>
          <w:lang w:val="es-PR"/>
        </w:rPr>
        <w:t xml:space="preserve"> </w:t>
      </w:r>
    </w:p>
    <w:p w14:paraId="58D02E7C" w14:textId="77777777" w:rsidR="00874DBD" w:rsidRPr="00E27096" w:rsidRDefault="00874DBD" w:rsidP="00E27096">
      <w:pPr>
        <w:ind w:firstLine="360"/>
        <w:jc w:val="both"/>
        <w:rPr>
          <w:rFonts w:ascii="Book Antiqua" w:hAnsi="Book Antiqua"/>
          <w:lang w:val="es-PR"/>
        </w:rPr>
      </w:pPr>
    </w:p>
    <w:p w14:paraId="13E7D0A1" w14:textId="77777777" w:rsidR="00E27096" w:rsidRPr="00E27096" w:rsidRDefault="00E27096" w:rsidP="00E27096">
      <w:pPr>
        <w:ind w:firstLine="360"/>
        <w:jc w:val="both"/>
        <w:rPr>
          <w:rFonts w:ascii="Book Antiqua" w:hAnsi="Book Antiqua"/>
          <w:lang w:val="es-PR"/>
        </w:rPr>
      </w:pPr>
      <w:r w:rsidRPr="00E27096">
        <w:rPr>
          <w:rFonts w:ascii="Book Antiqua" w:hAnsi="Book Antiqua"/>
          <w:lang w:val="es-PR"/>
        </w:rPr>
        <w:t>Con esta enmienda se busca reducir barreras de entrada al mercado, fomentar la competencia y ampliar el acceso a productos de crédito para sectores de ingresos limitados, manteniendo la estabilidad y solidez del sistema financiero.</w:t>
      </w:r>
    </w:p>
    <w:p w14:paraId="3F3B71AD" w14:textId="77777777" w:rsidR="00E27096" w:rsidRPr="00E27096" w:rsidRDefault="00E27096" w:rsidP="00E27096">
      <w:pPr>
        <w:ind w:firstLine="360"/>
        <w:jc w:val="both"/>
        <w:rPr>
          <w:rFonts w:ascii="Book Antiqua" w:hAnsi="Book Antiqua"/>
          <w:lang w:val="es-PR"/>
        </w:rPr>
      </w:pPr>
    </w:p>
    <w:p w14:paraId="6684D4BC" w14:textId="77777777" w:rsidR="00E27096" w:rsidRPr="00E27096" w:rsidRDefault="00E27096" w:rsidP="00E27096">
      <w:pPr>
        <w:ind w:firstLine="360"/>
        <w:jc w:val="both"/>
        <w:rPr>
          <w:rFonts w:ascii="Book Antiqua" w:hAnsi="Book Antiqua"/>
          <w:lang w:val="es-PR"/>
        </w:rPr>
      </w:pPr>
      <w:r w:rsidRPr="00E27096">
        <w:rPr>
          <w:rFonts w:ascii="Book Antiqua" w:hAnsi="Book Antiqua"/>
          <w:lang w:val="es-PR"/>
        </w:rPr>
        <w:t>En el estado de California, las instituciones no depositarias, incluidos los proveedores de préstamos pequeños, están reguladas por la Ley de Financiamiento de California (CFL), que es administrada por el Departamento de Protección e Innovación Financiera (DFPI). La CFL exige la concesión de licencias y establece directrices operativas para las entidades que se dedican a los préstamos comerciales y al consumidor dentro del estado.</w:t>
      </w:r>
    </w:p>
    <w:p w14:paraId="16659E85" w14:textId="77777777" w:rsidR="00E27096" w:rsidRDefault="00E27096" w:rsidP="00E27096">
      <w:pPr>
        <w:ind w:firstLine="360"/>
        <w:jc w:val="both"/>
        <w:rPr>
          <w:rFonts w:ascii="Book Antiqua" w:hAnsi="Book Antiqua"/>
          <w:lang w:val="es-PR"/>
        </w:rPr>
      </w:pPr>
    </w:p>
    <w:p w14:paraId="4C917C88" w14:textId="205AE798" w:rsidR="00E27096" w:rsidRPr="00E27096" w:rsidRDefault="00E27096" w:rsidP="00E27096">
      <w:pPr>
        <w:ind w:firstLine="360"/>
        <w:jc w:val="both"/>
        <w:rPr>
          <w:rFonts w:ascii="Book Antiqua" w:hAnsi="Book Antiqua"/>
          <w:lang w:val="es-PR"/>
        </w:rPr>
      </w:pPr>
      <w:r w:rsidRPr="00E27096">
        <w:rPr>
          <w:rFonts w:ascii="Book Antiqua" w:hAnsi="Book Antiqua"/>
          <w:lang w:val="es-PR"/>
        </w:rPr>
        <w:t>Para operar legalmente en California, los proveedores de préstamos pequeños deben obtener una licencia de prestamista financiero. El proceso de solicitud implica presentar información detallada sobre la empresa, su situación financiera y sus principios. Las solicitudes se procesan a través del</w:t>
      </w:r>
      <w:r w:rsidR="00874DBD">
        <w:rPr>
          <w:rFonts w:ascii="Book Antiqua" w:hAnsi="Book Antiqua"/>
          <w:lang w:val="es-PR"/>
        </w:rPr>
        <w:t xml:space="preserve"> </w:t>
      </w:r>
      <w:r w:rsidRPr="00E27096">
        <w:rPr>
          <w:rFonts w:ascii="Book Antiqua" w:hAnsi="Book Antiqua"/>
          <w:lang w:val="es-PR"/>
        </w:rPr>
        <w:t xml:space="preserve">Sistema Nacional de Licencias </w:t>
      </w:r>
      <w:proofErr w:type="spellStart"/>
      <w:r w:rsidRPr="00E27096">
        <w:rPr>
          <w:rFonts w:ascii="Book Antiqua" w:hAnsi="Book Antiqua"/>
          <w:lang w:val="es-PR"/>
        </w:rPr>
        <w:t>Multiestatales</w:t>
      </w:r>
      <w:proofErr w:type="spellEnd"/>
      <w:r w:rsidRPr="00E27096">
        <w:rPr>
          <w:rFonts w:ascii="Book Antiqua" w:hAnsi="Book Antiqua"/>
          <w:lang w:val="es-PR"/>
        </w:rPr>
        <w:t xml:space="preserve"> (NMLS).</w:t>
      </w:r>
    </w:p>
    <w:p w14:paraId="3A05A7C2" w14:textId="77777777" w:rsidR="00E27096" w:rsidRDefault="00E27096" w:rsidP="00E27096">
      <w:pPr>
        <w:ind w:firstLine="360"/>
        <w:jc w:val="both"/>
        <w:rPr>
          <w:rFonts w:ascii="Book Antiqua" w:hAnsi="Book Antiqua"/>
          <w:lang w:val="es-PR"/>
        </w:rPr>
      </w:pPr>
    </w:p>
    <w:p w14:paraId="046340E1" w14:textId="252EBDFD" w:rsidR="00E27096" w:rsidRDefault="00E27096" w:rsidP="00E27096">
      <w:pPr>
        <w:ind w:firstLine="360"/>
        <w:jc w:val="both"/>
        <w:rPr>
          <w:rFonts w:ascii="Book Antiqua" w:hAnsi="Book Antiqua"/>
          <w:lang w:val="es-PR"/>
        </w:rPr>
      </w:pPr>
      <w:r w:rsidRPr="00E27096">
        <w:rPr>
          <w:rFonts w:ascii="Book Antiqua" w:hAnsi="Book Antiqua"/>
          <w:lang w:val="es-PR"/>
        </w:rPr>
        <w:t>Si bien la CFL no especifica requisitos explícitos de liquidez para los licenciatarios, sí impone ciertas obligaciones financieras</w:t>
      </w:r>
      <w:r w:rsidR="00A64D9A">
        <w:rPr>
          <w:rFonts w:ascii="Book Antiqua" w:hAnsi="Book Antiqua"/>
          <w:lang w:val="es-PR"/>
        </w:rPr>
        <w:t>, como lo son</w:t>
      </w:r>
      <w:r w:rsidRPr="00E27096">
        <w:rPr>
          <w:rFonts w:ascii="Book Antiqua" w:hAnsi="Book Antiqua"/>
          <w:lang w:val="es-PR"/>
        </w:rPr>
        <w:t>:</w:t>
      </w:r>
    </w:p>
    <w:p w14:paraId="65A95ED6" w14:textId="77777777" w:rsidR="00702BF0" w:rsidRPr="00E27096" w:rsidRDefault="00702BF0" w:rsidP="00E27096">
      <w:pPr>
        <w:ind w:firstLine="360"/>
        <w:jc w:val="both"/>
        <w:rPr>
          <w:rFonts w:ascii="Book Antiqua" w:hAnsi="Book Antiqua"/>
          <w:lang w:val="es-PR"/>
        </w:rPr>
      </w:pPr>
    </w:p>
    <w:p w14:paraId="6EBCB88C" w14:textId="18CAA0B9" w:rsidR="00E27096" w:rsidRPr="00874DBD" w:rsidRDefault="00E27096" w:rsidP="00874DBD">
      <w:pPr>
        <w:pStyle w:val="ListParagraph"/>
        <w:numPr>
          <w:ilvl w:val="0"/>
          <w:numId w:val="7"/>
        </w:numPr>
        <w:jc w:val="both"/>
        <w:rPr>
          <w:rFonts w:ascii="Book Antiqua" w:hAnsi="Book Antiqua"/>
          <w:lang w:val="es-PR"/>
        </w:rPr>
      </w:pPr>
      <w:r w:rsidRPr="00874DBD">
        <w:rPr>
          <w:rFonts w:ascii="Book Antiqua" w:hAnsi="Book Antiqua"/>
          <w:lang w:val="es-PR"/>
        </w:rPr>
        <w:t>Patrimonio neto: Los licenciatarios deben mantener un patrimonio neto mínimo, asegurándose de que poseen los recursos financieros adecuados para respaldar sus actividades crediticias.</w:t>
      </w:r>
    </w:p>
    <w:p w14:paraId="105D3699" w14:textId="0EDC4A14" w:rsidR="00E27096" w:rsidRPr="00A64D9A" w:rsidRDefault="00E27096" w:rsidP="00A64D9A">
      <w:pPr>
        <w:pStyle w:val="ListParagraph"/>
        <w:numPr>
          <w:ilvl w:val="0"/>
          <w:numId w:val="7"/>
        </w:numPr>
        <w:jc w:val="both"/>
        <w:rPr>
          <w:rFonts w:ascii="Book Antiqua" w:hAnsi="Book Antiqua"/>
          <w:lang w:val="es-PR"/>
        </w:rPr>
      </w:pPr>
      <w:r w:rsidRPr="00A64D9A">
        <w:rPr>
          <w:rFonts w:ascii="Book Antiqua" w:hAnsi="Book Antiqua"/>
          <w:lang w:val="es-PR"/>
        </w:rPr>
        <w:t>Fianza de garantía: Los solicitantes deben presentar una fianza de garantía ante el Comisionado del</w:t>
      </w:r>
      <w:r w:rsidR="00874DBD" w:rsidRPr="00A64D9A">
        <w:rPr>
          <w:rFonts w:ascii="Book Antiqua" w:hAnsi="Book Antiqua"/>
          <w:lang w:val="es-PR"/>
        </w:rPr>
        <w:t xml:space="preserve"> </w:t>
      </w:r>
      <w:r w:rsidRPr="00A64D9A">
        <w:rPr>
          <w:rFonts w:ascii="Book Antiqua" w:hAnsi="Book Antiqua"/>
          <w:lang w:val="es-PR"/>
        </w:rPr>
        <w:t>DFPI. El monto de la fianza varía según el volumen de préstamos originados, con un requisito mínimo de $25,000. Esta fianza sirve como garantía financiera para el cumplimiento por parte del licenciatario de las leyes y reglamentos aplicables.</w:t>
      </w:r>
    </w:p>
    <w:p w14:paraId="0A1806AA" w14:textId="77777777" w:rsidR="00874DBD" w:rsidRDefault="00874DBD" w:rsidP="00874DBD">
      <w:pPr>
        <w:ind w:firstLine="360"/>
        <w:jc w:val="both"/>
        <w:rPr>
          <w:rFonts w:ascii="Book Antiqua" w:hAnsi="Book Antiqua"/>
          <w:lang w:val="es-PR"/>
        </w:rPr>
      </w:pPr>
    </w:p>
    <w:p w14:paraId="3774F748" w14:textId="453B2C1C" w:rsidR="00E27096" w:rsidRDefault="00E27096" w:rsidP="00874DBD">
      <w:pPr>
        <w:ind w:firstLine="360"/>
        <w:jc w:val="both"/>
        <w:rPr>
          <w:rFonts w:ascii="Book Antiqua" w:hAnsi="Book Antiqua"/>
          <w:lang w:val="es-PR"/>
        </w:rPr>
      </w:pPr>
      <w:r w:rsidRPr="00E27096">
        <w:rPr>
          <w:rFonts w:ascii="Book Antiqua" w:hAnsi="Book Antiqua"/>
          <w:lang w:val="es-PR"/>
        </w:rPr>
        <w:t xml:space="preserve">En Texas, las instituciones no depositarias, como los proveedores de préstamos pequeños, están reguladas principalmente por la Oficina del Comisionado de Crédito al </w:t>
      </w:r>
      <w:r w:rsidRPr="00E27096">
        <w:rPr>
          <w:rFonts w:ascii="Book Antiqua" w:hAnsi="Book Antiqua"/>
          <w:lang w:val="es-PR"/>
        </w:rPr>
        <w:lastRenderedPageBreak/>
        <w:t>Consumidor (OCCC) bajo el Código Financiero de Texas. La OCCC supervisa a varios proveedores de servicios financieros, incluidos los que ofrecen préstamos al consumidor, para garantizar el cumplimiento de las leyes y regulaciones estatales.</w:t>
      </w:r>
    </w:p>
    <w:p w14:paraId="6C434A26" w14:textId="77777777" w:rsidR="00874DBD" w:rsidRPr="00E27096" w:rsidRDefault="00874DBD" w:rsidP="00874DBD">
      <w:pPr>
        <w:ind w:firstLine="360"/>
        <w:jc w:val="both"/>
        <w:rPr>
          <w:rFonts w:ascii="Book Antiqua" w:hAnsi="Book Antiqua"/>
          <w:lang w:val="es-PR"/>
        </w:rPr>
      </w:pPr>
    </w:p>
    <w:p w14:paraId="1D3F6046" w14:textId="77777777" w:rsidR="00E27096" w:rsidRDefault="00E27096" w:rsidP="00E27096">
      <w:pPr>
        <w:ind w:firstLine="360"/>
        <w:jc w:val="both"/>
        <w:rPr>
          <w:rFonts w:ascii="Book Antiqua" w:hAnsi="Book Antiqua"/>
          <w:lang w:val="es-PR"/>
        </w:rPr>
      </w:pPr>
      <w:r w:rsidRPr="00E27096">
        <w:rPr>
          <w:rFonts w:ascii="Book Antiqua" w:hAnsi="Book Antiqua"/>
          <w:lang w:val="es-PR"/>
        </w:rPr>
        <w:t>Para operar legalmente en Texas, los proveedores de préstamos pequeños deben obtener la licencia apropiada de la OCCC. El proceso de concesión de licencias implica la presentación de información detallada sobre la empresa, su situación financiera y sus principios. Si bien el Código de Finanzas de Texas describe varios requisitos operativos y financieros para los licenciatarios, no especifica requisitos explícitos de liquidez para las instituciones no depositarias.</w:t>
      </w:r>
    </w:p>
    <w:p w14:paraId="16E3FA24" w14:textId="77777777" w:rsidR="00874DBD" w:rsidRPr="00E27096" w:rsidRDefault="00874DBD" w:rsidP="00E27096">
      <w:pPr>
        <w:ind w:firstLine="360"/>
        <w:jc w:val="both"/>
        <w:rPr>
          <w:rFonts w:ascii="Book Antiqua" w:hAnsi="Book Antiqua"/>
          <w:lang w:val="es-PR"/>
        </w:rPr>
      </w:pPr>
    </w:p>
    <w:p w14:paraId="235D0C1D" w14:textId="77777777" w:rsidR="00E27096" w:rsidRDefault="00E27096" w:rsidP="00E27096">
      <w:pPr>
        <w:ind w:firstLine="360"/>
        <w:jc w:val="both"/>
        <w:rPr>
          <w:rFonts w:ascii="Book Antiqua" w:hAnsi="Book Antiqua"/>
          <w:lang w:val="es-PR"/>
        </w:rPr>
      </w:pPr>
      <w:r w:rsidRPr="00E27096">
        <w:rPr>
          <w:rFonts w:ascii="Book Antiqua" w:hAnsi="Book Antiqua"/>
          <w:lang w:val="es-PR"/>
        </w:rPr>
        <w:t>Aunque no hay mandatos explícitos de liquidez, la OCCC espera que los prestamistas autorizados mantengan una estabilidad financiera suficiente para cumplir con sus obligaciones y operar de manera responsable.</w:t>
      </w:r>
    </w:p>
    <w:p w14:paraId="345553AC" w14:textId="77777777" w:rsidR="00874DBD" w:rsidRPr="00E27096" w:rsidRDefault="00874DBD" w:rsidP="00E27096">
      <w:pPr>
        <w:ind w:firstLine="360"/>
        <w:jc w:val="both"/>
        <w:rPr>
          <w:rFonts w:ascii="Book Antiqua" w:hAnsi="Book Antiqua"/>
          <w:lang w:val="es-PR"/>
        </w:rPr>
      </w:pPr>
    </w:p>
    <w:p w14:paraId="62DFA207" w14:textId="77777777" w:rsidR="00E27096" w:rsidRDefault="00E27096" w:rsidP="00E27096">
      <w:pPr>
        <w:ind w:firstLine="360"/>
        <w:jc w:val="both"/>
        <w:rPr>
          <w:rFonts w:ascii="Book Antiqua" w:hAnsi="Book Antiqua"/>
          <w:lang w:val="es-PR"/>
        </w:rPr>
      </w:pPr>
      <w:r w:rsidRPr="00E27096">
        <w:rPr>
          <w:rFonts w:ascii="Book Antiqua" w:hAnsi="Book Antiqua"/>
          <w:lang w:val="es-PR"/>
        </w:rPr>
        <w:t>En Florida, las instituciones no depositarias, incluidos los pequeños proveedores de préstamos, están reguladas por la Oficina de Regulación Financiera (OFR). La OFR supervisa la concesión de licencias y la regulación de varios proveedores de servicios financieros para garantizar el cumplimiento de las leyes estatales y promover un mercado financiero seguro.</w:t>
      </w:r>
    </w:p>
    <w:p w14:paraId="3EBA6C4D" w14:textId="77777777" w:rsidR="00874DBD" w:rsidRPr="00E27096" w:rsidRDefault="00874DBD" w:rsidP="00E27096">
      <w:pPr>
        <w:ind w:firstLine="360"/>
        <w:jc w:val="both"/>
        <w:rPr>
          <w:rFonts w:ascii="Book Antiqua" w:hAnsi="Book Antiqua"/>
          <w:lang w:val="es-PR"/>
        </w:rPr>
      </w:pPr>
    </w:p>
    <w:p w14:paraId="3857C328" w14:textId="77777777" w:rsidR="00E27096" w:rsidRDefault="00E27096" w:rsidP="00E27096">
      <w:pPr>
        <w:ind w:firstLine="360"/>
        <w:jc w:val="both"/>
        <w:rPr>
          <w:rFonts w:ascii="Book Antiqua" w:hAnsi="Book Antiqua"/>
          <w:lang w:val="es-PR"/>
        </w:rPr>
      </w:pPr>
      <w:r w:rsidRPr="00E27096">
        <w:rPr>
          <w:rFonts w:ascii="Book Antiqua" w:hAnsi="Book Antiqua"/>
          <w:lang w:val="es-PR"/>
        </w:rPr>
        <w:t>Para operar legalmente en Florida, los proveedores de préstamos pequeños deben obtener la licencia apropiada de la OFR. El proceso de concesión de licencias implica la presentación de información detallada sobre la empresa, su situación financiera y sus principios. Si bien la OFR impone diversos requisitos operativos y financieros a los licenciatarios, los requisitos específicos de liquidez para las instituciones no depositarias no se detallan explícitamente.</w:t>
      </w:r>
    </w:p>
    <w:p w14:paraId="097B4D3A" w14:textId="77777777" w:rsidR="00874DBD" w:rsidRPr="00E27096" w:rsidRDefault="00874DBD" w:rsidP="00E27096">
      <w:pPr>
        <w:ind w:firstLine="360"/>
        <w:jc w:val="both"/>
        <w:rPr>
          <w:rFonts w:ascii="Book Antiqua" w:hAnsi="Book Antiqua"/>
          <w:lang w:val="es-PR"/>
        </w:rPr>
      </w:pPr>
    </w:p>
    <w:p w14:paraId="20FE2505" w14:textId="23D1140E" w:rsidR="00E27096" w:rsidRDefault="00E27096" w:rsidP="00E27096">
      <w:pPr>
        <w:ind w:firstLine="360"/>
        <w:jc w:val="both"/>
        <w:rPr>
          <w:rFonts w:ascii="Book Antiqua" w:hAnsi="Book Antiqua"/>
          <w:lang w:val="es-PR"/>
        </w:rPr>
      </w:pPr>
      <w:r w:rsidRPr="00E27096">
        <w:rPr>
          <w:rFonts w:ascii="Book Antiqua" w:hAnsi="Book Antiqua"/>
          <w:lang w:val="es-PR"/>
        </w:rPr>
        <w:t>En Massachusetts, las instituciones no depositarias, incluidos los proveedores de préstamos pequeños, están reguladas por la División de Bancos en virtud de las Leyes Generales de Massachusetts (M.G.L.)</w:t>
      </w:r>
      <w:r w:rsidR="00874DBD">
        <w:rPr>
          <w:rFonts w:ascii="Book Antiqua" w:hAnsi="Book Antiqua"/>
          <w:lang w:val="es-PR"/>
        </w:rPr>
        <w:t xml:space="preserve"> </w:t>
      </w:r>
      <w:r w:rsidRPr="00E27096">
        <w:rPr>
          <w:rFonts w:ascii="Book Antiqua" w:hAnsi="Book Antiqua"/>
          <w:lang w:val="es-PR"/>
        </w:rPr>
        <w:t>Capítulo 140, que rige la concesión de licencias y la operación de pequeñas compañías de préstamos dentro del estado.</w:t>
      </w:r>
    </w:p>
    <w:p w14:paraId="0A60A2D9" w14:textId="77777777" w:rsidR="00874DBD" w:rsidRPr="00E27096" w:rsidRDefault="00874DBD" w:rsidP="00E27096">
      <w:pPr>
        <w:ind w:firstLine="360"/>
        <w:jc w:val="both"/>
        <w:rPr>
          <w:rFonts w:ascii="Book Antiqua" w:hAnsi="Book Antiqua"/>
          <w:lang w:val="es-PR"/>
        </w:rPr>
      </w:pPr>
    </w:p>
    <w:p w14:paraId="1344B346" w14:textId="0CD36C6D" w:rsidR="00E27096" w:rsidRDefault="00E27096" w:rsidP="00E27096">
      <w:pPr>
        <w:ind w:firstLine="360"/>
        <w:jc w:val="both"/>
        <w:rPr>
          <w:rFonts w:ascii="Book Antiqua" w:hAnsi="Book Antiqua"/>
          <w:lang w:val="es-PR"/>
        </w:rPr>
      </w:pPr>
      <w:r w:rsidRPr="00E27096">
        <w:rPr>
          <w:rFonts w:ascii="Book Antiqua" w:hAnsi="Book Antiqua"/>
          <w:lang w:val="es-PR"/>
        </w:rPr>
        <w:t>Para operar legalmente como un proveedor de préstamos pequeños en Massachusetts, las entidades deben obtener una licencia de la División de Bancos. Un requisito financiero crítico para la licencia es mantener un patrimonio neto ajustado de al menos $75,000, según lo estipulado en 209 CMR 20.03</w:t>
      </w:r>
      <w:r w:rsidR="00874DBD">
        <w:rPr>
          <w:rFonts w:ascii="Book Antiqua" w:hAnsi="Book Antiqua"/>
          <w:lang w:val="es-PR"/>
        </w:rPr>
        <w:t xml:space="preserve"> </w:t>
      </w:r>
      <w:r w:rsidRPr="00E27096">
        <w:rPr>
          <w:rFonts w:ascii="Book Antiqua" w:hAnsi="Book Antiqua"/>
          <w:lang w:val="es-PR"/>
        </w:rPr>
        <w:t>(2) (a) 1. Este requisito garantiza que los licenciatarios posean suficiente estabilidad financiera para llevar a cabo actividades crediticias de manera responsable.</w:t>
      </w:r>
    </w:p>
    <w:p w14:paraId="43B4F1D7" w14:textId="77777777" w:rsidR="00874DBD" w:rsidRPr="00E27096" w:rsidRDefault="00874DBD" w:rsidP="00E27096">
      <w:pPr>
        <w:ind w:firstLine="360"/>
        <w:jc w:val="both"/>
        <w:rPr>
          <w:rFonts w:ascii="Book Antiqua" w:hAnsi="Book Antiqua"/>
          <w:lang w:val="es-PR"/>
        </w:rPr>
      </w:pPr>
    </w:p>
    <w:p w14:paraId="4D9E3788" w14:textId="77777777" w:rsidR="00E27096" w:rsidRDefault="00E27096" w:rsidP="00E27096">
      <w:pPr>
        <w:ind w:firstLine="360"/>
        <w:jc w:val="both"/>
        <w:rPr>
          <w:rFonts w:ascii="Book Antiqua" w:hAnsi="Book Antiqua"/>
          <w:lang w:val="es-PR"/>
        </w:rPr>
      </w:pPr>
      <w:r w:rsidRPr="00E27096">
        <w:rPr>
          <w:rFonts w:ascii="Book Antiqua" w:hAnsi="Book Antiqua"/>
          <w:lang w:val="es-PR"/>
        </w:rPr>
        <w:t xml:space="preserve">En Illinois, las instituciones no depositarias, incluidos los proveedores de préstamos pequeños, están reguladas por el Departamento de Regulación Financiera y Profesional de Illinois (IDFPR). El IDFPR supervisa el cumplimiento de las licencias y las operaciones </w:t>
      </w:r>
      <w:r w:rsidRPr="00E27096">
        <w:rPr>
          <w:rFonts w:ascii="Book Antiqua" w:hAnsi="Book Antiqua"/>
          <w:lang w:val="es-PR"/>
        </w:rPr>
        <w:lastRenderedPageBreak/>
        <w:t>para garantizar que los proveedores de servicios financieros se adhieran a las leyes estatales y mantengan la estabilidad financiera.</w:t>
      </w:r>
    </w:p>
    <w:p w14:paraId="3A7CF8D4" w14:textId="77777777" w:rsidR="00874DBD" w:rsidRPr="00E27096" w:rsidRDefault="00874DBD" w:rsidP="00E27096">
      <w:pPr>
        <w:ind w:firstLine="360"/>
        <w:jc w:val="both"/>
        <w:rPr>
          <w:rFonts w:ascii="Book Antiqua" w:hAnsi="Book Antiqua"/>
          <w:lang w:val="es-PR"/>
        </w:rPr>
      </w:pPr>
    </w:p>
    <w:p w14:paraId="49C53199" w14:textId="77777777" w:rsidR="00E27096" w:rsidRDefault="00E27096" w:rsidP="00E27096">
      <w:pPr>
        <w:ind w:firstLine="360"/>
        <w:jc w:val="both"/>
        <w:rPr>
          <w:rFonts w:ascii="Book Antiqua" w:hAnsi="Book Antiqua"/>
          <w:lang w:val="es-PR"/>
        </w:rPr>
      </w:pPr>
      <w:r w:rsidRPr="00E27096">
        <w:rPr>
          <w:rFonts w:ascii="Book Antiqua" w:hAnsi="Book Antiqua"/>
          <w:lang w:val="es-PR"/>
        </w:rPr>
        <w:t>Para operar legalmente como un proveedor de préstamos pequeños en Illinois, las entidades deben obtener la licencia apropiada del IDFPR. El proceso de solicitud implica presentar información detallada sobre la empresa, su situación financiera y sus principios. Si bien el IDFPR impone diversos requisitos operativos y financieros a los licenciatarios, los requisitos específicos de liquidez para las instituciones no depositarias no se detallan explícitamente en los recursos disponibles públicamente.</w:t>
      </w:r>
    </w:p>
    <w:p w14:paraId="27617DFB" w14:textId="77777777" w:rsidR="00874DBD" w:rsidRPr="00E27096" w:rsidRDefault="00874DBD" w:rsidP="00E27096">
      <w:pPr>
        <w:ind w:firstLine="360"/>
        <w:jc w:val="both"/>
        <w:rPr>
          <w:rFonts w:ascii="Book Antiqua" w:hAnsi="Book Antiqua"/>
          <w:lang w:val="es-PR"/>
        </w:rPr>
      </w:pPr>
    </w:p>
    <w:p w14:paraId="2D0CA894" w14:textId="77777777" w:rsidR="00E27096" w:rsidRDefault="00E27096" w:rsidP="00E27096">
      <w:pPr>
        <w:ind w:firstLine="360"/>
        <w:jc w:val="both"/>
        <w:rPr>
          <w:rFonts w:ascii="Book Antiqua" w:hAnsi="Book Antiqua"/>
          <w:lang w:val="es-PR"/>
        </w:rPr>
      </w:pPr>
      <w:r w:rsidRPr="00E27096">
        <w:rPr>
          <w:rFonts w:ascii="Book Antiqua" w:hAnsi="Book Antiqua"/>
          <w:lang w:val="es-PR"/>
        </w:rPr>
        <w:t>Aunque no se especifican mandatos explícitos de liquidez, el IDFPR espera que los prestamistas autorizados mantengan una estabilidad financiera suficiente para cumplir con sus obligaciones y operar de manera responsable. Esto incluye contar con el capital y los recursos adecuados para respaldar las actividades crediticias y garantizar la protección de los consumidores.</w:t>
      </w:r>
    </w:p>
    <w:p w14:paraId="0184699F" w14:textId="77777777" w:rsidR="00874DBD" w:rsidRPr="00E27096" w:rsidRDefault="00874DBD" w:rsidP="00E27096">
      <w:pPr>
        <w:ind w:firstLine="360"/>
        <w:jc w:val="both"/>
        <w:rPr>
          <w:rFonts w:ascii="Book Antiqua" w:hAnsi="Book Antiqua"/>
          <w:lang w:val="es-PR"/>
        </w:rPr>
      </w:pPr>
    </w:p>
    <w:p w14:paraId="59AC021E" w14:textId="77777777" w:rsidR="00E27096" w:rsidRDefault="00E27096" w:rsidP="00E27096">
      <w:pPr>
        <w:ind w:firstLine="360"/>
        <w:jc w:val="both"/>
        <w:rPr>
          <w:rFonts w:ascii="Book Antiqua" w:hAnsi="Book Antiqua"/>
          <w:lang w:val="es-PR"/>
        </w:rPr>
      </w:pPr>
      <w:r w:rsidRPr="00E27096">
        <w:rPr>
          <w:rFonts w:ascii="Book Antiqua" w:hAnsi="Book Antiqua"/>
          <w:lang w:val="es-PR"/>
        </w:rPr>
        <w:t>Es el principal propósito de estas enmiendas a la "Ley de Préstamos Personales Pequeños", reducir las barreras de entrada al mercado de Puerto Rico a las empresas que fungen como proveedores de préstamos pequeños y permitir que se amplíe la oferta de este tipo de servicios financieros para atender las necesidades de la población que regularmente necesita de estas alternativas- el grupo poblacional de limitados recursos económicos.</w:t>
      </w:r>
    </w:p>
    <w:p w14:paraId="2A0092F1" w14:textId="77777777" w:rsidR="00874DBD" w:rsidRPr="00E27096" w:rsidRDefault="00874DBD" w:rsidP="00E27096">
      <w:pPr>
        <w:ind w:firstLine="360"/>
        <w:jc w:val="both"/>
        <w:rPr>
          <w:rFonts w:ascii="Book Antiqua" w:hAnsi="Book Antiqua"/>
          <w:lang w:val="es-PR"/>
        </w:rPr>
      </w:pPr>
    </w:p>
    <w:p w14:paraId="0ED39BF1" w14:textId="36DA1643" w:rsidR="00FE4A11" w:rsidRDefault="00E27096" w:rsidP="00E27096">
      <w:pPr>
        <w:ind w:firstLine="360"/>
        <w:jc w:val="both"/>
        <w:rPr>
          <w:rFonts w:ascii="Book Antiqua" w:hAnsi="Book Antiqua"/>
          <w:lang w:val="es-PR"/>
        </w:rPr>
      </w:pPr>
      <w:r w:rsidRPr="00E27096">
        <w:rPr>
          <w:rFonts w:ascii="Book Antiqua" w:hAnsi="Book Antiqua"/>
          <w:lang w:val="es-PR"/>
        </w:rPr>
        <w:t>Además, esta enmienda reconoce la necesidad de reducir barreras de entrada al mercado de préstamos personales pequeños, fortaleciendo la competencia y ampliando el acceso a financiamiento para consumidores de recursos limitados. La medida provee alternativas que permiten cumplir con los requisitos de activos mínimos mediante instrumentos financieros o garantías reguladas, sin sacrificar la solvencia ni la protección al consumidor. También moderniza los requisitos de divulgación de tasas de interés, incorporando medios digitales para reducir costos operacionales y mejorar el acceso a la información.</w:t>
      </w:r>
    </w:p>
    <w:p w14:paraId="335064E4" w14:textId="77777777" w:rsidR="0099272E" w:rsidRPr="006A10FD" w:rsidRDefault="0099272E" w:rsidP="00FE4A11">
      <w:pPr>
        <w:ind w:firstLine="360"/>
        <w:jc w:val="both"/>
        <w:rPr>
          <w:rFonts w:ascii="Book Antiqua" w:hAnsi="Book Antiqua"/>
          <w:lang w:val="es-PR"/>
        </w:rPr>
      </w:pPr>
    </w:p>
    <w:p w14:paraId="6712128A" w14:textId="77777777" w:rsidR="006A10FD" w:rsidRPr="006A10FD" w:rsidRDefault="006A10FD" w:rsidP="00FE4A11">
      <w:pPr>
        <w:spacing w:line="480" w:lineRule="auto"/>
        <w:rPr>
          <w:rFonts w:ascii="Book Antiqua" w:hAnsi="Book Antiqua"/>
          <w:i/>
          <w:lang w:val="es-PR"/>
        </w:rPr>
      </w:pPr>
      <w:r w:rsidRPr="006A10FD">
        <w:rPr>
          <w:rFonts w:ascii="Book Antiqua" w:hAnsi="Book Antiqua"/>
          <w:i/>
          <w:lang w:val="es-PR"/>
        </w:rPr>
        <w:t>DECRÉTASE POR LA ASAMBLEA LEGISLATIVA DE PUERTO RICO:</w:t>
      </w:r>
    </w:p>
    <w:p w14:paraId="3B5E157E" w14:textId="77777777" w:rsidR="006A10FD" w:rsidRPr="006A10FD" w:rsidRDefault="006A10FD" w:rsidP="006A10FD">
      <w:pPr>
        <w:spacing w:line="480" w:lineRule="auto"/>
        <w:jc w:val="both"/>
        <w:rPr>
          <w:rFonts w:ascii="Book Antiqua" w:hAnsi="Book Antiqua"/>
          <w:lang w:val="es-PR"/>
        </w:rPr>
        <w:sectPr w:rsidR="006A10FD" w:rsidRPr="006A10FD">
          <w:headerReference w:type="default" r:id="rId8"/>
          <w:type w:val="continuous"/>
          <w:pgSz w:w="12240" w:h="15840" w:code="1"/>
          <w:pgMar w:top="1440" w:right="1440" w:bottom="1440" w:left="1440" w:header="720" w:footer="720" w:gutter="0"/>
          <w:cols w:space="720"/>
          <w:titlePg/>
        </w:sectPr>
      </w:pPr>
    </w:p>
    <w:p w14:paraId="4AA87065" w14:textId="77777777" w:rsidR="00E27096" w:rsidRPr="00E27096" w:rsidRDefault="00E27096" w:rsidP="00E27096">
      <w:pPr>
        <w:pStyle w:val="BodyText"/>
        <w:spacing w:line="480" w:lineRule="auto"/>
        <w:ind w:firstLine="720"/>
        <w:jc w:val="both"/>
        <w:rPr>
          <w:rFonts w:ascii="Book Antiqua" w:hAnsi="Book Antiqua"/>
          <w:lang w:val="es-PR"/>
        </w:rPr>
      </w:pPr>
      <w:r w:rsidRPr="00E27096">
        <w:rPr>
          <w:rFonts w:ascii="Book Antiqua" w:hAnsi="Book Antiqua"/>
          <w:lang w:val="es-PR"/>
        </w:rPr>
        <w:t>Sección 1.- Enmiendas</w:t>
      </w:r>
    </w:p>
    <w:p w14:paraId="240E35CE" w14:textId="2556B747" w:rsidR="00E27096" w:rsidRPr="00E27096" w:rsidRDefault="00E27096" w:rsidP="00E27096">
      <w:pPr>
        <w:pStyle w:val="BodyText"/>
        <w:spacing w:line="480" w:lineRule="auto"/>
        <w:ind w:firstLine="720"/>
        <w:jc w:val="both"/>
        <w:rPr>
          <w:rFonts w:ascii="Book Antiqua" w:hAnsi="Book Antiqua"/>
          <w:lang w:val="es-PR"/>
        </w:rPr>
      </w:pPr>
      <w:r w:rsidRPr="00E27096">
        <w:rPr>
          <w:rFonts w:ascii="Book Antiqua" w:hAnsi="Book Antiqua"/>
          <w:lang w:val="es-PR"/>
        </w:rPr>
        <w:t>Se enmiendan los Artículos 6 y 12A de la Ley 106 de 28 de junio de 1965, según enmendada,</w:t>
      </w:r>
      <w:r>
        <w:rPr>
          <w:rFonts w:ascii="Book Antiqua" w:hAnsi="Book Antiqua"/>
          <w:lang w:val="es-PR"/>
        </w:rPr>
        <w:t xml:space="preserve"> </w:t>
      </w:r>
      <w:r w:rsidRPr="00E27096">
        <w:rPr>
          <w:rFonts w:ascii="Book Antiqua" w:hAnsi="Book Antiqua"/>
          <w:lang w:val="es-PR"/>
        </w:rPr>
        <w:t>para que se lean como sigue:</w:t>
      </w:r>
    </w:p>
    <w:p w14:paraId="5032E957" w14:textId="77777777" w:rsidR="00E27096" w:rsidRPr="00E27096" w:rsidRDefault="00E27096" w:rsidP="00E27096">
      <w:pPr>
        <w:pStyle w:val="BodyText"/>
        <w:spacing w:line="480" w:lineRule="auto"/>
        <w:ind w:firstLine="720"/>
        <w:jc w:val="both"/>
        <w:rPr>
          <w:rFonts w:ascii="Book Antiqua" w:hAnsi="Book Antiqua"/>
          <w:lang w:val="es-PR"/>
        </w:rPr>
      </w:pPr>
      <w:r w:rsidRPr="00E27096">
        <w:rPr>
          <w:rFonts w:ascii="Book Antiqua" w:hAnsi="Book Antiqua"/>
          <w:lang w:val="es-PR"/>
        </w:rPr>
        <w:t>"Artículo 6.- Circunstancias que se Expresarán y Otros Requisitos</w:t>
      </w:r>
    </w:p>
    <w:p w14:paraId="4C2E8FB6" w14:textId="77777777" w:rsidR="00E27096" w:rsidRDefault="00E27096" w:rsidP="00E27096">
      <w:pPr>
        <w:pStyle w:val="BodyText"/>
        <w:spacing w:line="480" w:lineRule="auto"/>
        <w:ind w:firstLine="720"/>
        <w:jc w:val="both"/>
        <w:rPr>
          <w:rFonts w:ascii="Book Antiqua" w:hAnsi="Book Antiqua"/>
          <w:lang w:val="es-PR"/>
        </w:rPr>
      </w:pPr>
      <w:r w:rsidRPr="00E27096">
        <w:rPr>
          <w:rFonts w:ascii="Book Antiqua" w:hAnsi="Book Antiqua"/>
          <w:lang w:val="es-PR"/>
        </w:rPr>
        <w:t>a)</w:t>
      </w:r>
    </w:p>
    <w:p w14:paraId="6348CBAB" w14:textId="2B6D3895" w:rsidR="00E27096" w:rsidRDefault="00E27096" w:rsidP="00E27096">
      <w:pPr>
        <w:pStyle w:val="BodyText"/>
        <w:spacing w:line="480" w:lineRule="auto"/>
        <w:ind w:firstLine="720"/>
        <w:jc w:val="both"/>
        <w:rPr>
          <w:rFonts w:ascii="Book Antiqua" w:hAnsi="Book Antiqua"/>
          <w:lang w:val="es-PR"/>
        </w:rPr>
      </w:pPr>
      <w:r>
        <w:rPr>
          <w:rFonts w:ascii="Book Antiqua" w:hAnsi="Book Antiqua"/>
          <w:lang w:val="es-PR"/>
        </w:rPr>
        <w:lastRenderedPageBreak/>
        <w:t>b)</w:t>
      </w:r>
    </w:p>
    <w:p w14:paraId="3CC10BBD" w14:textId="2F9C62EE" w:rsidR="00E27096" w:rsidRDefault="00E27096" w:rsidP="00E27096">
      <w:pPr>
        <w:pStyle w:val="BodyText"/>
        <w:spacing w:line="480" w:lineRule="auto"/>
        <w:ind w:firstLine="720"/>
        <w:jc w:val="both"/>
        <w:rPr>
          <w:rFonts w:ascii="Book Antiqua" w:hAnsi="Book Antiqua"/>
          <w:lang w:val="es-PR"/>
        </w:rPr>
      </w:pPr>
      <w:r>
        <w:rPr>
          <w:rFonts w:ascii="Book Antiqua" w:hAnsi="Book Antiqua"/>
          <w:lang w:val="es-PR"/>
        </w:rPr>
        <w:t>c)</w:t>
      </w:r>
    </w:p>
    <w:p w14:paraId="5A9A2A89" w14:textId="42F4F301" w:rsidR="00E27096" w:rsidRPr="00E27096" w:rsidRDefault="00E27096" w:rsidP="00E27096">
      <w:pPr>
        <w:pStyle w:val="BodyText"/>
        <w:spacing w:line="480" w:lineRule="auto"/>
        <w:ind w:firstLine="720"/>
        <w:jc w:val="both"/>
        <w:rPr>
          <w:rFonts w:ascii="Book Antiqua" w:hAnsi="Book Antiqua"/>
          <w:lang w:val="es-PR"/>
        </w:rPr>
      </w:pPr>
      <w:r>
        <w:rPr>
          <w:rFonts w:ascii="Book Antiqua" w:hAnsi="Book Antiqua"/>
          <w:lang w:val="es-PR"/>
        </w:rPr>
        <w:t>d)</w:t>
      </w:r>
    </w:p>
    <w:p w14:paraId="50D5F7C6" w14:textId="10092815" w:rsidR="00E27096" w:rsidRPr="00E27096" w:rsidRDefault="00E27096" w:rsidP="00E27096">
      <w:pPr>
        <w:pStyle w:val="BodyText"/>
        <w:spacing w:line="480" w:lineRule="auto"/>
        <w:ind w:firstLine="720"/>
        <w:jc w:val="both"/>
        <w:rPr>
          <w:rFonts w:ascii="Book Antiqua" w:hAnsi="Book Antiqua"/>
          <w:i/>
          <w:iCs/>
          <w:lang w:val="es-PR"/>
        </w:rPr>
      </w:pPr>
      <w:r w:rsidRPr="00E27096">
        <w:rPr>
          <w:rFonts w:ascii="Book Antiqua" w:hAnsi="Book Antiqua"/>
          <w:i/>
          <w:iCs/>
          <w:lang w:val="es-PR"/>
        </w:rPr>
        <w:t xml:space="preserve">(e) </w:t>
      </w:r>
      <w:r w:rsidRPr="00E27096">
        <w:rPr>
          <w:rFonts w:ascii="Book Antiqua" w:hAnsi="Book Antiqua"/>
          <w:b/>
          <w:bCs/>
          <w:i/>
          <w:iCs/>
          <w:lang w:val="es-PR"/>
        </w:rPr>
        <w:t>Activos mínimos.</w:t>
      </w:r>
      <w:r w:rsidRPr="00E27096">
        <w:rPr>
          <w:rFonts w:ascii="Book Antiqua" w:hAnsi="Book Antiqua"/>
          <w:i/>
          <w:iCs/>
          <w:lang w:val="es-PR"/>
        </w:rPr>
        <w:t xml:space="preserve"> - A partir del inicio de operaciones, todo concesionario mantendrá activos líquidos equivalentes a por lo menos cincuenta mil dólares ($50,000) disponibles para el uso en la administración del negocio durante los primeros dos (2) años de operación.</w:t>
      </w:r>
    </w:p>
    <w:p w14:paraId="05692C91" w14:textId="1899FD21" w:rsidR="00E27096" w:rsidRPr="00E27096" w:rsidRDefault="00E27096" w:rsidP="00E27096">
      <w:pPr>
        <w:pStyle w:val="BodyText"/>
        <w:spacing w:line="480" w:lineRule="auto"/>
        <w:ind w:firstLine="720"/>
        <w:jc w:val="both"/>
        <w:rPr>
          <w:rFonts w:ascii="Book Antiqua" w:hAnsi="Book Antiqua"/>
          <w:i/>
          <w:iCs/>
          <w:lang w:val="es-PR"/>
        </w:rPr>
      </w:pPr>
      <w:r w:rsidRPr="00E27096">
        <w:rPr>
          <w:rFonts w:ascii="Book Antiqua" w:hAnsi="Book Antiqua"/>
          <w:i/>
          <w:iCs/>
          <w:lang w:val="es-PR"/>
        </w:rPr>
        <w:t>Para propósitos de este inciso, activos líquidos incluirán efectivo, equivalentes de efectivo y valores de alta liquidez libremente disponibles para la operación.</w:t>
      </w:r>
    </w:p>
    <w:p w14:paraId="4951CA5C" w14:textId="6FA7025F" w:rsidR="00E27096" w:rsidRPr="00E27096" w:rsidRDefault="00E27096" w:rsidP="00E27096">
      <w:pPr>
        <w:pStyle w:val="BodyText"/>
        <w:spacing w:line="480" w:lineRule="auto"/>
        <w:ind w:firstLine="720"/>
        <w:jc w:val="both"/>
        <w:rPr>
          <w:rFonts w:ascii="Book Antiqua" w:hAnsi="Book Antiqua"/>
          <w:i/>
          <w:iCs/>
          <w:lang w:val="es-PR"/>
        </w:rPr>
      </w:pPr>
      <w:r w:rsidRPr="00E27096">
        <w:rPr>
          <w:rFonts w:ascii="Book Antiqua" w:hAnsi="Book Antiqua"/>
          <w:i/>
          <w:iCs/>
          <w:lang w:val="es-PR"/>
        </w:rPr>
        <w:t>A partir del segundo año de operación, el concesionario podrá cumplir con el requisito de activos mínimos mediante una de las siguientes alternativas:</w:t>
      </w:r>
    </w:p>
    <w:p w14:paraId="1343D683" w14:textId="16D90CE1" w:rsidR="00E27096" w:rsidRPr="00E27096" w:rsidRDefault="00E27096" w:rsidP="00E27096">
      <w:pPr>
        <w:pStyle w:val="BodyText"/>
        <w:spacing w:line="480" w:lineRule="auto"/>
        <w:jc w:val="both"/>
        <w:rPr>
          <w:rFonts w:ascii="Book Antiqua" w:hAnsi="Book Antiqua"/>
          <w:i/>
          <w:iCs/>
          <w:lang w:val="es-PR"/>
        </w:rPr>
      </w:pPr>
      <w:r w:rsidRPr="00E27096">
        <w:rPr>
          <w:rFonts w:ascii="Book Antiqua" w:hAnsi="Book Antiqua"/>
          <w:i/>
          <w:iCs/>
          <w:lang w:val="es-PR"/>
        </w:rPr>
        <w:t>1. Fianza expedida por una compañía de fianzas debidamente licenciada y autorizada para hacer negocios en Puerto Rico por la Oficina del Comisionado de Seguros de Puerto Rico, la cual estará sujeta a cancelación sólo mediante aviso escrito al Comisionado de Instituciones Financieras con no menos de treinta (30) días de antelación.</w:t>
      </w:r>
    </w:p>
    <w:p w14:paraId="23623131" w14:textId="372C0C65" w:rsidR="00E27096" w:rsidRPr="00E27096" w:rsidRDefault="00E27096" w:rsidP="00E27096">
      <w:pPr>
        <w:pStyle w:val="BodyText"/>
        <w:spacing w:line="480" w:lineRule="auto"/>
        <w:jc w:val="both"/>
        <w:rPr>
          <w:rFonts w:ascii="Book Antiqua" w:hAnsi="Book Antiqua"/>
          <w:i/>
          <w:iCs/>
          <w:lang w:val="es-PR"/>
        </w:rPr>
      </w:pPr>
      <w:r w:rsidRPr="00E27096">
        <w:rPr>
          <w:rFonts w:ascii="Book Antiqua" w:hAnsi="Book Antiqua"/>
          <w:i/>
          <w:iCs/>
          <w:lang w:val="es-PR"/>
        </w:rPr>
        <w:t>2. Certificados de depósito emitidos a favor del Comisionado de Instituciones Financieras por bancos autorizados para hacer negocios en Puerto Rico.</w:t>
      </w:r>
    </w:p>
    <w:p w14:paraId="441281C1" w14:textId="1BCA3A75" w:rsidR="00E27096" w:rsidRPr="00E27096" w:rsidRDefault="00E27096" w:rsidP="00E27096">
      <w:pPr>
        <w:pStyle w:val="BodyText"/>
        <w:spacing w:line="480" w:lineRule="auto"/>
        <w:jc w:val="both"/>
        <w:rPr>
          <w:rFonts w:ascii="Book Antiqua" w:hAnsi="Book Antiqua"/>
          <w:i/>
          <w:iCs/>
          <w:lang w:val="es-PR"/>
        </w:rPr>
      </w:pPr>
      <w:r w:rsidRPr="00E27096">
        <w:rPr>
          <w:rFonts w:ascii="Book Antiqua" w:hAnsi="Book Antiqua"/>
          <w:i/>
          <w:iCs/>
          <w:lang w:val="es-PR"/>
        </w:rPr>
        <w:t>3. Cartas de crédito irrevocables emitidas a favor del Comisionado de Instituciones Financieras</w:t>
      </w:r>
      <w:r w:rsidRPr="00E27096">
        <w:rPr>
          <w:rFonts w:ascii="Book Antiqua" w:hAnsi="Book Antiqua"/>
          <w:i/>
          <w:iCs/>
          <w:lang w:val="es-PR"/>
        </w:rPr>
        <w:tab/>
        <w:t>por bancos autorizados para hacer negocios en Puerto Rico.</w:t>
      </w:r>
    </w:p>
    <w:p w14:paraId="150896AB" w14:textId="77777777" w:rsidR="00E27096" w:rsidRPr="00E27096" w:rsidRDefault="00E27096" w:rsidP="00E27096">
      <w:pPr>
        <w:pStyle w:val="BodyText"/>
        <w:spacing w:line="480" w:lineRule="auto"/>
        <w:ind w:firstLine="720"/>
        <w:jc w:val="both"/>
        <w:rPr>
          <w:rFonts w:ascii="Book Antiqua" w:hAnsi="Book Antiqua"/>
          <w:i/>
          <w:iCs/>
          <w:lang w:val="es-PR"/>
        </w:rPr>
      </w:pPr>
      <w:r w:rsidRPr="00E27096">
        <w:rPr>
          <w:rFonts w:ascii="Book Antiqua" w:hAnsi="Book Antiqua"/>
          <w:i/>
          <w:iCs/>
          <w:lang w:val="es-PR"/>
        </w:rPr>
        <w:t xml:space="preserve">El Comisionado podrá autorizar combinaciones proporcionales de activos líquidos y cualquiera de las alternativas anteriores, siempre que el total equivalga como mínimo a cincuenta mil dólares ($50,000). Cualquier cambio en el monto requerido deberá </w:t>
      </w:r>
      <w:r w:rsidRPr="00E27096">
        <w:rPr>
          <w:rFonts w:ascii="Book Antiqua" w:hAnsi="Book Antiqua"/>
          <w:i/>
          <w:iCs/>
          <w:lang w:val="es-PR"/>
        </w:rPr>
        <w:lastRenderedPageBreak/>
        <w:t>notificarse con no menos de ciento ochenta (180) días de antelación a su vigencia."</w:t>
      </w:r>
    </w:p>
    <w:p w14:paraId="0588D187" w14:textId="77777777" w:rsidR="00E27096" w:rsidRPr="00E27096" w:rsidRDefault="00E27096" w:rsidP="00E27096">
      <w:pPr>
        <w:pStyle w:val="BodyText"/>
        <w:spacing w:line="480" w:lineRule="auto"/>
        <w:ind w:firstLine="720"/>
        <w:jc w:val="both"/>
        <w:rPr>
          <w:rFonts w:ascii="Book Antiqua" w:hAnsi="Book Antiqua"/>
          <w:b/>
          <w:bCs/>
          <w:i/>
          <w:iCs/>
          <w:lang w:val="es-PR"/>
        </w:rPr>
      </w:pPr>
      <w:r w:rsidRPr="00E27096">
        <w:rPr>
          <w:rFonts w:ascii="Book Antiqua" w:hAnsi="Book Antiqua"/>
          <w:b/>
          <w:bCs/>
          <w:i/>
          <w:iCs/>
          <w:lang w:val="es-PR"/>
        </w:rPr>
        <w:t>"Artículo 12A.- Publicación de tasas de interés</w:t>
      </w:r>
    </w:p>
    <w:p w14:paraId="6CDACC61" w14:textId="77777777" w:rsidR="00E27096" w:rsidRPr="00E27096" w:rsidRDefault="00E27096" w:rsidP="00E27096">
      <w:pPr>
        <w:pStyle w:val="BodyText"/>
        <w:spacing w:line="480" w:lineRule="auto"/>
        <w:ind w:firstLine="720"/>
        <w:jc w:val="both"/>
        <w:rPr>
          <w:rFonts w:ascii="Book Antiqua" w:hAnsi="Book Antiqua"/>
          <w:i/>
          <w:iCs/>
          <w:lang w:val="es-PR"/>
        </w:rPr>
      </w:pPr>
      <w:r w:rsidRPr="00E27096">
        <w:rPr>
          <w:rFonts w:ascii="Book Antiqua" w:hAnsi="Book Antiqua"/>
          <w:i/>
          <w:iCs/>
          <w:lang w:val="es-PR"/>
        </w:rPr>
        <w:t>Todo concesionario publicará semanalmente:</w:t>
      </w:r>
    </w:p>
    <w:p w14:paraId="20DFA91D" w14:textId="22C22856" w:rsidR="00E27096" w:rsidRPr="00E27096" w:rsidRDefault="00E27096" w:rsidP="00E27096">
      <w:pPr>
        <w:pStyle w:val="BodyText"/>
        <w:spacing w:line="480" w:lineRule="auto"/>
        <w:jc w:val="both"/>
        <w:rPr>
          <w:rFonts w:ascii="Book Antiqua" w:hAnsi="Book Antiqua"/>
          <w:i/>
          <w:iCs/>
          <w:lang w:val="es-PR"/>
        </w:rPr>
      </w:pPr>
      <w:r w:rsidRPr="00E27096">
        <w:rPr>
          <w:rFonts w:ascii="Book Antiqua" w:hAnsi="Book Antiqua"/>
          <w:i/>
          <w:iCs/>
          <w:lang w:val="es-PR"/>
        </w:rPr>
        <w:t>1.</w:t>
      </w:r>
      <w:r w:rsidRPr="00E27096">
        <w:rPr>
          <w:rFonts w:ascii="Book Antiqua" w:hAnsi="Book Antiqua"/>
          <w:i/>
          <w:iCs/>
          <w:lang w:val="es-PR"/>
        </w:rPr>
        <w:tab/>
        <w:t>en al menos un (1) periódico de circulación general en Puerto Rico, o</w:t>
      </w:r>
    </w:p>
    <w:p w14:paraId="3F678B63" w14:textId="77777777" w:rsidR="00E27096" w:rsidRPr="00E27096" w:rsidRDefault="00E27096" w:rsidP="00E27096">
      <w:pPr>
        <w:pStyle w:val="BodyText"/>
        <w:spacing w:line="480" w:lineRule="auto"/>
        <w:jc w:val="both"/>
        <w:rPr>
          <w:rFonts w:ascii="Book Antiqua" w:hAnsi="Book Antiqua"/>
          <w:i/>
          <w:iCs/>
          <w:lang w:val="es-PR"/>
        </w:rPr>
      </w:pPr>
      <w:r w:rsidRPr="00E27096">
        <w:rPr>
          <w:rFonts w:ascii="Book Antiqua" w:hAnsi="Book Antiqua"/>
          <w:i/>
          <w:iCs/>
          <w:lang w:val="es-PR"/>
        </w:rPr>
        <w:t>2.</w:t>
      </w:r>
      <w:r w:rsidRPr="00E27096">
        <w:rPr>
          <w:rFonts w:ascii="Book Antiqua" w:hAnsi="Book Antiqua"/>
          <w:i/>
          <w:iCs/>
          <w:lang w:val="es-PR"/>
        </w:rPr>
        <w:tab/>
        <w:t>en su página de internet o redes sociales corporativas certificadas ante el Comisionado de Instituciones Financieras, la tasa promedio ponderada y la tasa mínima de interés de los préstamos personales pequeños otorgados la semana anterior a la publicación.</w:t>
      </w:r>
    </w:p>
    <w:p w14:paraId="7D8A18BD" w14:textId="77777777" w:rsidR="00E27096" w:rsidRPr="00E27096" w:rsidRDefault="00E27096" w:rsidP="00E27096">
      <w:pPr>
        <w:pStyle w:val="BodyText"/>
        <w:spacing w:line="480" w:lineRule="auto"/>
        <w:ind w:firstLine="720"/>
        <w:jc w:val="both"/>
        <w:rPr>
          <w:rFonts w:ascii="Book Antiqua" w:hAnsi="Book Antiqua"/>
          <w:i/>
          <w:iCs/>
          <w:lang w:val="es-PR"/>
        </w:rPr>
      </w:pPr>
      <w:r w:rsidRPr="00E27096">
        <w:rPr>
          <w:rFonts w:ascii="Book Antiqua" w:hAnsi="Book Antiqua"/>
          <w:i/>
          <w:iCs/>
          <w:lang w:val="es-PR"/>
        </w:rPr>
        <w:t>El cálculo de dichas tasas se hará conforme a la metodología que el Comisionado establezca por reglamento.</w:t>
      </w:r>
    </w:p>
    <w:p w14:paraId="6C8E1E3B" w14:textId="3B3B118C" w:rsidR="00E27096" w:rsidRPr="00E27096" w:rsidRDefault="00E27096" w:rsidP="00E27096">
      <w:pPr>
        <w:pStyle w:val="BodyText"/>
        <w:spacing w:line="480" w:lineRule="auto"/>
        <w:ind w:firstLine="720"/>
        <w:jc w:val="both"/>
        <w:rPr>
          <w:rFonts w:ascii="Book Antiqua" w:hAnsi="Book Antiqua"/>
          <w:i/>
          <w:iCs/>
          <w:lang w:val="es-PR"/>
        </w:rPr>
      </w:pPr>
      <w:r w:rsidRPr="00E27096">
        <w:rPr>
          <w:rFonts w:ascii="Book Antiqua" w:hAnsi="Book Antiqua"/>
          <w:i/>
          <w:iCs/>
          <w:lang w:val="es-PR"/>
        </w:rPr>
        <w:t>Además, todo concesionario vendrá obligado a informar a los consumidores sobre la Tasa de Porcentaje Anual (APR), que incluirá la tasa de interés nominal y otros costos asociados al crédito (tarifas y comisiones), de forma tal que los consumidores puedan comparar ofertas de crédito de manera justa e informada.</w:t>
      </w:r>
    </w:p>
    <w:p w14:paraId="35BD75CC" w14:textId="24867EBB" w:rsidR="00E27096" w:rsidRPr="00E27096" w:rsidRDefault="00E27096" w:rsidP="00E27096">
      <w:pPr>
        <w:pStyle w:val="BodyText"/>
        <w:spacing w:line="480" w:lineRule="auto"/>
        <w:ind w:firstLine="720"/>
        <w:jc w:val="both"/>
        <w:rPr>
          <w:rFonts w:ascii="Book Antiqua" w:hAnsi="Book Antiqua"/>
          <w:i/>
          <w:iCs/>
          <w:lang w:val="es-PR"/>
        </w:rPr>
      </w:pPr>
      <w:r w:rsidRPr="00E27096">
        <w:rPr>
          <w:rFonts w:ascii="Book Antiqua" w:hAnsi="Book Antiqua"/>
          <w:i/>
          <w:iCs/>
          <w:lang w:val="es-PR"/>
        </w:rPr>
        <w:t>Los términos de cada préstamo deberán presentarse de forma clara y destacada, utilizando lenguaje accesible para el consumidor promedio."</w:t>
      </w:r>
    </w:p>
    <w:p w14:paraId="405CF1AB" w14:textId="77777777" w:rsidR="00E27096" w:rsidRPr="00E27096" w:rsidRDefault="00E27096" w:rsidP="00E27096">
      <w:pPr>
        <w:pStyle w:val="BodyText"/>
        <w:spacing w:line="480" w:lineRule="auto"/>
        <w:ind w:firstLine="720"/>
        <w:jc w:val="both"/>
        <w:rPr>
          <w:rFonts w:ascii="Book Antiqua" w:hAnsi="Book Antiqua"/>
          <w:lang w:val="es-PR"/>
        </w:rPr>
      </w:pPr>
      <w:r w:rsidRPr="00E27096">
        <w:rPr>
          <w:rFonts w:ascii="Book Antiqua" w:hAnsi="Book Antiqua"/>
          <w:lang w:val="es-PR"/>
        </w:rPr>
        <w:t>Sección 2. - Disposiciones Transitorias</w:t>
      </w:r>
    </w:p>
    <w:p w14:paraId="48B00FCD" w14:textId="77777777" w:rsidR="00E27096" w:rsidRPr="00E27096" w:rsidRDefault="00E27096" w:rsidP="00E27096">
      <w:pPr>
        <w:pStyle w:val="BodyText"/>
        <w:spacing w:line="480" w:lineRule="auto"/>
        <w:ind w:firstLine="560"/>
        <w:jc w:val="both"/>
        <w:rPr>
          <w:rFonts w:ascii="Book Antiqua" w:hAnsi="Book Antiqua"/>
          <w:lang w:val="es-PR"/>
        </w:rPr>
      </w:pPr>
      <w:r w:rsidRPr="00E27096">
        <w:rPr>
          <w:rFonts w:ascii="Book Antiqua" w:hAnsi="Book Antiqua"/>
          <w:lang w:val="es-PR"/>
        </w:rPr>
        <w:t>Todo concesionario con licencia vigente al momento de la aprobación de esta Ley podrá optar por cumplir inmediatamente con el requisito de activos mínimos mediante cualquiera de las alternativas dispuestas en el Artículo 6(e), según enmendado, sin sujeción al requisito de dos (2) años de operación.</w:t>
      </w:r>
    </w:p>
    <w:p w14:paraId="255B0DC8" w14:textId="77777777" w:rsidR="00E27096" w:rsidRPr="00E27096" w:rsidRDefault="00E27096" w:rsidP="00E27096">
      <w:pPr>
        <w:pStyle w:val="BodyText"/>
        <w:spacing w:line="480" w:lineRule="auto"/>
        <w:ind w:firstLine="720"/>
        <w:jc w:val="both"/>
        <w:rPr>
          <w:rFonts w:ascii="Book Antiqua" w:hAnsi="Book Antiqua"/>
          <w:lang w:val="es-PR"/>
        </w:rPr>
      </w:pPr>
      <w:r w:rsidRPr="00E27096">
        <w:rPr>
          <w:rFonts w:ascii="Book Antiqua" w:hAnsi="Book Antiqua"/>
          <w:lang w:val="es-PR"/>
        </w:rPr>
        <w:t>Sección 3. - Reglamentación</w:t>
      </w:r>
    </w:p>
    <w:p w14:paraId="312C711F" w14:textId="77777777" w:rsidR="00E27096" w:rsidRPr="00E27096" w:rsidRDefault="00E27096" w:rsidP="00E27096">
      <w:pPr>
        <w:pStyle w:val="BodyText"/>
        <w:spacing w:line="480" w:lineRule="auto"/>
        <w:ind w:firstLine="720"/>
        <w:jc w:val="both"/>
        <w:rPr>
          <w:rFonts w:ascii="Book Antiqua" w:hAnsi="Book Antiqua"/>
          <w:lang w:val="es-PR"/>
        </w:rPr>
      </w:pPr>
      <w:r w:rsidRPr="00E27096">
        <w:rPr>
          <w:rFonts w:ascii="Book Antiqua" w:hAnsi="Book Antiqua"/>
          <w:lang w:val="es-PR"/>
        </w:rPr>
        <w:lastRenderedPageBreak/>
        <w:t>El Comisionado de Instituciones Financieras adoptará, en un término no mayor de ciento veinte (120) días a partir de la aprobación de esta Ley, las enmiendas reglamentarias necesarias para su implementación, incluyendo, pero sin limitarse a, el formato y medio de publicación de tasas y la metodología de cálculo de tasas promedio ponderadas.</w:t>
      </w:r>
    </w:p>
    <w:p w14:paraId="10FC8656" w14:textId="77777777" w:rsidR="00E27096" w:rsidRPr="00E27096" w:rsidRDefault="00E27096" w:rsidP="00E27096">
      <w:pPr>
        <w:pStyle w:val="BodyText"/>
        <w:spacing w:line="480" w:lineRule="auto"/>
        <w:ind w:firstLine="720"/>
        <w:jc w:val="both"/>
        <w:rPr>
          <w:rFonts w:ascii="Book Antiqua" w:hAnsi="Book Antiqua"/>
          <w:lang w:val="es-PR"/>
        </w:rPr>
      </w:pPr>
      <w:r w:rsidRPr="00E27096">
        <w:rPr>
          <w:rFonts w:ascii="Book Antiqua" w:hAnsi="Book Antiqua"/>
          <w:lang w:val="es-PR"/>
        </w:rPr>
        <w:t>Sección 4. - Vigencia</w:t>
      </w:r>
    </w:p>
    <w:p w14:paraId="6F6A29A1" w14:textId="42BA3D13" w:rsidR="006A10FD" w:rsidRPr="00D64218" w:rsidRDefault="00E27096" w:rsidP="00874DBD">
      <w:pPr>
        <w:pStyle w:val="BodyText"/>
        <w:spacing w:line="480" w:lineRule="auto"/>
        <w:ind w:left="720" w:firstLine="720"/>
        <w:jc w:val="both"/>
        <w:rPr>
          <w:rFonts w:ascii="Book Antiqua" w:hAnsi="Book Antiqua"/>
          <w:lang w:val="es-PR"/>
        </w:rPr>
      </w:pPr>
      <w:r w:rsidRPr="00E27096">
        <w:rPr>
          <w:rFonts w:ascii="Book Antiqua" w:hAnsi="Book Antiqua"/>
          <w:lang w:val="es-PR"/>
        </w:rPr>
        <w:t>Esta Ley comenzará a regir a partir de noventa (90) días luego de su aprobación.</w:t>
      </w:r>
    </w:p>
    <w:sectPr w:rsidR="006A10FD" w:rsidRPr="00D64218" w:rsidSect="00FE4A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1B14C1" w14:textId="77777777" w:rsidR="00D97952" w:rsidRDefault="00D97952">
      <w:r>
        <w:separator/>
      </w:r>
    </w:p>
  </w:endnote>
  <w:endnote w:type="continuationSeparator" w:id="0">
    <w:p w14:paraId="45A5B2B1" w14:textId="77777777" w:rsidR="00D97952" w:rsidRDefault="00D97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17791" w14:textId="77777777" w:rsidR="00D97952" w:rsidRDefault="00D97952">
      <w:r>
        <w:separator/>
      </w:r>
    </w:p>
  </w:footnote>
  <w:footnote w:type="continuationSeparator" w:id="0">
    <w:p w14:paraId="4181AB4B" w14:textId="77777777" w:rsidR="00D97952" w:rsidRDefault="00D979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CAB08"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365E29">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DF4E20"/>
    <w:multiLevelType w:val="hybridMultilevel"/>
    <w:tmpl w:val="DEA62658"/>
    <w:lvl w:ilvl="0" w:tplc="03EEFBC0">
      <w:start w:val="1"/>
      <w:numFmt w:val="decimal"/>
      <w:lvlText w:val="%1."/>
      <w:lvlJc w:val="left"/>
      <w:pPr>
        <w:ind w:left="160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8466CF9"/>
    <w:multiLevelType w:val="hybridMultilevel"/>
    <w:tmpl w:val="CE4A636A"/>
    <w:lvl w:ilvl="0" w:tplc="03EEFBC0">
      <w:start w:val="1"/>
      <w:numFmt w:val="decimal"/>
      <w:lvlText w:val="%1."/>
      <w:lvlJc w:val="left"/>
      <w:pPr>
        <w:ind w:left="12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DD5F74"/>
    <w:multiLevelType w:val="hybridMultilevel"/>
    <w:tmpl w:val="6F5E0670"/>
    <w:lvl w:ilvl="0" w:tplc="04090001">
      <w:start w:val="1"/>
      <w:numFmt w:val="bullet"/>
      <w:lvlText w:val=""/>
      <w:lvlJc w:val="left"/>
      <w:pPr>
        <w:ind w:left="1240" w:hanging="360"/>
      </w:pPr>
      <w:rPr>
        <w:rFonts w:ascii="Symbol" w:hAnsi="Symbol" w:hint="default"/>
      </w:rPr>
    </w:lvl>
    <w:lvl w:ilvl="1" w:tplc="04090003" w:tentative="1">
      <w:start w:val="1"/>
      <w:numFmt w:val="bullet"/>
      <w:lvlText w:val="o"/>
      <w:lvlJc w:val="left"/>
      <w:pPr>
        <w:ind w:left="1960" w:hanging="360"/>
      </w:pPr>
      <w:rPr>
        <w:rFonts w:ascii="Courier New" w:hAnsi="Courier New" w:cs="Courier New" w:hint="default"/>
      </w:rPr>
    </w:lvl>
    <w:lvl w:ilvl="2" w:tplc="04090005" w:tentative="1">
      <w:start w:val="1"/>
      <w:numFmt w:val="bullet"/>
      <w:lvlText w:val=""/>
      <w:lvlJc w:val="left"/>
      <w:pPr>
        <w:ind w:left="2680" w:hanging="360"/>
      </w:pPr>
      <w:rPr>
        <w:rFonts w:ascii="Wingdings" w:hAnsi="Wingdings" w:hint="default"/>
      </w:rPr>
    </w:lvl>
    <w:lvl w:ilvl="3" w:tplc="04090001" w:tentative="1">
      <w:start w:val="1"/>
      <w:numFmt w:val="bullet"/>
      <w:lvlText w:val=""/>
      <w:lvlJc w:val="left"/>
      <w:pPr>
        <w:ind w:left="3400" w:hanging="360"/>
      </w:pPr>
      <w:rPr>
        <w:rFonts w:ascii="Symbol" w:hAnsi="Symbol" w:hint="default"/>
      </w:rPr>
    </w:lvl>
    <w:lvl w:ilvl="4" w:tplc="04090003" w:tentative="1">
      <w:start w:val="1"/>
      <w:numFmt w:val="bullet"/>
      <w:lvlText w:val="o"/>
      <w:lvlJc w:val="left"/>
      <w:pPr>
        <w:ind w:left="4120" w:hanging="360"/>
      </w:pPr>
      <w:rPr>
        <w:rFonts w:ascii="Courier New" w:hAnsi="Courier New" w:cs="Courier New" w:hint="default"/>
      </w:rPr>
    </w:lvl>
    <w:lvl w:ilvl="5" w:tplc="04090005" w:tentative="1">
      <w:start w:val="1"/>
      <w:numFmt w:val="bullet"/>
      <w:lvlText w:val=""/>
      <w:lvlJc w:val="left"/>
      <w:pPr>
        <w:ind w:left="4840" w:hanging="360"/>
      </w:pPr>
      <w:rPr>
        <w:rFonts w:ascii="Wingdings" w:hAnsi="Wingdings" w:hint="default"/>
      </w:rPr>
    </w:lvl>
    <w:lvl w:ilvl="6" w:tplc="04090001" w:tentative="1">
      <w:start w:val="1"/>
      <w:numFmt w:val="bullet"/>
      <w:lvlText w:val=""/>
      <w:lvlJc w:val="left"/>
      <w:pPr>
        <w:ind w:left="5560" w:hanging="360"/>
      </w:pPr>
      <w:rPr>
        <w:rFonts w:ascii="Symbol" w:hAnsi="Symbol" w:hint="default"/>
      </w:rPr>
    </w:lvl>
    <w:lvl w:ilvl="7" w:tplc="04090003" w:tentative="1">
      <w:start w:val="1"/>
      <w:numFmt w:val="bullet"/>
      <w:lvlText w:val="o"/>
      <w:lvlJc w:val="left"/>
      <w:pPr>
        <w:ind w:left="6280" w:hanging="360"/>
      </w:pPr>
      <w:rPr>
        <w:rFonts w:ascii="Courier New" w:hAnsi="Courier New" w:cs="Courier New" w:hint="default"/>
      </w:rPr>
    </w:lvl>
    <w:lvl w:ilvl="8" w:tplc="04090005" w:tentative="1">
      <w:start w:val="1"/>
      <w:numFmt w:val="bullet"/>
      <w:lvlText w:val=""/>
      <w:lvlJc w:val="left"/>
      <w:pPr>
        <w:ind w:left="7000" w:hanging="360"/>
      </w:pPr>
      <w:rPr>
        <w:rFonts w:ascii="Wingdings" w:hAnsi="Wingdings" w:hint="default"/>
      </w:rPr>
    </w:lvl>
  </w:abstractNum>
  <w:abstractNum w:abstractNumId="3" w15:restartNumberingAfterBreak="0">
    <w:nsid w:val="3CF24B9A"/>
    <w:multiLevelType w:val="hybridMultilevel"/>
    <w:tmpl w:val="161E00D2"/>
    <w:lvl w:ilvl="0" w:tplc="DDFA3C8C">
      <w:start w:val="1"/>
      <w:numFmt w:val="decimal"/>
      <w:lvlText w:val="%1."/>
      <w:lvlJc w:val="left"/>
      <w:pPr>
        <w:ind w:left="1960" w:hanging="360"/>
      </w:pPr>
      <w:rPr>
        <w:rFonts w:hint="default"/>
      </w:rPr>
    </w:lvl>
    <w:lvl w:ilvl="1" w:tplc="04090019" w:tentative="1">
      <w:start w:val="1"/>
      <w:numFmt w:val="lowerLetter"/>
      <w:lvlText w:val="%2."/>
      <w:lvlJc w:val="left"/>
      <w:pPr>
        <w:ind w:left="2680" w:hanging="360"/>
      </w:pPr>
    </w:lvl>
    <w:lvl w:ilvl="2" w:tplc="0409001B" w:tentative="1">
      <w:start w:val="1"/>
      <w:numFmt w:val="lowerRoman"/>
      <w:lvlText w:val="%3."/>
      <w:lvlJc w:val="right"/>
      <w:pPr>
        <w:ind w:left="3400" w:hanging="180"/>
      </w:pPr>
    </w:lvl>
    <w:lvl w:ilvl="3" w:tplc="0409000F" w:tentative="1">
      <w:start w:val="1"/>
      <w:numFmt w:val="decimal"/>
      <w:lvlText w:val="%4."/>
      <w:lvlJc w:val="left"/>
      <w:pPr>
        <w:ind w:left="4120" w:hanging="360"/>
      </w:pPr>
    </w:lvl>
    <w:lvl w:ilvl="4" w:tplc="04090019" w:tentative="1">
      <w:start w:val="1"/>
      <w:numFmt w:val="lowerLetter"/>
      <w:lvlText w:val="%5."/>
      <w:lvlJc w:val="left"/>
      <w:pPr>
        <w:ind w:left="4840" w:hanging="360"/>
      </w:pPr>
    </w:lvl>
    <w:lvl w:ilvl="5" w:tplc="0409001B" w:tentative="1">
      <w:start w:val="1"/>
      <w:numFmt w:val="lowerRoman"/>
      <w:lvlText w:val="%6."/>
      <w:lvlJc w:val="right"/>
      <w:pPr>
        <w:ind w:left="5560" w:hanging="180"/>
      </w:pPr>
    </w:lvl>
    <w:lvl w:ilvl="6" w:tplc="0409000F" w:tentative="1">
      <w:start w:val="1"/>
      <w:numFmt w:val="decimal"/>
      <w:lvlText w:val="%7."/>
      <w:lvlJc w:val="left"/>
      <w:pPr>
        <w:ind w:left="6280" w:hanging="360"/>
      </w:pPr>
    </w:lvl>
    <w:lvl w:ilvl="7" w:tplc="04090019" w:tentative="1">
      <w:start w:val="1"/>
      <w:numFmt w:val="lowerLetter"/>
      <w:lvlText w:val="%8."/>
      <w:lvlJc w:val="left"/>
      <w:pPr>
        <w:ind w:left="7000" w:hanging="360"/>
      </w:pPr>
    </w:lvl>
    <w:lvl w:ilvl="8" w:tplc="0409001B" w:tentative="1">
      <w:start w:val="1"/>
      <w:numFmt w:val="lowerRoman"/>
      <w:lvlText w:val="%9."/>
      <w:lvlJc w:val="right"/>
      <w:pPr>
        <w:ind w:left="7720" w:hanging="180"/>
      </w:pPr>
    </w:lvl>
  </w:abstractNum>
  <w:abstractNum w:abstractNumId="4" w15:restartNumberingAfterBreak="0">
    <w:nsid w:val="3E2B40D6"/>
    <w:multiLevelType w:val="hybridMultilevel"/>
    <w:tmpl w:val="6AEEA112"/>
    <w:lvl w:ilvl="0" w:tplc="7D521448">
      <w:start w:val="1"/>
      <w:numFmt w:val="decimal"/>
      <w:lvlText w:val="%1."/>
      <w:lvlJc w:val="left"/>
      <w:pPr>
        <w:ind w:left="1240" w:hanging="360"/>
      </w:pPr>
      <w:rPr>
        <w:rFonts w:hint="default"/>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5" w15:restartNumberingAfterBreak="0">
    <w:nsid w:val="3F9864B4"/>
    <w:multiLevelType w:val="hybridMultilevel"/>
    <w:tmpl w:val="92CADD2A"/>
    <w:lvl w:ilvl="0" w:tplc="04090001">
      <w:start w:val="1"/>
      <w:numFmt w:val="bullet"/>
      <w:lvlText w:val=""/>
      <w:lvlJc w:val="left"/>
      <w:pPr>
        <w:ind w:left="1240" w:hanging="360"/>
      </w:pPr>
      <w:rPr>
        <w:rFonts w:ascii="Symbol" w:hAnsi="Symbol" w:hint="default"/>
      </w:rPr>
    </w:lvl>
    <w:lvl w:ilvl="1" w:tplc="04090003" w:tentative="1">
      <w:start w:val="1"/>
      <w:numFmt w:val="bullet"/>
      <w:lvlText w:val="o"/>
      <w:lvlJc w:val="left"/>
      <w:pPr>
        <w:ind w:left="1960" w:hanging="360"/>
      </w:pPr>
      <w:rPr>
        <w:rFonts w:ascii="Courier New" w:hAnsi="Courier New" w:cs="Courier New" w:hint="default"/>
      </w:rPr>
    </w:lvl>
    <w:lvl w:ilvl="2" w:tplc="04090005" w:tentative="1">
      <w:start w:val="1"/>
      <w:numFmt w:val="bullet"/>
      <w:lvlText w:val=""/>
      <w:lvlJc w:val="left"/>
      <w:pPr>
        <w:ind w:left="2680" w:hanging="360"/>
      </w:pPr>
      <w:rPr>
        <w:rFonts w:ascii="Wingdings" w:hAnsi="Wingdings" w:hint="default"/>
      </w:rPr>
    </w:lvl>
    <w:lvl w:ilvl="3" w:tplc="04090001" w:tentative="1">
      <w:start w:val="1"/>
      <w:numFmt w:val="bullet"/>
      <w:lvlText w:val=""/>
      <w:lvlJc w:val="left"/>
      <w:pPr>
        <w:ind w:left="3400" w:hanging="360"/>
      </w:pPr>
      <w:rPr>
        <w:rFonts w:ascii="Symbol" w:hAnsi="Symbol" w:hint="default"/>
      </w:rPr>
    </w:lvl>
    <w:lvl w:ilvl="4" w:tplc="04090003" w:tentative="1">
      <w:start w:val="1"/>
      <w:numFmt w:val="bullet"/>
      <w:lvlText w:val="o"/>
      <w:lvlJc w:val="left"/>
      <w:pPr>
        <w:ind w:left="4120" w:hanging="360"/>
      </w:pPr>
      <w:rPr>
        <w:rFonts w:ascii="Courier New" w:hAnsi="Courier New" w:cs="Courier New" w:hint="default"/>
      </w:rPr>
    </w:lvl>
    <w:lvl w:ilvl="5" w:tplc="04090005" w:tentative="1">
      <w:start w:val="1"/>
      <w:numFmt w:val="bullet"/>
      <w:lvlText w:val=""/>
      <w:lvlJc w:val="left"/>
      <w:pPr>
        <w:ind w:left="4840" w:hanging="360"/>
      </w:pPr>
      <w:rPr>
        <w:rFonts w:ascii="Wingdings" w:hAnsi="Wingdings" w:hint="default"/>
      </w:rPr>
    </w:lvl>
    <w:lvl w:ilvl="6" w:tplc="04090001" w:tentative="1">
      <w:start w:val="1"/>
      <w:numFmt w:val="bullet"/>
      <w:lvlText w:val=""/>
      <w:lvlJc w:val="left"/>
      <w:pPr>
        <w:ind w:left="5560" w:hanging="360"/>
      </w:pPr>
      <w:rPr>
        <w:rFonts w:ascii="Symbol" w:hAnsi="Symbol" w:hint="default"/>
      </w:rPr>
    </w:lvl>
    <w:lvl w:ilvl="7" w:tplc="04090003" w:tentative="1">
      <w:start w:val="1"/>
      <w:numFmt w:val="bullet"/>
      <w:lvlText w:val="o"/>
      <w:lvlJc w:val="left"/>
      <w:pPr>
        <w:ind w:left="6280" w:hanging="360"/>
      </w:pPr>
      <w:rPr>
        <w:rFonts w:ascii="Courier New" w:hAnsi="Courier New" w:cs="Courier New" w:hint="default"/>
      </w:rPr>
    </w:lvl>
    <w:lvl w:ilvl="8" w:tplc="04090005" w:tentative="1">
      <w:start w:val="1"/>
      <w:numFmt w:val="bullet"/>
      <w:lvlText w:val=""/>
      <w:lvlJc w:val="left"/>
      <w:pPr>
        <w:ind w:left="7000" w:hanging="360"/>
      </w:pPr>
      <w:rPr>
        <w:rFonts w:ascii="Wingdings" w:hAnsi="Wingdings" w:hint="default"/>
      </w:rPr>
    </w:lvl>
  </w:abstractNum>
  <w:abstractNum w:abstractNumId="6" w15:restartNumberingAfterBreak="0">
    <w:nsid w:val="4302625D"/>
    <w:multiLevelType w:val="hybridMultilevel"/>
    <w:tmpl w:val="FFA63620"/>
    <w:lvl w:ilvl="0" w:tplc="F22E8FC4">
      <w:start w:val="1"/>
      <w:numFmt w:val="decimal"/>
      <w:lvlText w:val="%1."/>
      <w:lvlJc w:val="left"/>
      <w:pPr>
        <w:ind w:left="1240" w:hanging="360"/>
      </w:pPr>
      <w:rPr>
        <w:rFonts w:hint="default"/>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7" w15:restartNumberingAfterBreak="0">
    <w:nsid w:val="445A7DB6"/>
    <w:multiLevelType w:val="hybridMultilevel"/>
    <w:tmpl w:val="70CCB43C"/>
    <w:lvl w:ilvl="0" w:tplc="81FE926A">
      <w:start w:val="1"/>
      <w:numFmt w:val="decimal"/>
      <w:lvlText w:val="%1."/>
      <w:lvlJc w:val="left"/>
      <w:pPr>
        <w:ind w:left="1240" w:hanging="360"/>
      </w:pPr>
      <w:rPr>
        <w:rFonts w:hint="default"/>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8" w15:restartNumberingAfterBreak="0">
    <w:nsid w:val="6072386E"/>
    <w:multiLevelType w:val="hybridMultilevel"/>
    <w:tmpl w:val="A5F8C12C"/>
    <w:lvl w:ilvl="0" w:tplc="03EEFBC0">
      <w:start w:val="1"/>
      <w:numFmt w:val="decimal"/>
      <w:lvlText w:val="%1."/>
      <w:lvlJc w:val="left"/>
      <w:pPr>
        <w:ind w:left="1240" w:hanging="360"/>
      </w:pPr>
      <w:rPr>
        <w:rFonts w:hint="default"/>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num w:numId="1" w16cid:durableId="529728124">
    <w:abstractNumId w:val="3"/>
  </w:num>
  <w:num w:numId="2" w16cid:durableId="1834252844">
    <w:abstractNumId w:val="4"/>
  </w:num>
  <w:num w:numId="3" w16cid:durableId="1560558020">
    <w:abstractNumId w:val="7"/>
  </w:num>
  <w:num w:numId="4" w16cid:durableId="1665812397">
    <w:abstractNumId w:val="6"/>
  </w:num>
  <w:num w:numId="5" w16cid:durableId="1414085869">
    <w:abstractNumId w:val="8"/>
  </w:num>
  <w:num w:numId="6" w16cid:durableId="210924732">
    <w:abstractNumId w:val="1"/>
  </w:num>
  <w:num w:numId="7" w16cid:durableId="1266838756">
    <w:abstractNumId w:val="5"/>
  </w:num>
  <w:num w:numId="8" w16cid:durableId="1269853128">
    <w:abstractNumId w:val="0"/>
  </w:num>
  <w:num w:numId="9" w16cid:durableId="286038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A10FD"/>
    <w:rsid w:val="00020BBB"/>
    <w:rsid w:val="00056024"/>
    <w:rsid w:val="00095AE1"/>
    <w:rsid w:val="000A6B6C"/>
    <w:rsid w:val="000B0DBB"/>
    <w:rsid w:val="000B584B"/>
    <w:rsid w:val="000D7ECB"/>
    <w:rsid w:val="00111E71"/>
    <w:rsid w:val="00112A8C"/>
    <w:rsid w:val="00127C6A"/>
    <w:rsid w:val="001363FE"/>
    <w:rsid w:val="0017132B"/>
    <w:rsid w:val="001B2F8C"/>
    <w:rsid w:val="001F4CA3"/>
    <w:rsid w:val="001F612A"/>
    <w:rsid w:val="00211396"/>
    <w:rsid w:val="00226AE6"/>
    <w:rsid w:val="002372AB"/>
    <w:rsid w:val="00245B34"/>
    <w:rsid w:val="00263355"/>
    <w:rsid w:val="00273792"/>
    <w:rsid w:val="002D4AC8"/>
    <w:rsid w:val="00305FDE"/>
    <w:rsid w:val="00320D78"/>
    <w:rsid w:val="00327F2E"/>
    <w:rsid w:val="00365E29"/>
    <w:rsid w:val="00380FE5"/>
    <w:rsid w:val="003924DD"/>
    <w:rsid w:val="00394FCB"/>
    <w:rsid w:val="003963F4"/>
    <w:rsid w:val="003B5254"/>
    <w:rsid w:val="003B75A6"/>
    <w:rsid w:val="003F065B"/>
    <w:rsid w:val="004061CA"/>
    <w:rsid w:val="00415689"/>
    <w:rsid w:val="004440CB"/>
    <w:rsid w:val="004713D2"/>
    <w:rsid w:val="00481FDE"/>
    <w:rsid w:val="00521639"/>
    <w:rsid w:val="00532BB7"/>
    <w:rsid w:val="005332E4"/>
    <w:rsid w:val="0053550C"/>
    <w:rsid w:val="00555018"/>
    <w:rsid w:val="005723DC"/>
    <w:rsid w:val="006210DC"/>
    <w:rsid w:val="0064349D"/>
    <w:rsid w:val="00685549"/>
    <w:rsid w:val="006A10FD"/>
    <w:rsid w:val="006B7365"/>
    <w:rsid w:val="006C2D81"/>
    <w:rsid w:val="006C7DF8"/>
    <w:rsid w:val="00702BF0"/>
    <w:rsid w:val="00723F13"/>
    <w:rsid w:val="00750FC8"/>
    <w:rsid w:val="007533D0"/>
    <w:rsid w:val="00755069"/>
    <w:rsid w:val="007B0660"/>
    <w:rsid w:val="007D340F"/>
    <w:rsid w:val="007E3052"/>
    <w:rsid w:val="007E3868"/>
    <w:rsid w:val="00820C41"/>
    <w:rsid w:val="00850256"/>
    <w:rsid w:val="00874DBD"/>
    <w:rsid w:val="00942FD4"/>
    <w:rsid w:val="00951997"/>
    <w:rsid w:val="00990352"/>
    <w:rsid w:val="0099272E"/>
    <w:rsid w:val="00A03405"/>
    <w:rsid w:val="00A1528A"/>
    <w:rsid w:val="00A33918"/>
    <w:rsid w:val="00A64D9A"/>
    <w:rsid w:val="00A7629F"/>
    <w:rsid w:val="00A92F55"/>
    <w:rsid w:val="00AF0CEE"/>
    <w:rsid w:val="00B667AD"/>
    <w:rsid w:val="00B84C38"/>
    <w:rsid w:val="00B86C00"/>
    <w:rsid w:val="00B947F6"/>
    <w:rsid w:val="00BD4C74"/>
    <w:rsid w:val="00BF16AA"/>
    <w:rsid w:val="00C354B8"/>
    <w:rsid w:val="00C52517"/>
    <w:rsid w:val="00C60921"/>
    <w:rsid w:val="00C62936"/>
    <w:rsid w:val="00C653F2"/>
    <w:rsid w:val="00C679E6"/>
    <w:rsid w:val="00C908F9"/>
    <w:rsid w:val="00CA0917"/>
    <w:rsid w:val="00CD1B0C"/>
    <w:rsid w:val="00D170F5"/>
    <w:rsid w:val="00D417C2"/>
    <w:rsid w:val="00D60936"/>
    <w:rsid w:val="00D64218"/>
    <w:rsid w:val="00D709EB"/>
    <w:rsid w:val="00D74714"/>
    <w:rsid w:val="00D82F3F"/>
    <w:rsid w:val="00D921C6"/>
    <w:rsid w:val="00D958C2"/>
    <w:rsid w:val="00D97952"/>
    <w:rsid w:val="00E04AB5"/>
    <w:rsid w:val="00E27096"/>
    <w:rsid w:val="00E50EEA"/>
    <w:rsid w:val="00E52F58"/>
    <w:rsid w:val="00EC26AA"/>
    <w:rsid w:val="00ED7A53"/>
    <w:rsid w:val="00EE4273"/>
    <w:rsid w:val="00F02004"/>
    <w:rsid w:val="00F042CB"/>
    <w:rsid w:val="00FC0A95"/>
    <w:rsid w:val="00FC3D9C"/>
    <w:rsid w:val="00FE4A11"/>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B3AD18"/>
  <w15:chartTrackingRefBased/>
  <w15:docId w15:val="{2243850E-12EF-432C-8E56-FED9688DB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link w:val="BodyTextChar"/>
    <w:uiPriority w:val="1"/>
    <w:qFormat/>
    <w:rsid w:val="006A10FD"/>
    <w:pPr>
      <w:widowControl w:val="0"/>
      <w:ind w:left="880"/>
    </w:pPr>
    <w:rPr>
      <w:szCs w:val="24"/>
    </w:rPr>
  </w:style>
  <w:style w:type="paragraph" w:customStyle="1" w:styleId="Firmas">
    <w:name w:val="Firmas"/>
    <w:basedOn w:val="Normal"/>
    <w:pPr>
      <w:tabs>
        <w:tab w:val="center" w:pos="1440"/>
        <w:tab w:val="center" w:pos="7200"/>
      </w:tabs>
    </w:pPr>
    <w:rPr>
      <w:lang w:val="es-ES_tradnl"/>
    </w:rPr>
  </w:style>
  <w:style w:type="character" w:customStyle="1" w:styleId="BodyTextChar">
    <w:name w:val="Body Text Char"/>
    <w:basedOn w:val="DefaultParagraphFont"/>
    <w:link w:val="BodyText"/>
    <w:uiPriority w:val="1"/>
    <w:rsid w:val="006A10FD"/>
    <w:rPr>
      <w:sz w:val="24"/>
      <w:szCs w:val="24"/>
    </w:rPr>
  </w:style>
  <w:style w:type="paragraph" w:styleId="BalloonText">
    <w:name w:val="Balloon Text"/>
    <w:basedOn w:val="Normal"/>
    <w:link w:val="BalloonTextChar"/>
    <w:uiPriority w:val="99"/>
    <w:semiHidden/>
    <w:unhideWhenUsed/>
    <w:rsid w:val="000B5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84B"/>
    <w:rPr>
      <w:rFonts w:ascii="Segoe UI" w:hAnsi="Segoe UI" w:cs="Segoe UI"/>
      <w:sz w:val="18"/>
      <w:szCs w:val="18"/>
    </w:rPr>
  </w:style>
  <w:style w:type="paragraph" w:styleId="ListParagraph">
    <w:name w:val="List Paragraph"/>
    <w:basedOn w:val="Normal"/>
    <w:uiPriority w:val="34"/>
    <w:qFormat/>
    <w:rsid w:val="00874D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1903</Words>
  <Characters>11007</Characters>
  <Application>Microsoft Office Word</Application>
  <DocSecurity>0</DocSecurity>
  <Lines>407</Lines>
  <Paragraphs>133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Carlos E. Rivera Justiniano</dc:creator>
  <cp:keywords/>
  <cp:lastModifiedBy>Gladys J. Burgos Torres</cp:lastModifiedBy>
  <cp:revision>3</cp:revision>
  <cp:lastPrinted>2026-01-12T20:14:00Z</cp:lastPrinted>
  <dcterms:created xsi:type="dcterms:W3CDTF">2026-01-12T21:12:00Z</dcterms:created>
  <dcterms:modified xsi:type="dcterms:W3CDTF">2026-01-13T18:22:00Z</dcterms:modified>
</cp:coreProperties>
</file>