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7A928" w14:textId="77777777" w:rsidR="002670C1" w:rsidRPr="0064564B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>
        <w:rPr>
          <w:rFonts w:ascii="Book Antiqua" w:hAnsi="Book Antiqua"/>
          <w:b/>
          <w:sz w:val="28"/>
          <w:szCs w:val="28"/>
          <w:lang w:val="es-ES_tradnl"/>
        </w:rPr>
        <w:t>GOBIERNO DE PUERTO RICO</w:t>
      </w:r>
    </w:p>
    <w:p w14:paraId="356118BB" w14:textId="77777777" w:rsidR="002670C1" w:rsidRPr="0064564B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68FE966C" w14:textId="2F339FFC" w:rsidR="002670C1" w:rsidRPr="0064564B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>20ma. Asamblea</w:t>
      </w:r>
      <w:r>
        <w:rPr>
          <w:rFonts w:ascii="Book Antiqua" w:hAnsi="Book Antiqua"/>
          <w:szCs w:val="24"/>
          <w:lang w:val="es-ES_tradnl"/>
        </w:rPr>
        <w:tab/>
        <w:t xml:space="preserve">             3ra. Sesión</w:t>
      </w:r>
    </w:p>
    <w:p w14:paraId="158D734E" w14:textId="4A7AA8DB" w:rsidR="002670C1" w:rsidRPr="0064564B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ab/>
        <w:t>Legislativa</w:t>
      </w:r>
      <w:r>
        <w:rPr>
          <w:rFonts w:ascii="Book Antiqua" w:hAnsi="Book Antiqua"/>
          <w:szCs w:val="24"/>
          <w:lang w:val="es-ES_tradnl"/>
        </w:rPr>
        <w:tab/>
        <w:t xml:space="preserve">            Ordinaria</w:t>
      </w:r>
    </w:p>
    <w:p w14:paraId="6E8D3ED1" w14:textId="77777777" w:rsidR="002670C1" w:rsidRPr="0064564B" w:rsidRDefault="002670C1" w:rsidP="002670C1">
      <w:pPr>
        <w:rPr>
          <w:rFonts w:ascii="Book Antiqua" w:hAnsi="Book Antiqua"/>
          <w:lang w:val="es-ES_tradnl"/>
        </w:rPr>
      </w:pPr>
    </w:p>
    <w:p w14:paraId="3BAFBCB4" w14:textId="77777777" w:rsidR="002670C1" w:rsidRPr="0064564B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5FE72B11" w14:textId="77777777" w:rsidR="002670C1" w:rsidRPr="0064564B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426C17AC" w14:textId="77777777" w:rsidR="002670C1" w:rsidRPr="0064564B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50D16FCA" w14:textId="16440297" w:rsidR="002670C1" w:rsidRPr="0064564B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>
        <w:rPr>
          <w:rFonts w:ascii="Book Antiqua" w:hAnsi="Book Antiqua" w:cs="Tahoma"/>
          <w:b/>
          <w:sz w:val="52"/>
          <w:szCs w:val="52"/>
          <w:lang w:val="es-ES_tradnl"/>
        </w:rPr>
        <w:t>R. DE LA C. 539</w:t>
      </w:r>
    </w:p>
    <w:p w14:paraId="2AB71EBC" w14:textId="77777777" w:rsidR="001A14B6" w:rsidRPr="0064564B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0DBA772C" w14:textId="373E49A0" w:rsidR="002670C1" w:rsidRPr="0064564B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>
        <w:rPr>
          <w:rFonts w:ascii="Book Antiqua" w:hAnsi="Book Antiqua" w:cs="Tahoma"/>
          <w:b/>
          <w:sz w:val="28"/>
          <w:szCs w:val="28"/>
          <w:lang w:val="es-ES_tradnl"/>
        </w:rPr>
        <w:t xml:space="preserve">INFORME </w:t>
      </w:r>
      <w:r w:rsidR="000A298C">
        <w:rPr>
          <w:rFonts w:ascii="Book Antiqua" w:hAnsi="Book Antiqua" w:cs="Tahoma"/>
          <w:b/>
          <w:sz w:val="28"/>
          <w:szCs w:val="28"/>
          <w:lang w:val="es-ES_tradnl"/>
        </w:rPr>
        <w:t>NEGA</w:t>
      </w:r>
      <w:r>
        <w:rPr>
          <w:rFonts w:ascii="Book Antiqua" w:hAnsi="Book Antiqua" w:cs="Tahoma"/>
          <w:b/>
          <w:sz w:val="28"/>
          <w:szCs w:val="28"/>
          <w:lang w:val="es-ES_tradnl"/>
        </w:rPr>
        <w:t>TIVO</w:t>
      </w:r>
    </w:p>
    <w:p w14:paraId="457A7DD8" w14:textId="77777777" w:rsidR="002670C1" w:rsidRPr="0064564B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073A9D6A" w14:textId="7CA875EE" w:rsidR="002670C1" w:rsidRPr="0064564B" w:rsidRDefault="002670C1" w:rsidP="002670C1">
      <w:pPr>
        <w:jc w:val="center"/>
        <w:rPr>
          <w:rFonts w:ascii="Book Antiqua" w:hAnsi="Book Antiqua" w:cs="Tahoma"/>
          <w:lang w:val="es-ES_tradnl"/>
        </w:rPr>
      </w:pPr>
      <w:r>
        <w:rPr>
          <w:rFonts w:ascii="Book Antiqua" w:hAnsi="Book Antiqua" w:cs="Tahoma"/>
          <w:lang w:val="es-ES_tradnl"/>
        </w:rPr>
        <w:t xml:space="preserve"> </w:t>
      </w:r>
      <w:r w:rsidR="000A298C">
        <w:rPr>
          <w:rFonts w:ascii="Book Antiqua" w:hAnsi="Book Antiqua" w:cs="Tahoma"/>
          <w:lang w:val="es-ES_tradnl"/>
        </w:rPr>
        <w:t xml:space="preserve">11 de </w:t>
      </w:r>
      <w:r w:rsidR="00B52506">
        <w:rPr>
          <w:rFonts w:ascii="Book Antiqua" w:hAnsi="Book Antiqua" w:cs="Tahoma"/>
          <w:lang w:val="es-ES_tradnl"/>
        </w:rPr>
        <w:t>mayo</w:t>
      </w:r>
      <w:r>
        <w:rPr>
          <w:rFonts w:ascii="Book Antiqua" w:hAnsi="Book Antiqua" w:cs="Tahoma"/>
          <w:lang w:val="es-ES_tradnl"/>
        </w:rPr>
        <w:t xml:space="preserve"> de 2026</w:t>
      </w:r>
    </w:p>
    <w:p w14:paraId="4A980496" w14:textId="77777777" w:rsidR="002670C1" w:rsidRPr="0064564B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44F4CFAD" w14:textId="77777777" w:rsidR="00EF143E" w:rsidRPr="0064564B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ECFE9E0" w14:textId="77777777" w:rsidR="002670C1" w:rsidRPr="0064564B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094C21E7" w14:textId="77777777" w:rsidR="002670C1" w:rsidRPr="0064564B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37CB50E6" w14:textId="5351D362" w:rsidR="00682883" w:rsidRPr="0064564B" w:rsidRDefault="002670C1" w:rsidP="00682883">
      <w:pPr>
        <w:jc w:val="both"/>
        <w:rPr>
          <w:rFonts w:ascii="Book Antiqua" w:hAnsi="Book Antiqua" w:cs="Tahoma"/>
          <w:lang w:val="es-ES_tradnl"/>
        </w:rPr>
      </w:pPr>
      <w:r>
        <w:rPr>
          <w:rFonts w:ascii="Book Antiqua" w:hAnsi="Book Antiqua" w:cs="Tahoma"/>
          <w:lang w:val="es-ES_tradnl"/>
        </w:rPr>
        <w:tab/>
        <w:t xml:space="preserve">La Comisión de Asuntos Internos de la Cámara de Representantes, previo estudio y consideración de la R. de la C. 539, </w:t>
      </w:r>
      <w:r w:rsidR="000A298C">
        <w:rPr>
          <w:rFonts w:ascii="Book Antiqua" w:hAnsi="Book Antiqua" w:cs="Tahoma"/>
          <w:lang w:val="es-ES_tradnl"/>
        </w:rPr>
        <w:t>de la autoría d</w:t>
      </w:r>
      <w:r>
        <w:rPr>
          <w:rFonts w:ascii="Book Antiqua" w:hAnsi="Book Antiqua" w:cs="Tahoma"/>
          <w:lang w:val="es-ES_tradnl"/>
        </w:rPr>
        <w:t xml:space="preserve">el representante Navarro Suárez, </w:t>
      </w:r>
      <w:r w:rsidR="000A298C">
        <w:rPr>
          <w:rFonts w:ascii="Book Antiqua" w:hAnsi="Book Antiqua" w:cs="Tahoma"/>
          <w:lang w:val="es-ES_tradnl"/>
        </w:rPr>
        <w:t>no recomienda</w:t>
      </w:r>
      <w:r>
        <w:rPr>
          <w:rFonts w:ascii="Book Antiqua" w:hAnsi="Book Antiqua" w:cs="Tahoma"/>
          <w:lang w:val="es-ES_tradnl"/>
        </w:rPr>
        <w:t xml:space="preserve"> la aprobación de la medida, cuyo título lee:</w:t>
      </w:r>
    </w:p>
    <w:p w14:paraId="31C593C5" w14:textId="77777777" w:rsidR="00BC1CB2" w:rsidRPr="0064564B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716A98FC" w14:textId="3251FF96" w:rsidR="008D4A0A" w:rsidRPr="0064564B" w:rsidRDefault="00BC1CB2" w:rsidP="0064564B">
      <w:pPr>
        <w:ind w:left="567" w:hanging="567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 w:cs="Tahoma"/>
          <w:lang w:val="es-ES_tradnl"/>
        </w:rPr>
        <w:t xml:space="preserve"> “Para enmendar la Sección 4 de la Resolución de la Cámara 435, aprobada el 7 de octubre de 2025, a los fines de ampliar por ciento ochenta (180) días el término concedido a la Comisión de Banca, Seguros y Comercio de la Cámara de Representantes del Gobierno de Puerto Rico, para rendir el informe final con sus hallazgos, conclusiones y recomendaciones.”</w:t>
      </w:r>
    </w:p>
    <w:p w14:paraId="0066EB36" w14:textId="77777777" w:rsidR="00AD4702" w:rsidRPr="0064564B" w:rsidRDefault="00AD4702" w:rsidP="00AF186C">
      <w:pPr>
        <w:jc w:val="both"/>
        <w:rPr>
          <w:rFonts w:ascii="Book Antiqua" w:hAnsi="Book Antiqua" w:cs="Tahoma"/>
          <w:lang w:val="es-ES_tradnl"/>
        </w:rPr>
      </w:pPr>
    </w:p>
    <w:p w14:paraId="5331B0D5" w14:textId="77777777" w:rsidR="008A1F08" w:rsidRPr="0064564B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553B3D6B" w14:textId="77777777" w:rsidR="00DE02EB" w:rsidRPr="0064564B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25FEB2C4" w14:textId="7E1C04AC" w:rsidR="0064564B" w:rsidRPr="0064564B" w:rsidRDefault="00DE02EB" w:rsidP="004943A6">
      <w:pPr>
        <w:ind w:firstLine="708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La Resolución de la Cámara Núm. 539 tiene el propósito de enmendar la Sección 4 de la Resolución de la Cámara 435, aprobada el 7 de octubre de 2025, para ampliar por ciento ochenta (180) días el término concedido a la Comisión de Banca, Seguros y Comercio de la Cámara de Representantes del Gobierno de Puerto Rico, a los fines de que pueda rendir su informe final con sus hallazgos, conclusiones y recomendaciones sobre la investigación encomendada en torno a las operaciones de la empresa Vank, LLC y su plataforma Vankpay, intermediaria tecnológica de pagos electrónicos entre pacientes y dispensarios de cannabis medicinal, y las preocupaciones de cumplimiento financiero identificadas en su estructura corporativa.</w:t>
      </w:r>
    </w:p>
    <w:p w14:paraId="524EDCC0" w14:textId="77777777" w:rsidR="0064564B" w:rsidRPr="0064564B" w:rsidRDefault="0064564B" w:rsidP="0064564B">
      <w:pPr>
        <w:jc w:val="both"/>
        <w:rPr>
          <w:rFonts w:ascii="Book Antiqua" w:hAnsi="Book Antiqua"/>
          <w:lang w:val="es-ES_tradnl"/>
        </w:rPr>
      </w:pPr>
    </w:p>
    <w:p w14:paraId="6FA876A3" w14:textId="7D97D46E" w:rsidR="000A298C" w:rsidRPr="000A298C" w:rsidRDefault="000A298C" w:rsidP="000A298C">
      <w:pPr>
        <w:ind w:firstLine="720"/>
        <w:jc w:val="both"/>
        <w:rPr>
          <w:rFonts w:ascii="Book Antiqua" w:hAnsi="Book Antiqua" w:cs="Courier New"/>
          <w:color w:val="000000"/>
          <w:lang w:val="es-ES_tradnl" w:eastAsia="es-PR"/>
        </w:rPr>
      </w:pPr>
      <w:r w:rsidRPr="000A298C">
        <w:rPr>
          <w:rFonts w:ascii="Book Antiqua" w:hAnsi="Book Antiqua" w:cs="Courier New"/>
          <w:color w:val="000000"/>
          <w:lang w:val="es-PR" w:eastAsia="es-PR"/>
        </w:rPr>
        <w:t xml:space="preserve">Es preciso señalar que la </w:t>
      </w:r>
      <w:r>
        <w:rPr>
          <w:rFonts w:ascii="Book Antiqua" w:hAnsi="Book Antiqua" w:cs="Courier New"/>
          <w:color w:val="000000"/>
          <w:lang w:val="es-PR" w:eastAsia="es-PR"/>
        </w:rPr>
        <w:t xml:space="preserve">Resolución </w:t>
      </w:r>
      <w:r w:rsidR="006145CD">
        <w:rPr>
          <w:rFonts w:ascii="Book Antiqua" w:hAnsi="Book Antiqua" w:cs="Courier New"/>
          <w:color w:val="000000"/>
          <w:lang w:val="es-PR" w:eastAsia="es-PR"/>
        </w:rPr>
        <w:t>de la Cámara 435</w:t>
      </w:r>
      <w:r>
        <w:rPr>
          <w:rFonts w:ascii="Book Antiqua" w:hAnsi="Book Antiqua" w:cs="Courier New"/>
          <w:color w:val="000000"/>
          <w:lang w:val="es-PR" w:eastAsia="es-PR"/>
        </w:rPr>
        <w:t xml:space="preserve"> es similar a la Resolución de la Cámara 609, aprobada el 4 de mayo de 2026</w:t>
      </w:r>
      <w:r w:rsidR="006145CD">
        <w:rPr>
          <w:rFonts w:ascii="Book Antiqua" w:hAnsi="Book Antiqua" w:cs="Courier New"/>
          <w:color w:val="000000"/>
          <w:lang w:val="es-PR" w:eastAsia="es-PR"/>
        </w:rPr>
        <w:t xml:space="preserve">, la cual ya fue </w:t>
      </w:r>
      <w:r>
        <w:rPr>
          <w:rFonts w:ascii="Book Antiqua" w:hAnsi="Book Antiqua" w:cs="Courier New"/>
          <w:color w:val="000000"/>
          <w:lang w:val="es-PR" w:eastAsia="es-PR"/>
        </w:rPr>
        <w:t xml:space="preserve">referida a la Comisión </w:t>
      </w:r>
      <w:r>
        <w:rPr>
          <w:rFonts w:ascii="Book Antiqua" w:hAnsi="Book Antiqua" w:cs="Courier New"/>
          <w:color w:val="000000"/>
          <w:lang w:val="es-PR" w:eastAsia="es-PR"/>
        </w:rPr>
        <w:lastRenderedPageBreak/>
        <w:t>de Banca, Seguros y Comercio de la Cámara de Representantes</w:t>
      </w:r>
      <w:r w:rsidRPr="000A298C">
        <w:rPr>
          <w:rFonts w:ascii="Book Antiqua" w:hAnsi="Book Antiqua" w:cs="Courier New"/>
          <w:color w:val="000000"/>
          <w:lang w:val="es-PR" w:eastAsia="es-PR"/>
        </w:rPr>
        <w:t xml:space="preserve">. </w:t>
      </w:r>
      <w:r>
        <w:rPr>
          <w:rFonts w:ascii="Book Antiqua" w:hAnsi="Book Antiqua" w:cs="Courier New"/>
          <w:color w:val="000000"/>
          <w:lang w:val="es-PR" w:eastAsia="es-PR"/>
        </w:rPr>
        <w:t>Esta última, ya le concede a dicha Comisión un término de ciento ochenta (180) días</w:t>
      </w:r>
      <w:r w:rsidR="0024255F">
        <w:rPr>
          <w:rFonts w:ascii="Book Antiqua" w:hAnsi="Book Antiqua" w:cs="Courier New"/>
          <w:color w:val="000000"/>
          <w:lang w:val="es-PR" w:eastAsia="es-PR"/>
        </w:rPr>
        <w:t xml:space="preserve"> para la presentación de un informe con sus hallazgos, conclusiones y recomendaciones</w:t>
      </w:r>
      <w:r w:rsidRPr="000A298C">
        <w:rPr>
          <w:rFonts w:ascii="Book Antiqua" w:hAnsi="Book Antiqua" w:cs="Courier New"/>
          <w:color w:val="000000"/>
          <w:lang w:val="es-PR" w:eastAsia="es-PR"/>
        </w:rPr>
        <w:t xml:space="preserve">.  En virtud de lo antes mencionado, entendemos que la Resolución que nos ocupa se tornó académica </w:t>
      </w:r>
      <w:r w:rsidRPr="000A298C">
        <w:rPr>
          <w:rFonts w:ascii="Book Antiqua" w:hAnsi="Book Antiqua" w:cs="Courier New"/>
          <w:color w:val="000000"/>
          <w:lang w:val="es-ES_tradnl" w:eastAsia="es-PR"/>
        </w:rPr>
        <w:t xml:space="preserve">y no estimamos necesario que se le de paso a la R. de la C. </w:t>
      </w:r>
      <w:r w:rsidR="0024255F">
        <w:rPr>
          <w:rFonts w:ascii="Book Antiqua" w:hAnsi="Book Antiqua" w:cs="Courier New"/>
          <w:color w:val="000000"/>
          <w:lang w:val="es-ES_tradnl" w:eastAsia="es-PR"/>
        </w:rPr>
        <w:t>539</w:t>
      </w:r>
      <w:r w:rsidRPr="000A298C">
        <w:rPr>
          <w:rFonts w:ascii="Book Antiqua" w:hAnsi="Book Antiqua" w:cs="Courier New"/>
          <w:color w:val="000000"/>
          <w:lang w:val="es-ES_tradnl" w:eastAsia="es-PR"/>
        </w:rPr>
        <w:t xml:space="preserve">.  </w:t>
      </w:r>
      <w:r w:rsidRPr="000A298C">
        <w:rPr>
          <w:rFonts w:ascii="Book Antiqua" w:hAnsi="Book Antiqua" w:cs="Courier New"/>
          <w:color w:val="000000"/>
          <w:lang w:val="es-PR" w:eastAsia="es-PR"/>
        </w:rPr>
        <w:t xml:space="preserve">Por tanto, esta comisión informante no favorece la aprobación de la presente medida. </w:t>
      </w:r>
    </w:p>
    <w:p w14:paraId="33DA690F" w14:textId="705AE868" w:rsidR="00106FF9" w:rsidRDefault="00106FF9" w:rsidP="00106FF9">
      <w:pPr>
        <w:ind w:firstLine="720"/>
        <w:jc w:val="both"/>
        <w:rPr>
          <w:rFonts w:ascii="Book Antiqua" w:hAnsi="Book Antiqua" w:cs="Tahoma"/>
          <w:lang w:val="es-PR"/>
        </w:rPr>
      </w:pPr>
    </w:p>
    <w:p w14:paraId="7645A4CC" w14:textId="77777777" w:rsidR="006150BB" w:rsidRPr="0064564B" w:rsidRDefault="006150BB" w:rsidP="006150BB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11B431CD" w14:textId="75B0925B" w:rsidR="001A02E8" w:rsidRPr="0064564B" w:rsidRDefault="000A298C" w:rsidP="004943A6">
      <w:pPr>
        <w:pStyle w:val="NormalWeb"/>
        <w:ind w:firstLine="708"/>
        <w:jc w:val="both"/>
        <w:rPr>
          <w:rFonts w:ascii="Book Antiqua" w:hAnsi="Book Antiqua"/>
          <w:sz w:val="24"/>
          <w:szCs w:val="24"/>
          <w:lang w:val="es-ES_tradnl"/>
        </w:rPr>
      </w:pPr>
      <w:r w:rsidRPr="000A298C">
        <w:rPr>
          <w:rFonts w:ascii="Book Antiqua" w:hAnsi="Book Antiqua"/>
          <w:sz w:val="24"/>
          <w:szCs w:val="24"/>
          <w:lang w:val="es-PR"/>
        </w:rPr>
        <w:t xml:space="preserve">Por los fundamentos antes expuestos, la Comisión de Asuntos Internos de la Cámara de Representantes de Puerto Rico, previo estudio y consideración de la Resolución de la Cámara </w:t>
      </w:r>
      <w:r>
        <w:rPr>
          <w:rFonts w:ascii="Book Antiqua" w:hAnsi="Book Antiqua"/>
          <w:sz w:val="24"/>
          <w:szCs w:val="24"/>
          <w:lang w:val="es-PR"/>
        </w:rPr>
        <w:t>539</w:t>
      </w:r>
      <w:r w:rsidRPr="000A298C">
        <w:rPr>
          <w:rFonts w:ascii="Book Antiqua" w:hAnsi="Book Antiqua"/>
          <w:sz w:val="24"/>
          <w:szCs w:val="24"/>
          <w:lang w:val="es-PR"/>
        </w:rPr>
        <w:t>, no recomienda la aprobación de la medida</w:t>
      </w:r>
      <w:r w:rsidR="001A02E8">
        <w:rPr>
          <w:rFonts w:ascii="Book Antiqua" w:hAnsi="Book Antiqua"/>
          <w:sz w:val="24"/>
          <w:szCs w:val="24"/>
          <w:lang w:val="es-ES_tradnl"/>
        </w:rPr>
        <w:t>.</w:t>
      </w:r>
    </w:p>
    <w:p w14:paraId="50FFCE58" w14:textId="77777777" w:rsidR="006150BB" w:rsidRPr="0064564B" w:rsidRDefault="006150BB" w:rsidP="006150BB">
      <w:pPr>
        <w:jc w:val="both"/>
        <w:rPr>
          <w:rFonts w:ascii="Book Antiqua" w:hAnsi="Book Antiqua" w:cs="Tahoma"/>
          <w:lang w:val="es-ES_tradnl"/>
        </w:rPr>
      </w:pPr>
      <w:r>
        <w:rPr>
          <w:rFonts w:ascii="Book Antiqua" w:hAnsi="Book Antiqua" w:cs="Tahoma"/>
          <w:lang w:val="es-ES_tradnl"/>
        </w:rPr>
        <w:t>Respetuosamente sometido,</w:t>
      </w:r>
    </w:p>
    <w:p w14:paraId="788BD5EC" w14:textId="77777777" w:rsidR="00DF3E6F" w:rsidRPr="0064564B" w:rsidRDefault="00DF3E6F" w:rsidP="00DF3E6F">
      <w:pPr>
        <w:jc w:val="both"/>
        <w:rPr>
          <w:rFonts w:ascii="Book Antiqua" w:hAnsi="Book Antiqua"/>
          <w:lang w:val="es-ES_tradnl"/>
        </w:rPr>
      </w:pPr>
    </w:p>
    <w:p w14:paraId="3F4BB2E4" w14:textId="591E7D20" w:rsidR="00F27289" w:rsidRPr="0064564B" w:rsidRDefault="000F1167" w:rsidP="000F1167">
      <w:pPr>
        <w:jc w:val="both"/>
        <w:rPr>
          <w:rFonts w:ascii="Book Antiqua" w:hAnsi="Book Antiqua"/>
          <w:b/>
          <w:u w:val="single"/>
          <w:lang w:val="es-ES_tradnl"/>
        </w:rPr>
      </w:pPr>
      <w:r>
        <w:rPr>
          <w:rFonts w:ascii="Book Antiqua" w:hAnsi="Book Antiqua"/>
          <w:lang w:val="es-ES_tradnl"/>
        </w:rPr>
        <w:t xml:space="preserve">    </w:t>
      </w:r>
    </w:p>
    <w:p w14:paraId="0D4A074B" w14:textId="77777777" w:rsidR="003F3D8D" w:rsidRPr="0064564B" w:rsidRDefault="003F3D8D" w:rsidP="003F3D8D">
      <w:pPr>
        <w:jc w:val="both"/>
        <w:rPr>
          <w:rFonts w:ascii="Book Antiqua" w:hAnsi="Book Antiqua" w:cs="Tahoma"/>
          <w:b/>
          <w:bCs/>
          <w:lang w:val="es-ES_tradnl"/>
        </w:rPr>
      </w:pPr>
    </w:p>
    <w:p w14:paraId="6C06768D" w14:textId="77777777" w:rsidR="003F3D8D" w:rsidRPr="0064564B" w:rsidRDefault="003F3D8D" w:rsidP="003F3D8D">
      <w:pPr>
        <w:rPr>
          <w:rFonts w:ascii="Book Antiqua" w:hAnsi="Book Antiqua" w:cs="Tahoma"/>
          <w:lang w:val="es-ES_tradnl"/>
        </w:rPr>
      </w:pPr>
    </w:p>
    <w:p w14:paraId="7DC33FC3" w14:textId="4F4319C4" w:rsidR="00307416" w:rsidRPr="0064564B" w:rsidRDefault="003F3D8D" w:rsidP="008A4022">
      <w:pPr>
        <w:rPr>
          <w:rFonts w:ascii="Book Antiqua" w:hAnsi="Book Antiqua"/>
          <w:b/>
          <w:smallCaps/>
          <w:lang w:val="es-ES_tradnl"/>
        </w:rPr>
      </w:pPr>
      <w:r>
        <w:rPr>
          <w:rFonts w:ascii="Book Antiqua" w:hAnsi="Book Antiqua" w:cs="Tahoma"/>
          <w:b/>
          <w:bCs/>
          <w:lang w:val="es-ES_tradnl"/>
        </w:rPr>
        <w:t>PEDRO JULIO SANTIAGO GUZMÁN</w:t>
      </w:r>
      <w:r>
        <w:rPr>
          <w:rFonts w:ascii="Book Antiqua" w:hAnsi="Book Antiqua" w:cs="Tahoma"/>
          <w:lang w:val="es-ES_tradnl"/>
        </w:rPr>
        <w:br/>
        <w:t>Presidente</w:t>
      </w:r>
      <w:r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64564B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91CA8E" w14:textId="77777777" w:rsidR="00A14F25" w:rsidRDefault="00A14F25" w:rsidP="00614C2C">
      <w:r>
        <w:separator/>
      </w:r>
    </w:p>
  </w:endnote>
  <w:endnote w:type="continuationSeparator" w:id="0">
    <w:p w14:paraId="10281C97" w14:textId="77777777" w:rsidR="00A14F25" w:rsidRDefault="00A14F25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3894"/>
      <w:docPartObj>
        <w:docPartGallery w:val="Page Numbers (Bottom of Page)"/>
        <w:docPartUnique/>
      </w:docPartObj>
    </w:sdtPr>
    <w:sdtContent>
      <w:p w14:paraId="44ACDD43" w14:textId="77777777" w:rsidR="009E2C2B" w:rsidRDefault="009E2C2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6632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6B11BF2" w14:textId="77777777" w:rsidR="009E2C2B" w:rsidRDefault="009E2C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58D8D1" w14:textId="77777777" w:rsidR="00A14F25" w:rsidRDefault="00A14F25" w:rsidP="00614C2C">
      <w:r>
        <w:separator/>
      </w:r>
    </w:p>
  </w:footnote>
  <w:footnote w:type="continuationSeparator" w:id="0">
    <w:p w14:paraId="6203763F" w14:textId="77777777" w:rsidR="00A14F25" w:rsidRDefault="00A14F25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A65AF6"/>
    <w:multiLevelType w:val="multilevel"/>
    <w:tmpl w:val="AE14D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04064834">
    <w:abstractNumId w:val="6"/>
  </w:num>
  <w:num w:numId="2" w16cid:durableId="701593225">
    <w:abstractNumId w:val="12"/>
  </w:num>
  <w:num w:numId="3" w16cid:durableId="2090954258">
    <w:abstractNumId w:val="3"/>
  </w:num>
  <w:num w:numId="4" w16cid:durableId="115829326">
    <w:abstractNumId w:val="1"/>
  </w:num>
  <w:num w:numId="5" w16cid:durableId="2132896718">
    <w:abstractNumId w:val="7"/>
  </w:num>
  <w:num w:numId="6" w16cid:durableId="1287928530">
    <w:abstractNumId w:val="4"/>
  </w:num>
  <w:num w:numId="7" w16cid:durableId="145702802">
    <w:abstractNumId w:val="5"/>
  </w:num>
  <w:num w:numId="8" w16cid:durableId="1687904124">
    <w:abstractNumId w:val="8"/>
  </w:num>
  <w:num w:numId="9" w16cid:durableId="328555671">
    <w:abstractNumId w:val="9"/>
  </w:num>
  <w:num w:numId="10" w16cid:durableId="227107068">
    <w:abstractNumId w:val="0"/>
  </w:num>
  <w:num w:numId="11" w16cid:durableId="77211807">
    <w:abstractNumId w:val="2"/>
  </w:num>
  <w:num w:numId="12" w16cid:durableId="108741943">
    <w:abstractNumId w:val="11"/>
  </w:num>
  <w:num w:numId="13" w16cid:durableId="103928267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70C1"/>
    <w:rsid w:val="00021116"/>
    <w:rsid w:val="000219DE"/>
    <w:rsid w:val="00031006"/>
    <w:rsid w:val="000606B3"/>
    <w:rsid w:val="000608DB"/>
    <w:rsid w:val="00062F39"/>
    <w:rsid w:val="00075A15"/>
    <w:rsid w:val="000836CB"/>
    <w:rsid w:val="00083DFD"/>
    <w:rsid w:val="000A298C"/>
    <w:rsid w:val="000A3CD4"/>
    <w:rsid w:val="000C6264"/>
    <w:rsid w:val="000E15AD"/>
    <w:rsid w:val="000F1167"/>
    <w:rsid w:val="00106FF9"/>
    <w:rsid w:val="00133986"/>
    <w:rsid w:val="0014288C"/>
    <w:rsid w:val="00161231"/>
    <w:rsid w:val="00173884"/>
    <w:rsid w:val="001763F4"/>
    <w:rsid w:val="00181B70"/>
    <w:rsid w:val="00194744"/>
    <w:rsid w:val="001A02E8"/>
    <w:rsid w:val="001A14B6"/>
    <w:rsid w:val="001A7203"/>
    <w:rsid w:val="001D3E64"/>
    <w:rsid w:val="001E38DF"/>
    <w:rsid w:val="001E5575"/>
    <w:rsid w:val="00220B04"/>
    <w:rsid w:val="00224DE4"/>
    <w:rsid w:val="002252A6"/>
    <w:rsid w:val="002345C3"/>
    <w:rsid w:val="0023528E"/>
    <w:rsid w:val="0024255F"/>
    <w:rsid w:val="00247790"/>
    <w:rsid w:val="002670C1"/>
    <w:rsid w:val="00272823"/>
    <w:rsid w:val="0028725D"/>
    <w:rsid w:val="00287E61"/>
    <w:rsid w:val="002905BE"/>
    <w:rsid w:val="0029076F"/>
    <w:rsid w:val="00295113"/>
    <w:rsid w:val="002954B6"/>
    <w:rsid w:val="002A5F77"/>
    <w:rsid w:val="002C39FD"/>
    <w:rsid w:val="002E3557"/>
    <w:rsid w:val="00307416"/>
    <w:rsid w:val="00312365"/>
    <w:rsid w:val="003139DC"/>
    <w:rsid w:val="00323444"/>
    <w:rsid w:val="00325F98"/>
    <w:rsid w:val="003264B2"/>
    <w:rsid w:val="00333864"/>
    <w:rsid w:val="00334D8A"/>
    <w:rsid w:val="003474D4"/>
    <w:rsid w:val="00350550"/>
    <w:rsid w:val="0037030F"/>
    <w:rsid w:val="00373892"/>
    <w:rsid w:val="00377037"/>
    <w:rsid w:val="00382273"/>
    <w:rsid w:val="0038556D"/>
    <w:rsid w:val="003976DE"/>
    <w:rsid w:val="003B03D6"/>
    <w:rsid w:val="003C4916"/>
    <w:rsid w:val="003D1498"/>
    <w:rsid w:val="003E29B3"/>
    <w:rsid w:val="003F3D8D"/>
    <w:rsid w:val="00410C54"/>
    <w:rsid w:val="004129D2"/>
    <w:rsid w:val="0043389C"/>
    <w:rsid w:val="00445CFE"/>
    <w:rsid w:val="004552A8"/>
    <w:rsid w:val="00455A9A"/>
    <w:rsid w:val="00466325"/>
    <w:rsid w:val="004761BE"/>
    <w:rsid w:val="00476691"/>
    <w:rsid w:val="00494052"/>
    <w:rsid w:val="00494388"/>
    <w:rsid w:val="004943A6"/>
    <w:rsid w:val="004C1BC6"/>
    <w:rsid w:val="004C217E"/>
    <w:rsid w:val="004C29A4"/>
    <w:rsid w:val="004C5BCE"/>
    <w:rsid w:val="004D42C2"/>
    <w:rsid w:val="004E3952"/>
    <w:rsid w:val="004F2026"/>
    <w:rsid w:val="00506C85"/>
    <w:rsid w:val="00525E8D"/>
    <w:rsid w:val="0053434B"/>
    <w:rsid w:val="00580E90"/>
    <w:rsid w:val="00582242"/>
    <w:rsid w:val="005930E2"/>
    <w:rsid w:val="005A5DF4"/>
    <w:rsid w:val="005A7E47"/>
    <w:rsid w:val="005D0B8C"/>
    <w:rsid w:val="005D3224"/>
    <w:rsid w:val="005D51AC"/>
    <w:rsid w:val="005F6537"/>
    <w:rsid w:val="00601225"/>
    <w:rsid w:val="00602A25"/>
    <w:rsid w:val="00606351"/>
    <w:rsid w:val="006145CD"/>
    <w:rsid w:val="00614C2C"/>
    <w:rsid w:val="006150BB"/>
    <w:rsid w:val="0062204F"/>
    <w:rsid w:val="00624D05"/>
    <w:rsid w:val="00627D91"/>
    <w:rsid w:val="00632DBA"/>
    <w:rsid w:val="00644454"/>
    <w:rsid w:val="0064564B"/>
    <w:rsid w:val="006456B8"/>
    <w:rsid w:val="006469A2"/>
    <w:rsid w:val="00680F2A"/>
    <w:rsid w:val="00682883"/>
    <w:rsid w:val="00686426"/>
    <w:rsid w:val="006B0997"/>
    <w:rsid w:val="007106D1"/>
    <w:rsid w:val="00712D94"/>
    <w:rsid w:val="007156BD"/>
    <w:rsid w:val="00756CF6"/>
    <w:rsid w:val="0076703E"/>
    <w:rsid w:val="00774628"/>
    <w:rsid w:val="00776B6F"/>
    <w:rsid w:val="00780620"/>
    <w:rsid w:val="00781922"/>
    <w:rsid w:val="0079275C"/>
    <w:rsid w:val="007B31DC"/>
    <w:rsid w:val="007B6091"/>
    <w:rsid w:val="007C5A2C"/>
    <w:rsid w:val="007D7209"/>
    <w:rsid w:val="007F0E20"/>
    <w:rsid w:val="007F3B99"/>
    <w:rsid w:val="00812C0F"/>
    <w:rsid w:val="008171E8"/>
    <w:rsid w:val="008251C1"/>
    <w:rsid w:val="00846B7C"/>
    <w:rsid w:val="00851127"/>
    <w:rsid w:val="00856D1E"/>
    <w:rsid w:val="0086434A"/>
    <w:rsid w:val="008A1F08"/>
    <w:rsid w:val="008A4022"/>
    <w:rsid w:val="008B1E7C"/>
    <w:rsid w:val="008B6BF6"/>
    <w:rsid w:val="008B76CA"/>
    <w:rsid w:val="008C4EC6"/>
    <w:rsid w:val="008C757B"/>
    <w:rsid w:val="008D4A0A"/>
    <w:rsid w:val="008E0870"/>
    <w:rsid w:val="008E310D"/>
    <w:rsid w:val="008E31FE"/>
    <w:rsid w:val="00907020"/>
    <w:rsid w:val="00927065"/>
    <w:rsid w:val="00935128"/>
    <w:rsid w:val="009757CC"/>
    <w:rsid w:val="0098035D"/>
    <w:rsid w:val="00981986"/>
    <w:rsid w:val="009852EB"/>
    <w:rsid w:val="00987BD8"/>
    <w:rsid w:val="0099466E"/>
    <w:rsid w:val="009A622B"/>
    <w:rsid w:val="009A6A71"/>
    <w:rsid w:val="009A7DF3"/>
    <w:rsid w:val="009E27AD"/>
    <w:rsid w:val="009E2C2B"/>
    <w:rsid w:val="009E7623"/>
    <w:rsid w:val="009F06E0"/>
    <w:rsid w:val="00A012A2"/>
    <w:rsid w:val="00A14380"/>
    <w:rsid w:val="00A14F25"/>
    <w:rsid w:val="00A15740"/>
    <w:rsid w:val="00A16A73"/>
    <w:rsid w:val="00A21C7C"/>
    <w:rsid w:val="00A365D9"/>
    <w:rsid w:val="00A4759F"/>
    <w:rsid w:val="00A53279"/>
    <w:rsid w:val="00A55420"/>
    <w:rsid w:val="00A84A3B"/>
    <w:rsid w:val="00AB0555"/>
    <w:rsid w:val="00AB099D"/>
    <w:rsid w:val="00AC06D5"/>
    <w:rsid w:val="00AC35C0"/>
    <w:rsid w:val="00AD4702"/>
    <w:rsid w:val="00AF186C"/>
    <w:rsid w:val="00B0402B"/>
    <w:rsid w:val="00B16CF6"/>
    <w:rsid w:val="00B2058B"/>
    <w:rsid w:val="00B26882"/>
    <w:rsid w:val="00B30114"/>
    <w:rsid w:val="00B330A4"/>
    <w:rsid w:val="00B34E25"/>
    <w:rsid w:val="00B475D2"/>
    <w:rsid w:val="00B52506"/>
    <w:rsid w:val="00B557DA"/>
    <w:rsid w:val="00B65C62"/>
    <w:rsid w:val="00B805AA"/>
    <w:rsid w:val="00B9373D"/>
    <w:rsid w:val="00B95BFE"/>
    <w:rsid w:val="00BA0E34"/>
    <w:rsid w:val="00BA5BE6"/>
    <w:rsid w:val="00BB5CBB"/>
    <w:rsid w:val="00BB7D59"/>
    <w:rsid w:val="00BC0AB4"/>
    <w:rsid w:val="00BC1CB2"/>
    <w:rsid w:val="00BC1D0C"/>
    <w:rsid w:val="00BD1667"/>
    <w:rsid w:val="00BD5F6F"/>
    <w:rsid w:val="00BE6F7F"/>
    <w:rsid w:val="00BF384D"/>
    <w:rsid w:val="00C05FA6"/>
    <w:rsid w:val="00C20404"/>
    <w:rsid w:val="00C211F8"/>
    <w:rsid w:val="00C321E8"/>
    <w:rsid w:val="00C456AB"/>
    <w:rsid w:val="00C52FD2"/>
    <w:rsid w:val="00C83EB5"/>
    <w:rsid w:val="00CA370E"/>
    <w:rsid w:val="00CB0A0E"/>
    <w:rsid w:val="00CB1E5A"/>
    <w:rsid w:val="00CC4336"/>
    <w:rsid w:val="00CC5AB6"/>
    <w:rsid w:val="00CD5EE6"/>
    <w:rsid w:val="00CD69DB"/>
    <w:rsid w:val="00D17ADE"/>
    <w:rsid w:val="00D42962"/>
    <w:rsid w:val="00D73B0E"/>
    <w:rsid w:val="00D77659"/>
    <w:rsid w:val="00DA3200"/>
    <w:rsid w:val="00DB261B"/>
    <w:rsid w:val="00DC4718"/>
    <w:rsid w:val="00DD5285"/>
    <w:rsid w:val="00DD725F"/>
    <w:rsid w:val="00DE02EB"/>
    <w:rsid w:val="00DE16BB"/>
    <w:rsid w:val="00DE241A"/>
    <w:rsid w:val="00DE27F5"/>
    <w:rsid w:val="00DE7E07"/>
    <w:rsid w:val="00DF3E6F"/>
    <w:rsid w:val="00E032DE"/>
    <w:rsid w:val="00E04853"/>
    <w:rsid w:val="00E13CC6"/>
    <w:rsid w:val="00E33303"/>
    <w:rsid w:val="00E7273B"/>
    <w:rsid w:val="00E8699D"/>
    <w:rsid w:val="00E86FF9"/>
    <w:rsid w:val="00EB0209"/>
    <w:rsid w:val="00EB3FFE"/>
    <w:rsid w:val="00ED37CF"/>
    <w:rsid w:val="00EF143E"/>
    <w:rsid w:val="00EF4A8F"/>
    <w:rsid w:val="00F059A3"/>
    <w:rsid w:val="00F06902"/>
    <w:rsid w:val="00F21532"/>
    <w:rsid w:val="00F226DF"/>
    <w:rsid w:val="00F27289"/>
    <w:rsid w:val="00F36705"/>
    <w:rsid w:val="00F533D4"/>
    <w:rsid w:val="00F8240A"/>
    <w:rsid w:val="00FA0364"/>
    <w:rsid w:val="00FA36D1"/>
    <w:rsid w:val="00FA5F29"/>
    <w:rsid w:val="00FC4A75"/>
    <w:rsid w:val="00FD186E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663463"/>
  <w15:docId w15:val="{F1EAB83C-DDB6-4C41-9467-B95C0DA0CB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basedOn w:val="DefaultParagraphFont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pPr>
      <w:spacing w:after="0" w:line="240" w:lineRule="auto"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Theme="minorHAnsi"/>
      <w:sz w:val="20"/>
      <w:szCs w:val="20"/>
    </w:rPr>
  </w:style>
  <w:style w:type="character" w:styleId="Strong">
    <w:name w:val="Strong"/>
    <w:basedOn w:val="DefaultParagraphFont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0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383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Giancarlo Arniella Vega</dc:creator>
  <cp:lastModifiedBy>Miguel A. Candelario Piñeiro</cp:lastModifiedBy>
  <cp:revision>16</cp:revision>
  <cp:lastPrinted>2026-05-11T14:15:00Z</cp:lastPrinted>
  <dcterms:created xsi:type="dcterms:W3CDTF">2026-05-10T17:55:00Z</dcterms:created>
  <dcterms:modified xsi:type="dcterms:W3CDTF">2026-05-11T14:16:00Z</dcterms:modified>
</cp:coreProperties>
</file>