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37AF3F4F" w:rsidR="00DF7D86" w:rsidRPr="00D160E9"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D160E9">
        <w:rPr>
          <w:rFonts w:ascii="Book Antiqua" w:eastAsia="Book Antiqua" w:hAnsi="Book Antiqua" w:cs="Book Antiqua"/>
          <w:color w:val="000000" w:themeColor="text1"/>
          <w:spacing w:val="12"/>
          <w:sz w:val="28"/>
          <w:szCs w:val="28"/>
          <w:lang w:val="es-PR"/>
        </w:rPr>
        <w:t>GOBIERNO</w:t>
      </w:r>
      <w:r w:rsidR="0038510E" w:rsidRPr="00D160E9">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4E2D2AC8"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A42843">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C13938">
        <w:rPr>
          <w:rFonts w:ascii="Book Antiqua" w:eastAsia="Book Antiqua" w:hAnsi="Book Antiqua" w:cs="Book Antiqua"/>
          <w:color w:val="000000" w:themeColor="text1"/>
          <w:lang w:val="es-PR"/>
        </w:rPr>
        <w:t>3</w:t>
      </w:r>
      <w:r w:rsidR="00A42843">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1711E6" w:rsidRDefault="0038510E">
      <w:pPr>
        <w:spacing w:line="360" w:lineRule="auto"/>
        <w:jc w:val="center"/>
        <w:rPr>
          <w:rFonts w:ascii="Book Antiqua" w:eastAsia="Book Antiqua" w:hAnsi="Book Antiqua" w:cs="Book Antiqua"/>
          <w:b/>
          <w:color w:val="000000" w:themeColor="text1"/>
          <w:sz w:val="36"/>
          <w:szCs w:val="36"/>
          <w:lang w:val="es-PR"/>
        </w:rPr>
      </w:pPr>
      <w:r w:rsidRPr="001711E6">
        <w:rPr>
          <w:rFonts w:ascii="Book Antiqua" w:eastAsia="Book Antiqua" w:hAnsi="Book Antiqua" w:cs="Book Antiqua"/>
          <w:b/>
          <w:color w:val="000000" w:themeColor="text1"/>
          <w:sz w:val="36"/>
          <w:szCs w:val="36"/>
          <w:lang w:val="es-PR"/>
        </w:rPr>
        <w:t>CÁMARA DE REPRESENTANTES</w:t>
      </w:r>
    </w:p>
    <w:p w14:paraId="224C8555" w14:textId="3121EB47"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954C22">
        <w:rPr>
          <w:rFonts w:ascii="Book Antiqua" w:eastAsia="Book Antiqua" w:hAnsi="Book Antiqua" w:cs="Book Antiqua"/>
          <w:b/>
          <w:color w:val="000000" w:themeColor="text1"/>
          <w:sz w:val="52"/>
          <w:szCs w:val="52"/>
          <w:lang w:val="es-PR"/>
        </w:rPr>
        <w:t>1</w:t>
      </w:r>
      <w:r w:rsidR="00C13938">
        <w:rPr>
          <w:rFonts w:ascii="Book Antiqua" w:eastAsia="Book Antiqua" w:hAnsi="Book Antiqua" w:cs="Book Antiqua"/>
          <w:b/>
          <w:color w:val="000000" w:themeColor="text1"/>
          <w:sz w:val="52"/>
          <w:szCs w:val="52"/>
          <w:lang w:val="es-PR"/>
        </w:rPr>
        <w:t>039</w:t>
      </w:r>
    </w:p>
    <w:p w14:paraId="6CA3DF2C" w14:textId="77777777" w:rsidR="00DF7D86" w:rsidRPr="00A42843"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A42843">
        <w:rPr>
          <w:rFonts w:ascii="Book Antiqua" w:eastAsia="Book Antiqua" w:hAnsi="Book Antiqua" w:cs="Book Antiqua"/>
          <w:bCs/>
          <w:color w:val="000000" w:themeColor="text1"/>
          <w:spacing w:val="12"/>
          <w:sz w:val="28"/>
          <w:szCs w:val="28"/>
          <w:lang w:val="es-PR"/>
        </w:rPr>
        <w:t>INFORME POSITIVO</w:t>
      </w:r>
    </w:p>
    <w:p w14:paraId="65B59E42" w14:textId="05054E74" w:rsidR="00DF7D86" w:rsidRPr="001711E6" w:rsidRDefault="00DB7CC5" w:rsidP="00A42843">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27</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C13938">
        <w:rPr>
          <w:rFonts w:ascii="Book Antiqua" w:eastAsia="Book Antiqua" w:hAnsi="Book Antiqua" w:cs="Book Antiqua"/>
          <w:color w:val="000000" w:themeColor="text1"/>
          <w:lang w:val="es-PR"/>
        </w:rPr>
        <w:t>febrero</w:t>
      </w:r>
      <w:r w:rsidR="00C54AD6" w:rsidRPr="001711E6">
        <w:rPr>
          <w:rFonts w:ascii="Book Antiqua" w:eastAsia="Book Antiqua" w:hAnsi="Book Antiqua" w:cs="Book Antiqua"/>
          <w:color w:val="000000" w:themeColor="text1"/>
          <w:lang w:val="es-PR"/>
        </w:rPr>
        <w:t xml:space="preserve"> de 202</w:t>
      </w:r>
      <w:r w:rsidR="00C13938">
        <w:rPr>
          <w:rFonts w:ascii="Book Antiqua" w:eastAsia="Book Antiqua" w:hAnsi="Book Antiqua" w:cs="Book Antiqua"/>
          <w:color w:val="000000" w:themeColor="text1"/>
          <w:lang w:val="es-PR"/>
        </w:rPr>
        <w:t>6</w:t>
      </w:r>
    </w:p>
    <w:p w14:paraId="2714CB15" w14:textId="787FA8DE" w:rsidR="00DF7D86" w:rsidRPr="00A42843" w:rsidRDefault="0038510E" w:rsidP="001F2899">
      <w:pPr>
        <w:spacing w:line="360" w:lineRule="auto"/>
        <w:jc w:val="both"/>
        <w:rPr>
          <w:rFonts w:ascii="Book Antiqua" w:eastAsia="Book Antiqua" w:hAnsi="Book Antiqua" w:cs="Book Antiqua"/>
          <w:bCs/>
          <w:color w:val="000000" w:themeColor="text1"/>
          <w:lang w:val="es-PR"/>
        </w:rPr>
      </w:pPr>
      <w:r w:rsidRPr="00A42843">
        <w:rPr>
          <w:rFonts w:ascii="Book Antiqua" w:eastAsia="Book Antiqua" w:hAnsi="Book Antiqua" w:cs="Book Antiqua"/>
          <w:bCs/>
          <w:color w:val="000000" w:themeColor="text1"/>
          <w:lang w:val="es-PR"/>
        </w:rPr>
        <w:t>A LA CÁMARA DE REPRESENTANTES DE PUERTO RICO</w:t>
      </w:r>
    </w:p>
    <w:p w14:paraId="48CACF04" w14:textId="2FF9A2A6" w:rsidR="00DF7D86" w:rsidRPr="001711E6" w:rsidRDefault="00F169E1" w:rsidP="00D018B2">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w:t>
      </w:r>
      <w:r w:rsidR="007B257D" w:rsidRPr="001711E6">
        <w:rPr>
          <w:rFonts w:ascii="Book Antiqua" w:eastAsia="Book Antiqua" w:hAnsi="Book Antiqua" w:cs="Book Antiqua"/>
          <w:color w:val="000000" w:themeColor="text1"/>
          <w:lang w:val="es-PR"/>
        </w:rPr>
        <w:t xml:space="preserve"> de Puerto Rico</w:t>
      </w:r>
      <w:r w:rsidR="0038510E" w:rsidRPr="001711E6">
        <w:rPr>
          <w:rFonts w:ascii="Book Antiqua" w:eastAsia="Book Antiqua" w:hAnsi="Book Antiqua" w:cs="Book Antiqua"/>
          <w:color w:val="000000" w:themeColor="text1"/>
          <w:lang w:val="es-PR"/>
        </w:rPr>
        <w:t>,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 la C</w:t>
      </w:r>
      <w:r w:rsidR="00954C22">
        <w:rPr>
          <w:rFonts w:ascii="Book Antiqua" w:eastAsia="Book Antiqua" w:hAnsi="Book Antiqua" w:cs="Book Antiqua"/>
          <w:color w:val="000000" w:themeColor="text1"/>
          <w:lang w:val="es-PR"/>
        </w:rPr>
        <w:t>ámara 1</w:t>
      </w:r>
      <w:r w:rsidR="00437B8E">
        <w:rPr>
          <w:rFonts w:ascii="Book Antiqua" w:eastAsia="Book Antiqua" w:hAnsi="Book Antiqua" w:cs="Book Antiqua"/>
          <w:color w:val="000000" w:themeColor="text1"/>
          <w:lang w:val="es-PR"/>
        </w:rPr>
        <w:t xml:space="preserve">039 </w:t>
      </w:r>
      <w:r w:rsidR="00A22725">
        <w:rPr>
          <w:rFonts w:ascii="Book Antiqua" w:eastAsia="Book Antiqua" w:hAnsi="Book Antiqua" w:cs="Book Antiqua"/>
          <w:color w:val="000000" w:themeColor="text1"/>
          <w:lang w:val="es-PR"/>
        </w:rPr>
        <w:t>(P. de la C. 1</w:t>
      </w:r>
      <w:r w:rsidR="004A2F7B">
        <w:rPr>
          <w:rFonts w:ascii="Book Antiqua" w:eastAsia="Book Antiqua" w:hAnsi="Book Antiqua" w:cs="Book Antiqua"/>
          <w:color w:val="000000" w:themeColor="text1"/>
          <w:lang w:val="es-PR"/>
        </w:rPr>
        <w:t>039</w:t>
      </w:r>
      <w:r w:rsidR="00A22725">
        <w:rPr>
          <w:rFonts w:ascii="Book Antiqua" w:eastAsia="Book Antiqua" w:hAnsi="Book Antiqua" w:cs="Book Antiqua"/>
          <w:color w:val="000000" w:themeColor="text1"/>
          <w:lang w:val="es-PR"/>
        </w:rPr>
        <w:t>)</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sidR="00A42843">
        <w:rPr>
          <w:rFonts w:ascii="Book Antiqua" w:eastAsia="Book Antiqua" w:hAnsi="Book Antiqua" w:cs="Book Antiqua"/>
          <w:color w:val="000000" w:themeColor="text1"/>
          <w:lang w:val="es-PR"/>
        </w:rPr>
        <w:t>ienda</w:t>
      </w:r>
      <w:r w:rsidR="00D93990" w:rsidRPr="001711E6">
        <w:rPr>
          <w:rFonts w:ascii="Book Antiqua" w:eastAsia="Book Antiqua" w:hAnsi="Book Antiqua" w:cs="Book Antiqua"/>
          <w:color w:val="000000" w:themeColor="text1"/>
          <w:lang w:val="es-PR"/>
        </w:rPr>
        <w:t xml:space="preserve">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B55DDB" w:rsidRPr="001711E6">
        <w:rPr>
          <w:rFonts w:ascii="Book Antiqua" w:eastAsia="Book Antiqua" w:hAnsi="Book Antiqua" w:cs="Book Antiqua"/>
          <w:color w:val="000000" w:themeColor="text1"/>
          <w:lang w:val="es-PR"/>
        </w:rPr>
        <w:t>entirillado</w:t>
      </w:r>
      <w:proofErr w:type="spellEnd"/>
      <w:r w:rsidR="00B55DDB" w:rsidRPr="001711E6">
        <w:rPr>
          <w:rFonts w:ascii="Book Antiqua" w:eastAsia="Book Antiqua" w:hAnsi="Book Antiqua" w:cs="Book Antiqua"/>
          <w:color w:val="000000" w:themeColor="text1"/>
          <w:lang w:val="es-PR"/>
        </w:rPr>
        <w:t xml:space="preserve"> electrónico que se acompaña. </w:t>
      </w:r>
      <w:r w:rsidR="0038510E" w:rsidRPr="001711E6">
        <w:rPr>
          <w:rFonts w:ascii="Book Antiqua" w:eastAsia="Book Antiqua" w:hAnsi="Book Antiqua" w:cs="Book Antiqua"/>
          <w:color w:val="000000" w:themeColor="text1"/>
          <w:lang w:val="es-PR"/>
        </w:rPr>
        <w:t xml:space="preserve"> </w:t>
      </w:r>
    </w:p>
    <w:p w14:paraId="00C5E8B9" w14:textId="77777777" w:rsidR="003B38A4" w:rsidRPr="00A42843" w:rsidRDefault="003B38A4" w:rsidP="001F2899">
      <w:pPr>
        <w:spacing w:line="360" w:lineRule="auto"/>
        <w:jc w:val="center"/>
        <w:rPr>
          <w:rFonts w:ascii="Book Antiqua" w:eastAsia="Book Antiqua" w:hAnsi="Book Antiqua" w:cs="Book Antiqua"/>
          <w:color w:val="000000" w:themeColor="text1"/>
          <w:spacing w:val="12"/>
          <w:lang w:val="es-PR"/>
        </w:rPr>
      </w:pPr>
      <w:r w:rsidRPr="00A42843">
        <w:rPr>
          <w:rFonts w:ascii="Book Antiqua" w:eastAsia="Book Antiqua" w:hAnsi="Book Antiqua" w:cs="Book Antiqua"/>
          <w:color w:val="000000" w:themeColor="text1"/>
          <w:spacing w:val="12"/>
          <w:lang w:val="es-PR"/>
        </w:rPr>
        <w:t>ALCANCE DE LA MEDIDA</w:t>
      </w:r>
    </w:p>
    <w:p w14:paraId="60451303" w14:textId="537532E2" w:rsidR="001015D5" w:rsidRPr="001711E6" w:rsidRDefault="003B38A4" w:rsidP="00A42843">
      <w:pPr>
        <w:spacing w:line="288" w:lineRule="auto"/>
        <w:ind w:firstLine="720"/>
        <w:jc w:val="both"/>
        <w:rPr>
          <w:rFonts w:ascii="Book Antiqua" w:eastAsia="Book Antiqua" w:hAnsi="Book Antiqua" w:cs="Book Antiqua"/>
          <w:color w:val="000000" w:themeColor="text1"/>
          <w:lang w:val="es-PR"/>
        </w:rPr>
      </w:pPr>
      <w:r w:rsidRPr="00E45162">
        <w:rPr>
          <w:rFonts w:ascii="Book Antiqua" w:eastAsia="Book Antiqua" w:hAnsi="Book Antiqua" w:cs="Book Antiqua"/>
          <w:color w:val="000000" w:themeColor="text1"/>
          <w:lang w:val="es-PR"/>
        </w:rPr>
        <w:t xml:space="preserve">El </w:t>
      </w:r>
      <w:r w:rsidR="00851E49" w:rsidRPr="00E45162">
        <w:rPr>
          <w:rFonts w:ascii="Book Antiqua" w:eastAsia="Book Antiqua" w:hAnsi="Book Antiqua" w:cs="Book Antiqua"/>
          <w:color w:val="000000" w:themeColor="text1"/>
          <w:lang w:val="es-PR"/>
        </w:rPr>
        <w:t>P</w:t>
      </w:r>
      <w:r w:rsidR="00382AD9" w:rsidRPr="00E45162">
        <w:rPr>
          <w:rFonts w:ascii="Book Antiqua" w:eastAsia="Book Antiqua" w:hAnsi="Book Antiqua" w:cs="Book Antiqua"/>
          <w:color w:val="000000" w:themeColor="text1"/>
          <w:lang w:val="es-PR"/>
        </w:rPr>
        <w:t>. de la C. 1</w:t>
      </w:r>
      <w:r w:rsidR="00437B8E" w:rsidRPr="00E45162">
        <w:rPr>
          <w:rFonts w:ascii="Book Antiqua" w:eastAsia="Book Antiqua" w:hAnsi="Book Antiqua" w:cs="Book Antiqua"/>
          <w:color w:val="000000" w:themeColor="text1"/>
          <w:lang w:val="es-PR"/>
        </w:rPr>
        <w:t>039</w:t>
      </w:r>
      <w:r w:rsidRPr="00E45162">
        <w:rPr>
          <w:rFonts w:ascii="Book Antiqua" w:eastAsia="Book Antiqua" w:hAnsi="Book Antiqua" w:cs="Book Antiqua"/>
          <w:color w:val="000000" w:themeColor="text1"/>
          <w:lang w:val="es-PR"/>
        </w:rPr>
        <w:t xml:space="preserve"> tiene</w:t>
      </w:r>
      <w:r w:rsidR="00954C22" w:rsidRPr="00E45162">
        <w:rPr>
          <w:rFonts w:ascii="Book Antiqua" w:eastAsia="Book Antiqua" w:hAnsi="Book Antiqua" w:cs="Book Antiqua"/>
          <w:color w:val="000000" w:themeColor="text1"/>
          <w:lang w:val="es-PR"/>
        </w:rPr>
        <w:t xml:space="preserve"> como </w:t>
      </w:r>
      <w:r w:rsidR="00633335" w:rsidRPr="00E45162">
        <w:rPr>
          <w:rFonts w:ascii="Book Antiqua" w:eastAsia="Book Antiqua" w:hAnsi="Book Antiqua" w:cs="Book Antiqua"/>
          <w:color w:val="000000" w:themeColor="text1"/>
          <w:lang w:val="es-PR"/>
        </w:rPr>
        <w:t>propósito</w:t>
      </w:r>
      <w:r w:rsidR="00A22725" w:rsidRPr="00E45162">
        <w:rPr>
          <w:rFonts w:ascii="Book Antiqua" w:eastAsia="Book Antiqua" w:hAnsi="Book Antiqua" w:cs="Book Antiqua"/>
          <w:color w:val="000000" w:themeColor="text1"/>
          <w:lang w:val="es-PR"/>
        </w:rPr>
        <w:t xml:space="preserve"> </w:t>
      </w:r>
      <w:r w:rsidR="00437B8E" w:rsidRPr="00E45162">
        <w:rPr>
          <w:rFonts w:ascii="Book Antiqua" w:hAnsi="Book Antiqua"/>
          <w:color w:val="000000" w:themeColor="text1"/>
          <w:szCs w:val="24"/>
          <w:lang w:val="es-ES_tradnl"/>
        </w:rPr>
        <w:t>derogar la Ley Núm. 70 de 20 de junio de 1963, según enmendada</w:t>
      </w:r>
      <w:r w:rsidR="00DB5770">
        <w:rPr>
          <w:rFonts w:ascii="Book Antiqua" w:hAnsi="Book Antiqua"/>
          <w:color w:val="000000" w:themeColor="text1"/>
          <w:szCs w:val="24"/>
          <w:lang w:val="es-ES_tradnl"/>
        </w:rPr>
        <w:t>;</w:t>
      </w:r>
      <w:r w:rsidR="001F139A">
        <w:rPr>
          <w:rStyle w:val="FootnoteReference"/>
          <w:rFonts w:ascii="Book Antiqua" w:hAnsi="Book Antiqua"/>
          <w:color w:val="000000" w:themeColor="text1"/>
          <w:szCs w:val="24"/>
          <w:lang w:val="es-ES_tradnl"/>
        </w:rPr>
        <w:footnoteReference w:id="1"/>
      </w:r>
      <w:r w:rsidR="00437B8E" w:rsidRPr="00E45162">
        <w:rPr>
          <w:rFonts w:ascii="Book Antiqua" w:hAnsi="Book Antiqua"/>
          <w:color w:val="000000" w:themeColor="text1"/>
          <w:szCs w:val="24"/>
          <w:lang w:val="es-ES_tradnl"/>
        </w:rPr>
        <w:t xml:space="preserve"> </w:t>
      </w:r>
      <w:r w:rsidR="00D018B2">
        <w:rPr>
          <w:rFonts w:ascii="Book Antiqua" w:hAnsi="Book Antiqua"/>
          <w:color w:val="000000" w:themeColor="text1"/>
          <w:szCs w:val="24"/>
          <w:lang w:val="es-ES_tradnl"/>
        </w:rPr>
        <w:t xml:space="preserve">y </w:t>
      </w:r>
      <w:r w:rsidR="00437B8E" w:rsidRPr="00E45162">
        <w:rPr>
          <w:rFonts w:ascii="Book Antiqua" w:hAnsi="Book Antiqua"/>
          <w:color w:val="000000" w:themeColor="text1"/>
          <w:szCs w:val="24"/>
          <w:lang w:val="es-ES_tradnl"/>
        </w:rPr>
        <w:t>enmendar los Artículos 6.6 y 6.8 de la Ley</w:t>
      </w:r>
      <w:r w:rsidR="00D018B2">
        <w:rPr>
          <w:rFonts w:ascii="Book Antiqua" w:hAnsi="Book Antiqua"/>
          <w:color w:val="000000" w:themeColor="text1"/>
          <w:szCs w:val="24"/>
          <w:lang w:val="es-ES_tradnl"/>
        </w:rPr>
        <w:t xml:space="preserve"> </w:t>
      </w:r>
      <w:r w:rsidR="00D018B2" w:rsidRPr="00E45162">
        <w:rPr>
          <w:rFonts w:ascii="Book Antiqua" w:hAnsi="Book Antiqua"/>
          <w:color w:val="000000" w:themeColor="text1"/>
          <w:szCs w:val="24"/>
          <w:lang w:val="es-ES_tradnl"/>
        </w:rPr>
        <w:t>Núm.</w:t>
      </w:r>
      <w:r w:rsidR="00437B8E" w:rsidRPr="00E45162">
        <w:rPr>
          <w:rFonts w:ascii="Book Antiqua" w:hAnsi="Book Antiqua"/>
          <w:color w:val="000000" w:themeColor="text1"/>
          <w:szCs w:val="24"/>
          <w:lang w:val="es-ES_tradnl"/>
        </w:rPr>
        <w:t xml:space="preserve"> 8-2017, según enmendada,</w:t>
      </w:r>
      <w:r w:rsidR="00D018B2">
        <w:rPr>
          <w:rStyle w:val="FootnoteReference"/>
          <w:rFonts w:ascii="Book Antiqua" w:hAnsi="Book Antiqua"/>
          <w:color w:val="000000" w:themeColor="text1"/>
          <w:szCs w:val="24"/>
          <w:lang w:val="es-ES_tradnl"/>
        </w:rPr>
        <w:footnoteReference w:id="2"/>
      </w:r>
      <w:r w:rsidR="00437B8E" w:rsidRPr="00E45162">
        <w:rPr>
          <w:rFonts w:ascii="Book Antiqua" w:hAnsi="Book Antiqua"/>
          <w:color w:val="000000" w:themeColor="text1"/>
          <w:szCs w:val="24"/>
          <w:lang w:val="es-ES_tradnl"/>
        </w:rPr>
        <w:t xml:space="preserve"> con el fin de establecer normas más claras sobre la rehabilitación en el servicio público</w:t>
      </w:r>
      <w:r w:rsidR="001015D5" w:rsidRPr="001711E6">
        <w:rPr>
          <w:rFonts w:ascii="Book Antiqua" w:eastAsia="Book Antiqua" w:hAnsi="Book Antiqua" w:cs="Book Antiqua"/>
          <w:color w:val="000000" w:themeColor="text1"/>
          <w:lang w:val="es-PR"/>
        </w:rPr>
        <w:t>.</w:t>
      </w:r>
      <w:r w:rsidR="001F139A">
        <w:rPr>
          <w:rStyle w:val="FootnoteReference"/>
          <w:rFonts w:ascii="Book Antiqua" w:eastAsia="Book Antiqua" w:hAnsi="Book Antiqua" w:cs="Book Antiqua"/>
          <w:color w:val="000000" w:themeColor="text1"/>
          <w:lang w:val="es-PR"/>
        </w:rPr>
        <w:footnoteReference w:id="3"/>
      </w:r>
      <w:r w:rsidR="001015D5" w:rsidRPr="001711E6">
        <w:rPr>
          <w:rFonts w:ascii="Book Antiqua" w:eastAsia="Book Antiqua" w:hAnsi="Book Antiqua" w:cs="Book Antiqua"/>
          <w:color w:val="000000" w:themeColor="text1"/>
          <w:lang w:val="es-PR"/>
        </w:rPr>
        <w:t xml:space="preserve"> </w:t>
      </w:r>
    </w:p>
    <w:p w14:paraId="0B26FB88" w14:textId="77777777" w:rsidR="00015228" w:rsidRPr="001711E6" w:rsidRDefault="00015228" w:rsidP="001F2899">
      <w:pPr>
        <w:spacing w:line="360" w:lineRule="auto"/>
        <w:jc w:val="center"/>
        <w:rPr>
          <w:rFonts w:ascii="Book Antiqua" w:eastAsia="Book Antiqua" w:hAnsi="Book Antiqua" w:cs="Book Antiqua"/>
          <w:b/>
          <w:bCs/>
          <w:color w:val="000000" w:themeColor="text1"/>
          <w:lang w:val="es-PR"/>
        </w:rPr>
      </w:pPr>
    </w:p>
    <w:p w14:paraId="742D0E70" w14:textId="77777777" w:rsidR="00762646" w:rsidRDefault="00762646" w:rsidP="001F2899">
      <w:pPr>
        <w:spacing w:line="360" w:lineRule="auto"/>
        <w:jc w:val="center"/>
        <w:rPr>
          <w:rFonts w:ascii="Book Antiqua" w:eastAsia="Book Antiqua" w:hAnsi="Book Antiqua" w:cs="Book Antiqua"/>
          <w:b/>
          <w:bCs/>
          <w:color w:val="000000" w:themeColor="text1"/>
          <w:lang w:val="es-PR"/>
        </w:rPr>
      </w:pPr>
    </w:p>
    <w:p w14:paraId="4E6956EF" w14:textId="77777777" w:rsidR="00762646" w:rsidRDefault="00762646" w:rsidP="001F2899">
      <w:pPr>
        <w:spacing w:line="360" w:lineRule="auto"/>
        <w:jc w:val="center"/>
        <w:rPr>
          <w:rFonts w:ascii="Book Antiqua" w:eastAsia="Book Antiqua" w:hAnsi="Book Antiqua" w:cs="Book Antiqua"/>
          <w:b/>
          <w:bCs/>
          <w:color w:val="000000" w:themeColor="text1"/>
          <w:lang w:val="es-PR"/>
        </w:rPr>
      </w:pPr>
    </w:p>
    <w:p w14:paraId="4EF4AB4E" w14:textId="77777777" w:rsidR="00DB5770" w:rsidRDefault="00DB5770" w:rsidP="001F2899">
      <w:pPr>
        <w:spacing w:line="360" w:lineRule="auto"/>
        <w:jc w:val="center"/>
        <w:rPr>
          <w:rFonts w:ascii="Book Antiqua" w:eastAsia="Book Antiqua" w:hAnsi="Book Antiqua" w:cs="Book Antiqua"/>
          <w:b/>
          <w:bCs/>
          <w:color w:val="000000" w:themeColor="text1"/>
          <w:lang w:val="es-PR"/>
        </w:rPr>
      </w:pPr>
    </w:p>
    <w:p w14:paraId="5D6CA5C7" w14:textId="77777777" w:rsidR="00A42843" w:rsidRDefault="00A42843" w:rsidP="001F2899">
      <w:pPr>
        <w:spacing w:line="360" w:lineRule="auto"/>
        <w:jc w:val="center"/>
        <w:rPr>
          <w:rFonts w:ascii="Book Antiqua" w:eastAsia="Book Antiqua" w:hAnsi="Book Antiqua" w:cs="Book Antiqua"/>
          <w:b/>
          <w:bCs/>
          <w:color w:val="000000" w:themeColor="text1"/>
          <w:lang w:val="es-PR"/>
        </w:rPr>
      </w:pPr>
    </w:p>
    <w:p w14:paraId="56FD8C61" w14:textId="77777777" w:rsidR="00A42843" w:rsidRDefault="00A42843" w:rsidP="001F2899">
      <w:pPr>
        <w:spacing w:line="360" w:lineRule="auto"/>
        <w:jc w:val="center"/>
        <w:rPr>
          <w:rFonts w:ascii="Book Antiqua" w:eastAsia="Book Antiqua" w:hAnsi="Book Antiqua" w:cs="Book Antiqua"/>
          <w:b/>
          <w:bCs/>
          <w:color w:val="000000" w:themeColor="text1"/>
          <w:lang w:val="es-PR"/>
        </w:rPr>
      </w:pPr>
    </w:p>
    <w:p w14:paraId="59AC646E" w14:textId="7F8FE5A1" w:rsidR="003B38A4" w:rsidRPr="001F139A" w:rsidRDefault="003B38A4" w:rsidP="001F2899">
      <w:pPr>
        <w:spacing w:line="360" w:lineRule="auto"/>
        <w:jc w:val="center"/>
        <w:rPr>
          <w:rFonts w:ascii="Book Antiqua" w:eastAsia="Book Antiqua" w:hAnsi="Book Antiqua" w:cs="Book Antiqua"/>
          <w:color w:val="000000" w:themeColor="text1"/>
          <w:spacing w:val="12"/>
          <w:lang w:val="es-PR"/>
        </w:rPr>
      </w:pPr>
      <w:r w:rsidRPr="001F139A">
        <w:rPr>
          <w:rFonts w:ascii="Book Antiqua" w:eastAsia="Book Antiqua" w:hAnsi="Book Antiqua" w:cs="Book Antiqua"/>
          <w:color w:val="000000" w:themeColor="text1"/>
          <w:spacing w:val="12"/>
          <w:lang w:val="es-PR"/>
        </w:rPr>
        <w:lastRenderedPageBreak/>
        <w:t>ANÁLISIS DE LA MEDIDA</w:t>
      </w:r>
    </w:p>
    <w:p w14:paraId="0C95D678" w14:textId="5A7B6F61" w:rsidR="00AF449A" w:rsidRDefault="00EC7D5C" w:rsidP="007052E7">
      <w:pPr>
        <w:spacing w:line="288" w:lineRule="auto"/>
        <w:ind w:firstLine="720"/>
        <w:jc w:val="both"/>
        <w:rPr>
          <w:rFonts w:ascii="Book Antiqua" w:eastAsia="Book Antiqua" w:hAnsi="Book Antiqua" w:cs="Book Antiqua"/>
          <w:color w:val="000000" w:themeColor="text1"/>
          <w:lang w:val="es-ES"/>
        </w:rPr>
      </w:pPr>
      <w:r w:rsidRPr="001711E6">
        <w:rPr>
          <w:rFonts w:ascii="Book Antiqua" w:eastAsia="Book Antiqua" w:hAnsi="Book Antiqua" w:cs="Book Antiqua"/>
          <w:color w:val="000000" w:themeColor="text1"/>
          <w:lang w:val="es-PR"/>
        </w:rPr>
        <w:t xml:space="preserve">Una </w:t>
      </w:r>
      <w:r w:rsidR="00633335">
        <w:rPr>
          <w:rFonts w:ascii="Book Antiqua" w:eastAsia="Book Antiqua" w:hAnsi="Book Antiqua" w:cs="Book Antiqua"/>
          <w:color w:val="000000" w:themeColor="text1"/>
          <w:lang w:val="es-PR"/>
        </w:rPr>
        <w:t xml:space="preserve">pieza legislativa </w:t>
      </w:r>
      <w:r w:rsidRPr="001711E6">
        <w:rPr>
          <w:rFonts w:ascii="Book Antiqua" w:eastAsia="Book Antiqua" w:hAnsi="Book Antiqua" w:cs="Book Antiqua"/>
          <w:color w:val="000000" w:themeColor="text1"/>
          <w:lang w:val="es-PR"/>
        </w:rPr>
        <w:t>equivalente a</w:t>
      </w:r>
      <w:r w:rsidR="00437B8E">
        <w:rPr>
          <w:rFonts w:ascii="Book Antiqua" w:eastAsia="Book Antiqua" w:hAnsi="Book Antiqua" w:cs="Book Antiqua"/>
          <w:color w:val="000000" w:themeColor="text1"/>
          <w:lang w:val="es-PR"/>
        </w:rPr>
        <w:t xml:space="preserve"> la intención legislativa del</w:t>
      </w:r>
      <w:r w:rsidRPr="001711E6">
        <w:rPr>
          <w:rFonts w:ascii="Book Antiqua" w:eastAsia="Book Antiqua" w:hAnsi="Book Antiqua" w:cs="Book Antiqua"/>
          <w:color w:val="000000" w:themeColor="text1"/>
          <w:lang w:val="es-PR"/>
        </w:rPr>
        <w:t xml:space="preserve"> P. de la C. </w:t>
      </w:r>
      <w:r w:rsidR="00B55DDB" w:rsidRPr="001711E6">
        <w:rPr>
          <w:rFonts w:ascii="Book Antiqua" w:eastAsia="Book Antiqua" w:hAnsi="Book Antiqua" w:cs="Book Antiqua"/>
          <w:color w:val="000000" w:themeColor="text1"/>
          <w:lang w:val="es-PR"/>
        </w:rPr>
        <w:t>1</w:t>
      </w:r>
      <w:r w:rsidR="00437B8E">
        <w:rPr>
          <w:rFonts w:ascii="Book Antiqua" w:eastAsia="Book Antiqua" w:hAnsi="Book Antiqua" w:cs="Book Antiqua"/>
          <w:color w:val="000000" w:themeColor="text1"/>
          <w:lang w:val="es-PR"/>
        </w:rPr>
        <w:t>039</w:t>
      </w:r>
      <w:r w:rsidR="00851E49" w:rsidRPr="001711E6">
        <w:rPr>
          <w:rFonts w:ascii="Book Antiqua" w:eastAsia="Book Antiqua" w:hAnsi="Book Antiqua" w:cs="Book Antiqua"/>
          <w:color w:val="000000" w:themeColor="text1"/>
          <w:lang w:val="es-PR"/>
        </w:rPr>
        <w:t xml:space="preserve"> fue presentad</w:t>
      </w:r>
      <w:r w:rsidRPr="001711E6">
        <w:rPr>
          <w:rFonts w:ascii="Book Antiqua" w:eastAsia="Book Antiqua" w:hAnsi="Book Antiqua" w:cs="Book Antiqua"/>
          <w:color w:val="000000" w:themeColor="text1"/>
          <w:lang w:val="es-PR"/>
        </w:rPr>
        <w:t>a</w:t>
      </w:r>
      <w:r w:rsidR="00851E49" w:rsidRPr="001711E6">
        <w:rPr>
          <w:rFonts w:ascii="Book Antiqua" w:eastAsia="Book Antiqua" w:hAnsi="Book Antiqua" w:cs="Book Antiqua"/>
          <w:color w:val="000000" w:themeColor="text1"/>
          <w:lang w:val="es-PR"/>
        </w:rPr>
        <w:t xml:space="preserve"> durante</w:t>
      </w:r>
      <w:r w:rsidR="00954C22">
        <w:rPr>
          <w:rFonts w:ascii="Book Antiqua" w:eastAsia="Book Antiqua" w:hAnsi="Book Antiqua" w:cs="Book Antiqua"/>
          <w:color w:val="000000" w:themeColor="text1"/>
          <w:lang w:val="es-PR"/>
        </w:rPr>
        <w:t xml:space="preserve"> </w:t>
      </w:r>
      <w:r w:rsidR="00954C22" w:rsidRPr="00954C22">
        <w:rPr>
          <w:rFonts w:ascii="Book Antiqua" w:eastAsia="Book Antiqua" w:hAnsi="Book Antiqua" w:cs="Book Antiqua"/>
          <w:color w:val="000000" w:themeColor="text1"/>
          <w:lang w:val="es-ES"/>
        </w:rPr>
        <w:t>la Decimo</w:t>
      </w:r>
      <w:r w:rsidR="00E45162">
        <w:rPr>
          <w:rFonts w:ascii="Book Antiqua" w:eastAsia="Book Antiqua" w:hAnsi="Book Antiqua" w:cs="Book Antiqua"/>
          <w:color w:val="000000" w:themeColor="text1"/>
          <w:lang w:val="es-ES"/>
        </w:rPr>
        <w:t>novena</w:t>
      </w:r>
      <w:r w:rsidR="00954C22" w:rsidRPr="00954C22">
        <w:rPr>
          <w:rFonts w:ascii="Book Antiqua" w:eastAsia="Book Antiqua" w:hAnsi="Book Antiqua" w:cs="Book Antiqua"/>
          <w:color w:val="000000" w:themeColor="text1"/>
          <w:lang w:val="es-ES"/>
        </w:rPr>
        <w:t xml:space="preserve"> Asamblea Legislativa</w:t>
      </w:r>
      <w:r w:rsidR="00954C22">
        <w:rPr>
          <w:rFonts w:ascii="Book Antiqua" w:eastAsia="Book Antiqua" w:hAnsi="Book Antiqua" w:cs="Book Antiqua"/>
          <w:color w:val="000000" w:themeColor="text1"/>
          <w:lang w:val="es-ES"/>
        </w:rPr>
        <w:t>: Proyecto de la Cámara 1</w:t>
      </w:r>
      <w:r w:rsidR="00E45162">
        <w:rPr>
          <w:rFonts w:ascii="Book Antiqua" w:eastAsia="Book Antiqua" w:hAnsi="Book Antiqua" w:cs="Book Antiqua"/>
          <w:color w:val="000000" w:themeColor="text1"/>
          <w:lang w:val="es-ES"/>
        </w:rPr>
        <w:t>4</w:t>
      </w:r>
      <w:r w:rsidR="00954C22">
        <w:rPr>
          <w:rFonts w:ascii="Book Antiqua" w:eastAsia="Book Antiqua" w:hAnsi="Book Antiqua" w:cs="Book Antiqua"/>
          <w:color w:val="000000" w:themeColor="text1"/>
          <w:lang w:val="es-ES"/>
        </w:rPr>
        <w:t>28</w:t>
      </w:r>
      <w:r w:rsidR="0005774B">
        <w:rPr>
          <w:rFonts w:ascii="Book Antiqua" w:eastAsia="Book Antiqua" w:hAnsi="Book Antiqua" w:cs="Book Antiqua"/>
          <w:color w:val="000000" w:themeColor="text1"/>
          <w:lang w:val="es-ES"/>
        </w:rPr>
        <w:t>.</w:t>
      </w:r>
      <w:r w:rsidR="00954C22">
        <w:rPr>
          <w:rStyle w:val="FootnoteReference"/>
          <w:rFonts w:ascii="Book Antiqua" w:eastAsia="Book Antiqua" w:hAnsi="Book Antiqua" w:cs="Book Antiqua"/>
          <w:color w:val="000000" w:themeColor="text1"/>
          <w:lang w:val="es-ES"/>
        </w:rPr>
        <w:footnoteReference w:id="4"/>
      </w:r>
      <w:r w:rsidR="00954C22" w:rsidRPr="00954C22">
        <w:rPr>
          <w:rFonts w:ascii="Book Antiqua" w:eastAsia="Book Antiqua" w:hAnsi="Book Antiqua" w:cs="Book Antiqua"/>
          <w:color w:val="000000" w:themeColor="text1"/>
          <w:lang w:val="es-ES"/>
        </w:rPr>
        <w:t xml:space="preserve"> </w:t>
      </w:r>
      <w:r w:rsidR="0005774B">
        <w:rPr>
          <w:rFonts w:ascii="Book Antiqua" w:eastAsia="Book Antiqua" w:hAnsi="Book Antiqua" w:cs="Book Antiqua"/>
          <w:color w:val="000000" w:themeColor="text1"/>
          <w:lang w:val="es-ES"/>
        </w:rPr>
        <w:t xml:space="preserve">El 23 de agosto de 2022, esta </w:t>
      </w:r>
      <w:r w:rsidR="00954C22">
        <w:rPr>
          <w:rFonts w:ascii="Book Antiqua" w:eastAsia="Book Antiqua" w:hAnsi="Book Antiqua" w:cs="Book Antiqua"/>
          <w:color w:val="000000" w:themeColor="text1"/>
          <w:lang w:val="es-ES"/>
        </w:rPr>
        <w:t xml:space="preserve">fue </w:t>
      </w:r>
      <w:r w:rsidR="00954C22" w:rsidRPr="00954C22">
        <w:rPr>
          <w:rFonts w:ascii="Book Antiqua" w:eastAsia="Book Antiqua" w:hAnsi="Book Antiqua" w:cs="Book Antiqua"/>
          <w:color w:val="000000" w:themeColor="text1"/>
          <w:lang w:val="es-ES"/>
        </w:rPr>
        <w:t>referid</w:t>
      </w:r>
      <w:r w:rsidR="00E45162">
        <w:rPr>
          <w:rFonts w:ascii="Book Antiqua" w:eastAsia="Book Antiqua" w:hAnsi="Book Antiqua" w:cs="Book Antiqua"/>
          <w:color w:val="000000" w:themeColor="text1"/>
          <w:lang w:val="es-ES"/>
        </w:rPr>
        <w:t>a</w:t>
      </w:r>
      <w:r w:rsidR="00954C22" w:rsidRPr="00954C22">
        <w:rPr>
          <w:rFonts w:ascii="Book Antiqua" w:eastAsia="Book Antiqua" w:hAnsi="Book Antiqua" w:cs="Book Antiqua"/>
          <w:color w:val="000000" w:themeColor="text1"/>
          <w:lang w:val="es-ES"/>
        </w:rPr>
        <w:t xml:space="preserve"> a la Comisión de </w:t>
      </w:r>
      <w:r w:rsidR="00E45162">
        <w:rPr>
          <w:rFonts w:ascii="Book Antiqua" w:eastAsia="Book Antiqua" w:hAnsi="Book Antiqua" w:cs="Book Antiqua"/>
          <w:color w:val="000000" w:themeColor="text1"/>
          <w:lang w:val="es-ES"/>
        </w:rPr>
        <w:t xml:space="preserve">Anticorrupción e Integridad Pública sin que tuviera trámite ulterior. </w:t>
      </w:r>
      <w:r w:rsidR="00B22F06">
        <w:rPr>
          <w:rFonts w:ascii="Book Antiqua" w:eastAsia="Book Antiqua" w:hAnsi="Book Antiqua" w:cs="Book Antiqua"/>
          <w:color w:val="000000" w:themeColor="text1"/>
          <w:lang w:val="es-ES"/>
        </w:rPr>
        <w:t>E</w:t>
      </w:r>
      <w:r w:rsidR="00DC4AF8">
        <w:rPr>
          <w:rFonts w:ascii="Book Antiqua" w:eastAsia="Book Antiqua" w:hAnsi="Book Antiqua" w:cs="Book Antiqua"/>
          <w:color w:val="000000" w:themeColor="text1"/>
          <w:lang w:val="es-ES"/>
        </w:rPr>
        <w:t xml:space="preserve">sta comisión evaluó </w:t>
      </w:r>
      <w:r w:rsidR="005648DC">
        <w:rPr>
          <w:rFonts w:ascii="Book Antiqua" w:eastAsia="Book Antiqua" w:hAnsi="Book Antiqua" w:cs="Book Antiqua"/>
          <w:color w:val="000000" w:themeColor="text1"/>
          <w:lang w:val="es-ES"/>
        </w:rPr>
        <w:t xml:space="preserve">los documentos que fueron remitidos ante la referida comisión </w:t>
      </w:r>
      <w:r w:rsidR="00254CF9">
        <w:rPr>
          <w:rFonts w:ascii="Book Antiqua" w:eastAsia="Book Antiqua" w:hAnsi="Book Antiqua" w:cs="Book Antiqua"/>
          <w:color w:val="000000" w:themeColor="text1"/>
          <w:lang w:val="es-ES"/>
        </w:rPr>
        <w:t>como parte d</w:t>
      </w:r>
      <w:r w:rsidR="00B22F06">
        <w:rPr>
          <w:rFonts w:ascii="Book Antiqua" w:eastAsia="Book Antiqua" w:hAnsi="Book Antiqua" w:cs="Book Antiqua"/>
          <w:color w:val="000000" w:themeColor="text1"/>
          <w:lang w:val="es-ES"/>
        </w:rPr>
        <w:t>e</w:t>
      </w:r>
      <w:r w:rsidR="005648DC">
        <w:rPr>
          <w:rFonts w:ascii="Book Antiqua" w:eastAsia="Book Antiqua" w:hAnsi="Book Antiqua" w:cs="Book Antiqua"/>
          <w:color w:val="000000" w:themeColor="text1"/>
          <w:lang w:val="es-ES"/>
        </w:rPr>
        <w:t>l análisis de</w:t>
      </w:r>
      <w:r w:rsidR="00B22F06">
        <w:rPr>
          <w:rFonts w:ascii="Book Antiqua" w:eastAsia="Book Antiqua" w:hAnsi="Book Antiqua" w:cs="Book Antiqua"/>
          <w:color w:val="000000" w:themeColor="text1"/>
          <w:lang w:val="es-ES"/>
        </w:rPr>
        <w:t>l</w:t>
      </w:r>
      <w:r w:rsidR="00ED05ED">
        <w:rPr>
          <w:rFonts w:ascii="Book Antiqua" w:eastAsia="Book Antiqua" w:hAnsi="Book Antiqua" w:cs="Book Antiqua"/>
          <w:color w:val="000000" w:themeColor="text1"/>
          <w:lang w:val="es-ES"/>
        </w:rPr>
        <w:t xml:space="preserve"> </w:t>
      </w:r>
      <w:r w:rsidR="00ED05ED" w:rsidRPr="001711E6">
        <w:rPr>
          <w:rFonts w:ascii="Book Antiqua" w:eastAsia="Book Antiqua" w:hAnsi="Book Antiqua" w:cs="Book Antiqua"/>
          <w:color w:val="000000" w:themeColor="text1"/>
          <w:lang w:val="es-PR"/>
        </w:rPr>
        <w:t>P. de la C. 1</w:t>
      </w:r>
      <w:r w:rsidR="00ED05ED">
        <w:rPr>
          <w:rFonts w:ascii="Book Antiqua" w:eastAsia="Book Antiqua" w:hAnsi="Book Antiqua" w:cs="Book Antiqua"/>
          <w:color w:val="000000" w:themeColor="text1"/>
          <w:lang w:val="es-PR"/>
        </w:rPr>
        <w:t>039</w:t>
      </w:r>
      <w:r w:rsidR="00254CF9">
        <w:rPr>
          <w:rFonts w:ascii="Book Antiqua" w:eastAsia="Book Antiqua" w:hAnsi="Book Antiqua" w:cs="Book Antiqua"/>
          <w:color w:val="000000" w:themeColor="text1"/>
          <w:lang w:val="es-PR"/>
        </w:rPr>
        <w:t>.</w:t>
      </w:r>
      <w:r w:rsidR="00446951">
        <w:rPr>
          <w:rFonts w:ascii="Book Antiqua" w:eastAsia="Book Antiqua" w:hAnsi="Book Antiqua" w:cs="Book Antiqua"/>
          <w:color w:val="000000" w:themeColor="text1"/>
          <w:lang w:val="es-PR"/>
        </w:rPr>
        <w:t xml:space="preserve"> </w:t>
      </w:r>
      <w:r w:rsidR="000F24E6">
        <w:rPr>
          <w:rFonts w:ascii="Book Antiqua" w:eastAsia="Book Antiqua" w:hAnsi="Book Antiqua" w:cs="Book Antiqua"/>
          <w:color w:val="000000" w:themeColor="text1"/>
          <w:lang w:val="es-ES"/>
        </w:rPr>
        <w:t>El P</w:t>
      </w:r>
      <w:r w:rsidR="00254CF9">
        <w:rPr>
          <w:rFonts w:ascii="Book Antiqua" w:eastAsia="Book Antiqua" w:hAnsi="Book Antiqua" w:cs="Book Antiqua"/>
          <w:color w:val="000000" w:themeColor="text1"/>
          <w:lang w:val="es-ES"/>
        </w:rPr>
        <w:t>.</w:t>
      </w:r>
      <w:r w:rsidR="000F24E6">
        <w:rPr>
          <w:rFonts w:ascii="Book Antiqua" w:eastAsia="Book Antiqua" w:hAnsi="Book Antiqua" w:cs="Book Antiqua"/>
          <w:color w:val="000000" w:themeColor="text1"/>
          <w:lang w:val="es-ES"/>
        </w:rPr>
        <w:t xml:space="preserve"> de la C</w:t>
      </w:r>
      <w:r w:rsidR="00254CF9">
        <w:rPr>
          <w:rFonts w:ascii="Book Antiqua" w:eastAsia="Book Antiqua" w:hAnsi="Book Antiqua" w:cs="Book Antiqua"/>
          <w:color w:val="000000" w:themeColor="text1"/>
          <w:lang w:val="es-ES"/>
        </w:rPr>
        <w:t>.</w:t>
      </w:r>
      <w:r w:rsidR="000F24E6">
        <w:rPr>
          <w:rFonts w:ascii="Book Antiqua" w:eastAsia="Book Antiqua" w:hAnsi="Book Antiqua" w:cs="Book Antiqua"/>
          <w:color w:val="000000" w:themeColor="text1"/>
          <w:lang w:val="es-ES"/>
        </w:rPr>
        <w:t xml:space="preserve"> 1428 </w:t>
      </w:r>
      <w:r w:rsidR="00254CF9">
        <w:rPr>
          <w:rFonts w:ascii="Book Antiqua" w:eastAsia="Book Antiqua" w:hAnsi="Book Antiqua" w:cs="Book Antiqua"/>
          <w:color w:val="000000" w:themeColor="text1"/>
          <w:lang w:val="es-ES"/>
        </w:rPr>
        <w:t xml:space="preserve">es relevante a </w:t>
      </w:r>
      <w:r w:rsidR="00D40BB5">
        <w:rPr>
          <w:rFonts w:ascii="Book Antiqua" w:eastAsia="Book Antiqua" w:hAnsi="Book Antiqua" w:cs="Book Antiqua"/>
          <w:color w:val="000000" w:themeColor="text1"/>
          <w:lang w:val="es-ES"/>
        </w:rPr>
        <w:t xml:space="preserve">este informe, </w:t>
      </w:r>
      <w:r w:rsidR="0008029C">
        <w:rPr>
          <w:rFonts w:ascii="Book Antiqua" w:eastAsia="Book Antiqua" w:hAnsi="Book Antiqua" w:cs="Book Antiqua"/>
          <w:color w:val="000000" w:themeColor="text1"/>
          <w:lang w:val="es-ES"/>
        </w:rPr>
        <w:t xml:space="preserve">pues </w:t>
      </w:r>
      <w:r w:rsidR="00D40BB5">
        <w:rPr>
          <w:rFonts w:ascii="Book Antiqua" w:eastAsia="Book Antiqua" w:hAnsi="Book Antiqua" w:cs="Book Antiqua"/>
          <w:color w:val="000000" w:themeColor="text1"/>
          <w:lang w:val="es-ES"/>
        </w:rPr>
        <w:t xml:space="preserve">parte de su intención legislativa es: </w:t>
      </w:r>
    </w:p>
    <w:p w14:paraId="36EB2C01" w14:textId="7091D0B7" w:rsidR="00D40BB5" w:rsidRPr="00D40BB5" w:rsidRDefault="00D40BB5" w:rsidP="00562CFF">
      <w:pPr>
        <w:spacing w:after="120"/>
        <w:ind w:left="360" w:right="360" w:firstLine="720"/>
        <w:jc w:val="both"/>
        <w:rPr>
          <w:rFonts w:ascii="Book Antiqua" w:eastAsia="Book Antiqua" w:hAnsi="Book Antiqua" w:cs="Book Antiqua"/>
          <w:color w:val="000000" w:themeColor="text1"/>
          <w:lang w:val="es-PR"/>
        </w:rPr>
      </w:pPr>
      <w:r w:rsidRPr="00D40BB5">
        <w:rPr>
          <w:rFonts w:ascii="Book Antiqua" w:eastAsia="Book Antiqua" w:hAnsi="Book Antiqua" w:cs="Book Antiqua"/>
          <w:color w:val="000000" w:themeColor="text1"/>
          <w:lang w:val="es-ES"/>
        </w:rPr>
        <w:t>“…</w:t>
      </w:r>
      <w:r w:rsidRPr="00D40BB5">
        <w:rPr>
          <w:rFonts w:ascii="Book Antiqua" w:eastAsia="Book Antiqua" w:hAnsi="Book Antiqua" w:cs="Book Antiqua"/>
          <w:color w:val="000000" w:themeColor="text1"/>
        </w:rPr>
        <w:t>enmendar las secciones 6.3, 6.6 y 6.8 de la Ley 8-2017, según enmendada, conocida como “Ley para la Administración y Transformación de los Recursos Humanos en el Gobierno de Puerto Rico”; … y derogar la Ley Núm. 70 de 20 de junio de 1963, según enmendada; con el propósito de establecer una clara, contundente e inequívoca política pública dirigida a tomar todas las medidas y acciones disponibles a nuestro haber, para extirpar el germen de la corrupción que permea en todas las Ramas del Gobierno de Puerto Rico…”.</w:t>
      </w:r>
    </w:p>
    <w:p w14:paraId="54868DDF" w14:textId="43FB0ECE" w:rsidR="00AF449A" w:rsidRDefault="00AE4FE1" w:rsidP="000F5399">
      <w:pPr>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A continuación</w:t>
      </w:r>
      <w:r w:rsidR="000F5399">
        <w:rPr>
          <w:rFonts w:ascii="Book Antiqua" w:eastAsia="Book Antiqua" w:hAnsi="Book Antiqua" w:cs="Book Antiqua"/>
          <w:color w:val="000000" w:themeColor="text1"/>
          <w:lang w:val="es-ES"/>
        </w:rPr>
        <w:t>,</w:t>
      </w:r>
      <w:r>
        <w:rPr>
          <w:rFonts w:ascii="Book Antiqua" w:eastAsia="Book Antiqua" w:hAnsi="Book Antiqua" w:cs="Book Antiqua"/>
          <w:color w:val="000000" w:themeColor="text1"/>
          <w:lang w:val="es-ES"/>
        </w:rPr>
        <w:t xml:space="preserve"> </w:t>
      </w:r>
      <w:r w:rsidR="00446951">
        <w:rPr>
          <w:rFonts w:ascii="Book Antiqua" w:eastAsia="Book Antiqua" w:hAnsi="Book Antiqua" w:cs="Book Antiqua"/>
          <w:color w:val="000000" w:themeColor="text1"/>
          <w:lang w:val="es-ES"/>
        </w:rPr>
        <w:t xml:space="preserve">se exponen </w:t>
      </w:r>
      <w:r>
        <w:rPr>
          <w:rFonts w:ascii="Book Antiqua" w:eastAsia="Book Antiqua" w:hAnsi="Book Antiqua" w:cs="Book Antiqua"/>
          <w:color w:val="000000" w:themeColor="text1"/>
          <w:lang w:val="es-ES"/>
        </w:rPr>
        <w:t>l</w:t>
      </w:r>
      <w:r w:rsidR="00164E0B" w:rsidRPr="00D40BB5">
        <w:rPr>
          <w:rFonts w:ascii="Book Antiqua" w:eastAsia="Book Antiqua" w:hAnsi="Book Antiqua" w:cs="Book Antiqua"/>
          <w:color w:val="000000" w:themeColor="text1"/>
          <w:lang w:val="es-ES"/>
        </w:rPr>
        <w:t xml:space="preserve">os comentarios más </w:t>
      </w:r>
      <w:r w:rsidR="00562CFF">
        <w:rPr>
          <w:rFonts w:ascii="Book Antiqua" w:eastAsia="Book Antiqua" w:hAnsi="Book Antiqua" w:cs="Book Antiqua"/>
          <w:color w:val="000000" w:themeColor="text1"/>
          <w:lang w:val="es-ES"/>
        </w:rPr>
        <w:t xml:space="preserve">relevantes </w:t>
      </w:r>
      <w:r w:rsidR="000F5399">
        <w:rPr>
          <w:rFonts w:ascii="Book Antiqua" w:eastAsia="Book Antiqua" w:hAnsi="Book Antiqua" w:cs="Book Antiqua"/>
          <w:color w:val="000000" w:themeColor="text1"/>
          <w:lang w:val="es-ES"/>
        </w:rPr>
        <w:t>que surgen del expediente del P. de la C. 1428</w:t>
      </w:r>
      <w:r>
        <w:rPr>
          <w:rFonts w:ascii="Book Antiqua" w:eastAsia="Book Antiqua" w:hAnsi="Book Antiqua" w:cs="Book Antiqua"/>
          <w:color w:val="000000" w:themeColor="text1"/>
          <w:lang w:val="es-ES"/>
        </w:rPr>
        <w:t>.</w:t>
      </w:r>
      <w:r w:rsidR="00164E0B">
        <w:rPr>
          <w:rFonts w:ascii="Book Antiqua" w:eastAsia="Book Antiqua" w:hAnsi="Book Antiqua" w:cs="Book Antiqua"/>
          <w:color w:val="000000" w:themeColor="text1"/>
          <w:lang w:val="es-ES"/>
        </w:rPr>
        <w:t xml:space="preserve"> </w:t>
      </w:r>
    </w:p>
    <w:p w14:paraId="0DE1721F" w14:textId="36981CFC" w:rsidR="00164E0B" w:rsidRPr="00E730A8" w:rsidRDefault="00164E0B" w:rsidP="00562CFF">
      <w:pPr>
        <w:autoSpaceDE w:val="0"/>
        <w:autoSpaceDN w:val="0"/>
        <w:adjustRightInd w:val="0"/>
        <w:spacing w:after="120" w:line="288" w:lineRule="auto"/>
        <w:ind w:firstLine="720"/>
        <w:jc w:val="both"/>
        <w:rPr>
          <w:rFonts w:ascii="Book Antiqua" w:hAnsi="Book Antiqua" w:cs="Century"/>
          <w:iCs/>
          <w:szCs w:val="24"/>
          <w:lang w:val="es-PR"/>
        </w:rPr>
      </w:pPr>
      <w:r w:rsidRPr="00E730A8">
        <w:rPr>
          <w:rFonts w:ascii="Book Antiqua" w:hAnsi="Book Antiqua"/>
          <w:color w:val="000000"/>
          <w:szCs w:val="24"/>
          <w:shd w:val="clear" w:color="auto" w:fill="FFFFFF"/>
          <w:lang w:val="es-PR"/>
        </w:rPr>
        <w:t xml:space="preserve">El </w:t>
      </w:r>
      <w:r w:rsidR="000F5399">
        <w:rPr>
          <w:rFonts w:ascii="Book Antiqua" w:hAnsi="Book Antiqua"/>
          <w:b/>
          <w:bCs/>
          <w:color w:val="000000"/>
          <w:szCs w:val="24"/>
          <w:shd w:val="clear" w:color="auto" w:fill="FFFFFF"/>
          <w:lang w:val="es-PR"/>
        </w:rPr>
        <w:t xml:space="preserve">Departamento de Justicia </w:t>
      </w:r>
      <w:r w:rsidR="000F5399">
        <w:rPr>
          <w:rFonts w:ascii="Book Antiqua" w:hAnsi="Book Antiqua"/>
          <w:color w:val="000000"/>
          <w:szCs w:val="24"/>
          <w:shd w:val="clear" w:color="auto" w:fill="FFFFFF"/>
          <w:lang w:val="es-PR"/>
        </w:rPr>
        <w:t>(</w:t>
      </w:r>
      <w:r w:rsidR="00D40BB5" w:rsidRPr="00E730A8">
        <w:rPr>
          <w:rFonts w:ascii="Book Antiqua" w:hAnsi="Book Antiqua"/>
          <w:color w:val="000000"/>
          <w:szCs w:val="24"/>
          <w:shd w:val="clear" w:color="auto" w:fill="FFFFFF"/>
          <w:lang w:val="es-PR"/>
        </w:rPr>
        <w:t>DJ</w:t>
      </w:r>
      <w:r w:rsidR="000F5399">
        <w:rPr>
          <w:rFonts w:ascii="Book Antiqua" w:hAnsi="Book Antiqua"/>
          <w:color w:val="000000"/>
          <w:szCs w:val="24"/>
          <w:shd w:val="clear" w:color="auto" w:fill="FFFFFF"/>
          <w:lang w:val="es-PR"/>
        </w:rPr>
        <w:t>)</w:t>
      </w:r>
      <w:r w:rsidR="00D40BB5" w:rsidRPr="00E730A8">
        <w:rPr>
          <w:rFonts w:ascii="Book Antiqua" w:hAnsi="Book Antiqua"/>
          <w:color w:val="000000"/>
          <w:szCs w:val="24"/>
          <w:shd w:val="clear" w:color="auto" w:fill="FFFFFF"/>
          <w:lang w:val="es-PR"/>
        </w:rPr>
        <w:t xml:space="preserve"> expresó</w:t>
      </w:r>
      <w:r w:rsidR="00562CFF">
        <w:rPr>
          <w:rFonts w:ascii="Book Antiqua" w:hAnsi="Book Antiqua"/>
          <w:color w:val="000000"/>
          <w:szCs w:val="24"/>
          <w:shd w:val="clear" w:color="auto" w:fill="FFFFFF"/>
          <w:lang w:val="es-PR"/>
        </w:rPr>
        <w:t xml:space="preserve"> lo siguiente</w:t>
      </w:r>
      <w:r w:rsidR="00855456" w:rsidRPr="00E730A8">
        <w:rPr>
          <w:rFonts w:ascii="Book Antiqua" w:hAnsi="Book Antiqua" w:cs="Century"/>
          <w:iCs/>
          <w:szCs w:val="24"/>
          <w:lang w:val="es-PR"/>
        </w:rPr>
        <w:t>:</w:t>
      </w:r>
      <w:r w:rsidR="00562CFF" w:rsidRPr="00562CFF">
        <w:rPr>
          <w:rStyle w:val="FootnoteReference"/>
          <w:rFonts w:ascii="Book Antiqua" w:hAnsi="Book Antiqua" w:cs="Century"/>
          <w:iCs/>
          <w:szCs w:val="24"/>
          <w:lang w:val="es-PR"/>
        </w:rPr>
        <w:footnoteReference w:id="5"/>
      </w:r>
    </w:p>
    <w:p w14:paraId="369D009D" w14:textId="074B74F6" w:rsidR="00164E0B" w:rsidRPr="00562CFF" w:rsidRDefault="007D788A" w:rsidP="00562CFF">
      <w:pPr>
        <w:autoSpaceDE w:val="0"/>
        <w:autoSpaceDN w:val="0"/>
        <w:adjustRightInd w:val="0"/>
        <w:ind w:left="360" w:right="360" w:firstLine="720"/>
        <w:jc w:val="both"/>
        <w:rPr>
          <w:rFonts w:ascii="Book Antiqua" w:hAnsi="Book Antiqua" w:cs="Century"/>
          <w:iCs/>
          <w:szCs w:val="24"/>
          <w:lang w:val="es-PR"/>
        </w:rPr>
      </w:pPr>
      <w:r w:rsidRPr="00562CFF">
        <w:rPr>
          <w:rFonts w:ascii="Book Antiqua" w:hAnsi="Book Antiqua" w:cs="Century"/>
          <w:iCs/>
          <w:szCs w:val="24"/>
          <w:lang w:val="es-PR"/>
        </w:rPr>
        <w:t xml:space="preserve">Conforme a lo explicado, también se proponen enmiendas a la Sección 6.8 de la </w:t>
      </w:r>
      <w:r w:rsidRPr="00562CFF">
        <w:rPr>
          <w:rFonts w:ascii="Book Antiqua" w:hAnsi="Book Antiqua" w:cs="Century"/>
          <w:i/>
          <w:szCs w:val="24"/>
          <w:lang w:val="es-PR"/>
        </w:rPr>
        <w:t>Ley de la OATRH</w:t>
      </w:r>
      <w:r w:rsidRPr="00562CFF">
        <w:rPr>
          <w:rFonts w:ascii="Book Antiqua" w:hAnsi="Book Antiqua" w:cs="Century"/>
          <w:iCs/>
          <w:szCs w:val="24"/>
          <w:lang w:val="es-PR"/>
        </w:rPr>
        <w:t xml:space="preserve"> para eliminar los términos de inhabilitación temporera (en 1 año en ciertos delitos, de 8 años en los delitos menos graves enumerados en dicha disposición, y de 20 años en los delitos graves enumerados), de manera que la inhabilitación sea permanente en todos los casos. </w:t>
      </w:r>
    </w:p>
    <w:p w14:paraId="5AFE48F6" w14:textId="45F29D43" w:rsidR="007D788A" w:rsidRPr="00562CFF" w:rsidRDefault="007D788A" w:rsidP="00562CFF">
      <w:pPr>
        <w:autoSpaceDE w:val="0"/>
        <w:autoSpaceDN w:val="0"/>
        <w:adjustRightInd w:val="0"/>
        <w:ind w:left="360" w:right="360" w:firstLine="720"/>
        <w:jc w:val="both"/>
        <w:rPr>
          <w:rFonts w:ascii="Book Antiqua" w:hAnsi="Book Antiqua" w:cs="Century"/>
          <w:iCs/>
          <w:szCs w:val="24"/>
          <w:lang w:val="es-PR"/>
        </w:rPr>
      </w:pPr>
      <w:r w:rsidRPr="00562CFF">
        <w:rPr>
          <w:rFonts w:ascii="Book Antiqua" w:hAnsi="Book Antiqua" w:cs="Century"/>
          <w:iCs/>
          <w:szCs w:val="24"/>
          <w:lang w:val="es-PR"/>
        </w:rPr>
        <w:t>Debe considerarse el hecho de que la visión de exclusión permanente del servicio y contratación con el Gobierno de Puerto Rico, que se promueve mediante esta enmienda, pudiera estar encontrada con la Sección 19 del Artículo VI de la Constitución de Puerto Rico, que establece que “[s]</w:t>
      </w:r>
      <w:proofErr w:type="spellStart"/>
      <w:r w:rsidRPr="00562CFF">
        <w:rPr>
          <w:rFonts w:ascii="Book Antiqua" w:hAnsi="Book Antiqua" w:cs="Century"/>
          <w:iCs/>
          <w:szCs w:val="24"/>
          <w:lang w:val="es-PR"/>
        </w:rPr>
        <w:t>erá</w:t>
      </w:r>
      <w:proofErr w:type="spellEnd"/>
      <w:r w:rsidRPr="00562CFF">
        <w:rPr>
          <w:rFonts w:ascii="Book Antiqua" w:hAnsi="Book Antiqua" w:cs="Century"/>
          <w:iCs/>
          <w:szCs w:val="24"/>
          <w:lang w:val="es-PR"/>
        </w:rPr>
        <w:t xml:space="preserve"> política pública del Estado Libre Asociado de Puerto Rico…reglamentar las instituciones penales para que sirvan  a sus propósitos en forma efectiva y propender, dentro de los recursos disponibles, al tratamiento adecuado de los delincuentes para hacer posible </w:t>
      </w:r>
      <w:r w:rsidRPr="00562CFF">
        <w:rPr>
          <w:rFonts w:ascii="Book Antiqua" w:hAnsi="Book Antiqua" w:cs="Century"/>
          <w:iCs/>
          <w:szCs w:val="24"/>
          <w:u w:val="single"/>
          <w:lang w:val="es-PR"/>
        </w:rPr>
        <w:t>su rehabilitación moral y social</w:t>
      </w:r>
      <w:r w:rsidRPr="00562CFF">
        <w:rPr>
          <w:rFonts w:ascii="Book Antiqua" w:hAnsi="Book Antiqua" w:cs="Century"/>
          <w:iCs/>
          <w:szCs w:val="24"/>
          <w:lang w:val="es-PR"/>
        </w:rPr>
        <w:t xml:space="preserve">”. </w:t>
      </w:r>
      <w:r w:rsidRPr="00562CFF">
        <w:rPr>
          <w:rFonts w:ascii="Book Antiqua" w:hAnsi="Book Antiqua" w:cs="Century"/>
          <w:b/>
          <w:bCs/>
          <w:iCs/>
          <w:szCs w:val="24"/>
          <w:lang w:val="es-PR"/>
        </w:rPr>
        <w:t xml:space="preserve">Por tal razón, nos parece que disponer la inhabilitación permanente en los casos menos graves, como se propone en el Proyecto, sería </w:t>
      </w:r>
      <w:r w:rsidR="00855456" w:rsidRPr="00562CFF">
        <w:rPr>
          <w:rFonts w:ascii="Book Antiqua" w:hAnsi="Book Antiqua" w:cs="Century"/>
          <w:b/>
          <w:bCs/>
          <w:iCs/>
          <w:szCs w:val="24"/>
          <w:lang w:val="es-PR"/>
        </w:rPr>
        <w:t>desproporcional</w:t>
      </w:r>
      <w:r w:rsidRPr="00562CFF">
        <w:rPr>
          <w:rFonts w:ascii="Book Antiqua" w:hAnsi="Book Antiqua" w:cs="Century"/>
          <w:b/>
          <w:bCs/>
          <w:iCs/>
          <w:szCs w:val="24"/>
          <w:lang w:val="es-PR"/>
        </w:rPr>
        <w:t>.</w:t>
      </w:r>
    </w:p>
    <w:p w14:paraId="4CF72673" w14:textId="4ACCC404" w:rsidR="007D788A" w:rsidRPr="00562CFF" w:rsidRDefault="00855456" w:rsidP="00562CFF">
      <w:pPr>
        <w:autoSpaceDE w:val="0"/>
        <w:autoSpaceDN w:val="0"/>
        <w:adjustRightInd w:val="0"/>
        <w:ind w:left="360" w:right="360" w:firstLine="720"/>
        <w:jc w:val="both"/>
        <w:rPr>
          <w:rFonts w:ascii="Book Antiqua" w:hAnsi="Book Antiqua" w:cs="Century"/>
          <w:iCs/>
          <w:szCs w:val="24"/>
          <w:lang w:val="es-PR"/>
        </w:rPr>
      </w:pPr>
      <w:r w:rsidRPr="00562CFF">
        <w:rPr>
          <w:rFonts w:ascii="Book Antiqua" w:hAnsi="Book Antiqua" w:cs="Century"/>
          <w:iCs/>
          <w:szCs w:val="24"/>
          <w:lang w:val="es-PR"/>
        </w:rPr>
        <w:lastRenderedPageBreak/>
        <w:t xml:space="preserve">Sin embargo, no tenemos reparo a que se establezca la inhabilitación permanente cuando </w:t>
      </w:r>
      <w:proofErr w:type="spellStart"/>
      <w:r w:rsidRPr="00562CFF">
        <w:rPr>
          <w:rFonts w:ascii="Book Antiqua" w:hAnsi="Book Antiqua" w:cs="Century"/>
          <w:iCs/>
          <w:szCs w:val="24"/>
          <w:lang w:val="es-PR"/>
        </w:rPr>
        <w:t>ser</w:t>
      </w:r>
      <w:proofErr w:type="spellEnd"/>
      <w:r w:rsidRPr="00562CFF">
        <w:rPr>
          <w:rFonts w:ascii="Book Antiqua" w:hAnsi="Book Antiqua" w:cs="Century"/>
          <w:iCs/>
          <w:szCs w:val="24"/>
          <w:lang w:val="es-PR"/>
        </w:rPr>
        <w:t xml:space="preserve"> trate de los demás delitos graves que se enumeran en la Sección 6.8 de la</w:t>
      </w:r>
      <w:r w:rsidRPr="00562CFF">
        <w:rPr>
          <w:rFonts w:ascii="Book Antiqua" w:hAnsi="Book Antiqua" w:cs="Century"/>
          <w:i/>
          <w:szCs w:val="24"/>
          <w:lang w:val="es-PR"/>
        </w:rPr>
        <w:t xml:space="preserve"> Ley de la OATRH</w:t>
      </w:r>
      <w:r w:rsidRPr="00562CFF">
        <w:rPr>
          <w:rFonts w:ascii="Book Antiqua" w:hAnsi="Book Antiqua" w:cs="Century"/>
          <w:iCs/>
          <w:szCs w:val="24"/>
          <w:lang w:val="es-PR"/>
        </w:rPr>
        <w:t>.</w:t>
      </w:r>
    </w:p>
    <w:p w14:paraId="03CABCFA" w14:textId="1D8B48F8" w:rsidR="00164E0B" w:rsidRPr="00562CFF" w:rsidRDefault="00855456" w:rsidP="00562CFF">
      <w:pPr>
        <w:autoSpaceDE w:val="0"/>
        <w:autoSpaceDN w:val="0"/>
        <w:adjustRightInd w:val="0"/>
        <w:ind w:left="360" w:right="360" w:firstLine="720"/>
        <w:jc w:val="both"/>
        <w:rPr>
          <w:rFonts w:ascii="Book Antiqua" w:hAnsi="Book Antiqua" w:cs="Century"/>
          <w:iCs/>
          <w:szCs w:val="24"/>
          <w:lang w:val="es-PR"/>
        </w:rPr>
      </w:pPr>
      <w:r w:rsidRPr="00562CFF">
        <w:rPr>
          <w:rFonts w:ascii="Book Antiqua" w:hAnsi="Book Antiqua" w:cs="Century"/>
          <w:iCs/>
          <w:szCs w:val="24"/>
          <w:lang w:val="es-PR"/>
        </w:rPr>
        <w:t xml:space="preserve">Así, por ejemplo, se pudiera aumentar el plazo de la inhabilitación para los delitos que no tienen plazo fijo en la Sección 6.8 de la </w:t>
      </w:r>
      <w:r w:rsidRPr="00562CFF">
        <w:rPr>
          <w:rFonts w:ascii="Book Antiqua" w:hAnsi="Book Antiqua" w:cs="Century"/>
          <w:i/>
          <w:szCs w:val="24"/>
          <w:lang w:val="es-PR"/>
        </w:rPr>
        <w:t>Ley de la OATRH</w:t>
      </w:r>
      <w:r w:rsidR="00446F50" w:rsidRPr="00562CFF">
        <w:rPr>
          <w:rFonts w:ascii="Book Antiqua" w:hAnsi="Book Antiqua" w:cs="Century"/>
          <w:i/>
          <w:szCs w:val="24"/>
          <w:lang w:val="es-PR"/>
        </w:rPr>
        <w:t xml:space="preserve"> </w:t>
      </w:r>
      <w:r w:rsidRPr="00562CFF">
        <w:rPr>
          <w:rFonts w:ascii="Book Antiqua" w:hAnsi="Book Antiqua" w:cs="Century"/>
          <w:iCs/>
          <w:szCs w:val="24"/>
          <w:lang w:val="es-PR"/>
        </w:rPr>
        <w:t xml:space="preserve">-según lo dispone el Artículo 3.4 del </w:t>
      </w:r>
      <w:r w:rsidRPr="00562CFF">
        <w:rPr>
          <w:rFonts w:ascii="Book Antiqua" w:hAnsi="Book Antiqua" w:cs="Century"/>
          <w:i/>
          <w:szCs w:val="24"/>
          <w:lang w:val="es-PR"/>
        </w:rPr>
        <w:t>Código Anticorrupción</w:t>
      </w:r>
      <w:r w:rsidR="00446F50" w:rsidRPr="00562CFF">
        <w:rPr>
          <w:rFonts w:ascii="Book Antiqua" w:hAnsi="Book Antiqua" w:cs="Century"/>
          <w:iCs/>
          <w:szCs w:val="24"/>
          <w:lang w:val="es-PR"/>
        </w:rPr>
        <w:t>-,</w:t>
      </w:r>
      <w:r w:rsidRPr="00562CFF">
        <w:rPr>
          <w:rFonts w:ascii="Book Antiqua" w:hAnsi="Book Antiqua" w:cs="Century"/>
          <w:iCs/>
          <w:szCs w:val="24"/>
          <w:lang w:val="es-PR"/>
        </w:rPr>
        <w:t xml:space="preserve"> </w:t>
      </w:r>
      <w:r w:rsidR="00446F50" w:rsidRPr="00562CFF">
        <w:rPr>
          <w:rFonts w:ascii="Book Antiqua" w:hAnsi="Book Antiqua" w:cs="Century"/>
          <w:iCs/>
          <w:szCs w:val="24"/>
          <w:lang w:val="es-PR"/>
        </w:rPr>
        <w:t xml:space="preserve">de manera que la persona convicta no pueda ser contratada dentro de ese periodo. También podría evaluarse aumentar los términos dispuestos por la Sección 6.8 de la </w:t>
      </w:r>
      <w:r w:rsidR="00446F50" w:rsidRPr="00562CFF">
        <w:rPr>
          <w:rFonts w:ascii="Book Antiqua" w:hAnsi="Book Antiqua" w:cs="Century"/>
          <w:i/>
          <w:szCs w:val="24"/>
          <w:lang w:val="es-PR"/>
        </w:rPr>
        <w:t>Ley de la OATRH</w:t>
      </w:r>
      <w:r w:rsidR="00446F50" w:rsidRPr="00562CFF">
        <w:rPr>
          <w:rFonts w:ascii="Book Antiqua" w:hAnsi="Book Antiqua" w:cs="Century"/>
          <w:iCs/>
          <w:szCs w:val="24"/>
          <w:lang w:val="es-PR"/>
        </w:rPr>
        <w:t xml:space="preserve"> para los delitos con términos fijos. </w:t>
      </w:r>
    </w:p>
    <w:p w14:paraId="22663A25" w14:textId="78BD0A6E" w:rsidR="00446F50" w:rsidRPr="00562CFF" w:rsidRDefault="00446F50" w:rsidP="00BA13DC">
      <w:pPr>
        <w:autoSpaceDE w:val="0"/>
        <w:autoSpaceDN w:val="0"/>
        <w:adjustRightInd w:val="0"/>
        <w:spacing w:after="240"/>
        <w:ind w:left="360" w:right="360" w:firstLine="720"/>
        <w:jc w:val="both"/>
        <w:rPr>
          <w:rFonts w:ascii="Book Antiqua" w:hAnsi="Book Antiqua" w:cs="Century"/>
          <w:iCs/>
          <w:sz w:val="28"/>
          <w:szCs w:val="28"/>
          <w:lang w:val="es-PR"/>
        </w:rPr>
      </w:pPr>
      <w:r w:rsidRPr="00562CFF">
        <w:rPr>
          <w:rFonts w:ascii="Book Antiqua" w:hAnsi="Book Antiqua" w:cs="Century"/>
          <w:iCs/>
          <w:szCs w:val="24"/>
          <w:lang w:val="es-PR"/>
        </w:rPr>
        <w:t xml:space="preserve">A tales fines, recomendamos que revisen las enmiendas propuestas en la medida que hacen referencia a la inhabilitación permanente para todos los delitos mencionados, graves o menos graves, incluyendo las enmiendas propuestas a las disposiciones del </w:t>
      </w:r>
      <w:r w:rsidRPr="00562CFF">
        <w:rPr>
          <w:rFonts w:ascii="Book Antiqua" w:hAnsi="Book Antiqua" w:cs="Century"/>
          <w:i/>
          <w:szCs w:val="24"/>
          <w:lang w:val="es-PR"/>
        </w:rPr>
        <w:t xml:space="preserve">Código Anticorrupción </w:t>
      </w:r>
      <w:r w:rsidRPr="00562CFF">
        <w:rPr>
          <w:rFonts w:ascii="Book Antiqua" w:hAnsi="Book Antiqua" w:cs="Century"/>
          <w:iCs/>
          <w:szCs w:val="24"/>
          <w:lang w:val="es-PR"/>
        </w:rPr>
        <w:t xml:space="preserve">sobre el </w:t>
      </w:r>
      <w:r w:rsidRPr="00562CFF">
        <w:rPr>
          <w:rFonts w:ascii="Book Antiqua" w:hAnsi="Book Antiqua" w:cs="Century"/>
          <w:i/>
          <w:szCs w:val="24"/>
          <w:lang w:val="es-PR"/>
        </w:rPr>
        <w:t>Registro de Personas Convictas por Corrupción</w:t>
      </w:r>
      <w:r w:rsidR="005476FA" w:rsidRPr="00562CFF">
        <w:rPr>
          <w:rFonts w:ascii="Book Antiqua" w:hAnsi="Book Antiqua" w:cs="Century"/>
          <w:iCs/>
          <w:szCs w:val="24"/>
          <w:lang w:val="es-PR"/>
        </w:rPr>
        <w:t>…”</w:t>
      </w:r>
      <w:r w:rsidR="00562CFF" w:rsidRPr="00562CFF">
        <w:rPr>
          <w:rStyle w:val="FootnoteReference"/>
          <w:rFonts w:ascii="Book Antiqua" w:hAnsi="Book Antiqua" w:cs="Century"/>
          <w:iCs/>
          <w:szCs w:val="24"/>
          <w:lang w:val="es-PR"/>
        </w:rPr>
        <w:footnoteReference w:id="6"/>
      </w:r>
      <w:r w:rsidR="005476FA" w:rsidRPr="00562CFF">
        <w:rPr>
          <w:rFonts w:ascii="Book Antiqua" w:hAnsi="Book Antiqua" w:cs="Century"/>
          <w:iCs/>
          <w:szCs w:val="24"/>
          <w:lang w:val="es-PR"/>
        </w:rPr>
        <w:t xml:space="preserve"> </w:t>
      </w:r>
    </w:p>
    <w:p w14:paraId="20AE35A2" w14:textId="0817DB40" w:rsidR="00712592" w:rsidRDefault="00BA13DC" w:rsidP="00B368E6">
      <w:pPr>
        <w:spacing w:after="120" w:line="288" w:lineRule="auto"/>
        <w:ind w:firstLine="720"/>
        <w:jc w:val="both"/>
        <w:rPr>
          <w:rFonts w:ascii="Book Antiqua" w:hAnsi="Book Antiqua"/>
          <w:color w:val="000000" w:themeColor="text1"/>
          <w:szCs w:val="24"/>
          <w:lang w:val="es-ES_tradnl"/>
        </w:rPr>
      </w:pPr>
      <w:r w:rsidRPr="00BA13DC">
        <w:rPr>
          <w:rFonts w:ascii="Book Antiqua" w:hAnsi="Book Antiqua"/>
          <w:color w:val="000000" w:themeColor="text1"/>
          <w:szCs w:val="24"/>
          <w:lang w:val="es-PR"/>
        </w:rPr>
        <w:t>La</w:t>
      </w:r>
      <w:r>
        <w:rPr>
          <w:rFonts w:ascii="Book Antiqua" w:hAnsi="Book Antiqua"/>
          <w:b/>
          <w:bCs/>
          <w:color w:val="000000" w:themeColor="text1"/>
          <w:szCs w:val="24"/>
          <w:lang w:val="es-PR"/>
        </w:rPr>
        <w:t xml:space="preserve"> </w:t>
      </w:r>
      <w:r w:rsidR="00F80171" w:rsidRPr="00F80171">
        <w:rPr>
          <w:rFonts w:ascii="Book Antiqua" w:hAnsi="Book Antiqua"/>
          <w:b/>
          <w:bCs/>
          <w:color w:val="000000" w:themeColor="text1"/>
          <w:szCs w:val="24"/>
          <w:lang w:val="es-PR"/>
        </w:rPr>
        <w:t>Oficina de Administración y Transformación de los Recursos Humanos en el Gobierno de Puerto Rico</w:t>
      </w:r>
      <w:r w:rsidR="00F80171">
        <w:rPr>
          <w:rFonts w:ascii="Book Antiqua" w:hAnsi="Book Antiqua"/>
          <w:b/>
          <w:bCs/>
          <w:color w:val="000000" w:themeColor="text1"/>
          <w:szCs w:val="24"/>
          <w:lang w:val="es-PR"/>
        </w:rPr>
        <w:t xml:space="preserve"> </w:t>
      </w:r>
      <w:r w:rsidR="00F80171">
        <w:rPr>
          <w:rFonts w:ascii="Book Antiqua" w:hAnsi="Book Antiqua"/>
          <w:color w:val="000000" w:themeColor="text1"/>
          <w:szCs w:val="24"/>
          <w:lang w:val="es-PR"/>
        </w:rPr>
        <w:t>(OATRH)</w:t>
      </w:r>
      <w:r>
        <w:rPr>
          <w:rFonts w:ascii="Book Antiqua" w:hAnsi="Book Antiqua"/>
          <w:color w:val="000000" w:themeColor="text1"/>
          <w:szCs w:val="24"/>
          <w:lang w:val="es-PR"/>
        </w:rPr>
        <w:t xml:space="preserve"> comentó lo siguiente </w:t>
      </w:r>
      <w:r w:rsidR="00253582">
        <w:rPr>
          <w:rFonts w:ascii="Book Antiqua" w:hAnsi="Book Antiqua"/>
          <w:color w:val="000000" w:themeColor="text1"/>
          <w:szCs w:val="24"/>
          <w:lang w:val="es-ES_tradnl"/>
        </w:rPr>
        <w:t>sobre las enmiendas que también se encuentran en el P. de la C. 1039:</w:t>
      </w:r>
      <w:r>
        <w:rPr>
          <w:rStyle w:val="FootnoteReference"/>
          <w:rFonts w:ascii="Book Antiqua" w:hAnsi="Book Antiqua"/>
          <w:color w:val="000000" w:themeColor="text1"/>
          <w:szCs w:val="24"/>
          <w:lang w:val="es-ES_tradnl"/>
        </w:rPr>
        <w:footnoteReference w:id="7"/>
      </w:r>
      <w:r w:rsidR="00253582">
        <w:rPr>
          <w:rFonts w:ascii="Book Antiqua" w:hAnsi="Book Antiqua"/>
          <w:color w:val="000000" w:themeColor="text1"/>
          <w:szCs w:val="24"/>
          <w:lang w:val="es-ES_tradnl"/>
        </w:rPr>
        <w:t xml:space="preserve"> </w:t>
      </w:r>
    </w:p>
    <w:p w14:paraId="17DB7273" w14:textId="72F31C6F" w:rsidR="00253582" w:rsidRPr="00CE6B30" w:rsidRDefault="00253582" w:rsidP="00CE6B30">
      <w:pPr>
        <w:ind w:left="360" w:right="360"/>
        <w:jc w:val="both"/>
        <w:rPr>
          <w:rFonts w:ascii="Book Antiqua" w:hAnsi="Book Antiqua"/>
          <w:color w:val="000000" w:themeColor="text1"/>
          <w:szCs w:val="24"/>
        </w:rPr>
      </w:pPr>
      <w:r w:rsidRPr="00CE6B30">
        <w:rPr>
          <w:rFonts w:ascii="Book Antiqua" w:hAnsi="Book Antiqua"/>
          <w:color w:val="000000" w:themeColor="text1"/>
          <w:szCs w:val="24"/>
        </w:rPr>
        <w:t>Por remitir la enmienda mencionada a la sección 6</w:t>
      </w:r>
      <w:r w:rsidR="002D6E07">
        <w:rPr>
          <w:rFonts w:ascii="Book Antiqua" w:hAnsi="Book Antiqua"/>
          <w:color w:val="000000" w:themeColor="text1"/>
          <w:szCs w:val="24"/>
        </w:rPr>
        <w:t>.</w:t>
      </w:r>
      <w:r w:rsidRPr="00CE6B30">
        <w:rPr>
          <w:rFonts w:ascii="Book Antiqua" w:hAnsi="Book Antiqua"/>
          <w:color w:val="000000" w:themeColor="text1"/>
          <w:szCs w:val="24"/>
        </w:rPr>
        <w:t xml:space="preserve">8 de la Ley Núm. 8-2017, que dispone de manera clara los delitos sobre los que regirá la inelegibilidad permanente, no tenemos reparos sobre la citada enmienda a la Ley Núm. 2-2018. </w:t>
      </w:r>
    </w:p>
    <w:p w14:paraId="27E6DFE0" w14:textId="2CE3DD06" w:rsidR="00D87DCE" w:rsidRDefault="00253582" w:rsidP="00CE6B30">
      <w:pPr>
        <w:ind w:left="360" w:right="360"/>
        <w:jc w:val="both"/>
        <w:rPr>
          <w:rFonts w:ascii="Book Antiqua" w:hAnsi="Book Antiqua"/>
          <w:color w:val="000000" w:themeColor="text1"/>
          <w:szCs w:val="24"/>
        </w:rPr>
      </w:pPr>
      <w:r w:rsidRPr="00CE6B30">
        <w:rPr>
          <w:rFonts w:ascii="Book Antiqua" w:hAnsi="Book Antiqua"/>
          <w:color w:val="000000" w:themeColor="text1"/>
          <w:szCs w:val="24"/>
        </w:rPr>
        <w:t>[Es] importante mencionar que, en cuanto a la aplicabilidad del aludido registro, el Artículo 6,1, acápite (b), de la Ley Núm. 2-</w:t>
      </w:r>
      <w:r w:rsidR="005334C2">
        <w:rPr>
          <w:rFonts w:ascii="Book Antiqua" w:hAnsi="Book Antiqua"/>
          <w:color w:val="000000" w:themeColor="text1"/>
          <w:szCs w:val="24"/>
        </w:rPr>
        <w:t>2</w:t>
      </w:r>
      <w:r w:rsidRPr="00CE6B30">
        <w:rPr>
          <w:rFonts w:ascii="Book Antiqua" w:hAnsi="Book Antiqua"/>
          <w:color w:val="000000" w:themeColor="text1"/>
          <w:szCs w:val="24"/>
        </w:rPr>
        <w:t>018 define “Gobierno de Puerto Rico” de la siguiente manera: “el Gobierno del Estado Libre Asociado de Puerto Rico y sus organismos, agencias y entidades de la Rama Ejecutiva, incluyendo las corporaciones públicas, instrumentalidades y los municipios, la Rama Legislativa y cualquier oficina o dependencia conjunta de ambos cuerpos legislativos; el Contralor de Puerto Rico; y la Rama Judicial, así como las dependencias y las oficinas adscritas a ésta”. Nótese que en este contexto la definición también es inclusiva para con las tres (3) ramas de gobierno.</w:t>
      </w:r>
    </w:p>
    <w:p w14:paraId="3B8D1DC5" w14:textId="77777777" w:rsidR="002179C3" w:rsidRDefault="002179C3" w:rsidP="00CE6B30">
      <w:pPr>
        <w:ind w:left="360" w:right="360"/>
        <w:jc w:val="both"/>
        <w:rPr>
          <w:rFonts w:ascii="Book Antiqua" w:hAnsi="Book Antiqua"/>
          <w:color w:val="000000" w:themeColor="text1"/>
          <w:szCs w:val="24"/>
        </w:rPr>
      </w:pPr>
    </w:p>
    <w:p w14:paraId="5E2FE123" w14:textId="77777777" w:rsidR="002179C3" w:rsidRDefault="002179C3" w:rsidP="00CE6B30">
      <w:pPr>
        <w:ind w:left="360" w:right="360"/>
        <w:jc w:val="both"/>
        <w:rPr>
          <w:rFonts w:ascii="Book Antiqua" w:hAnsi="Book Antiqua"/>
          <w:color w:val="000000" w:themeColor="text1"/>
          <w:szCs w:val="24"/>
        </w:rPr>
      </w:pPr>
    </w:p>
    <w:p w14:paraId="72A40F51" w14:textId="77777777" w:rsidR="002179C3" w:rsidRDefault="002179C3" w:rsidP="00CE6B30">
      <w:pPr>
        <w:ind w:left="360" w:right="360"/>
        <w:jc w:val="both"/>
        <w:rPr>
          <w:rFonts w:ascii="Book Antiqua" w:hAnsi="Book Antiqua"/>
          <w:color w:val="000000" w:themeColor="text1"/>
          <w:szCs w:val="24"/>
        </w:rPr>
      </w:pPr>
    </w:p>
    <w:p w14:paraId="08C30F0B" w14:textId="5D808E7B" w:rsidR="00253582" w:rsidRPr="00CE6B30" w:rsidRDefault="00253582" w:rsidP="00CE6B30">
      <w:pPr>
        <w:ind w:left="360" w:right="360"/>
        <w:jc w:val="both"/>
        <w:rPr>
          <w:rFonts w:ascii="Book Antiqua" w:hAnsi="Book Antiqua"/>
          <w:color w:val="000000" w:themeColor="text1"/>
          <w:szCs w:val="24"/>
        </w:rPr>
      </w:pPr>
      <w:r w:rsidRPr="00CE6B30">
        <w:rPr>
          <w:rFonts w:ascii="Book Antiqua" w:hAnsi="Book Antiqua"/>
          <w:color w:val="000000" w:themeColor="text1"/>
          <w:szCs w:val="24"/>
        </w:rPr>
        <w:t xml:space="preserve"> </w:t>
      </w:r>
    </w:p>
    <w:p w14:paraId="352439FB" w14:textId="77777777" w:rsidR="00253582" w:rsidRPr="00CE6B30" w:rsidRDefault="00253582" w:rsidP="00CE6B30">
      <w:pPr>
        <w:ind w:left="360" w:right="360"/>
        <w:jc w:val="both"/>
        <w:rPr>
          <w:rFonts w:ascii="Book Antiqua" w:hAnsi="Book Antiqua"/>
          <w:color w:val="000000" w:themeColor="text1"/>
          <w:szCs w:val="24"/>
        </w:rPr>
      </w:pPr>
      <w:r w:rsidRPr="00CE6B30">
        <w:rPr>
          <w:rFonts w:ascii="Book Antiqua" w:hAnsi="Book Antiqua"/>
          <w:color w:val="000000" w:themeColor="text1"/>
          <w:szCs w:val="24"/>
        </w:rPr>
        <w:lastRenderedPageBreak/>
        <w:t xml:space="preserve">Destacamos que, según estatuido en el “Código Anticorrupción para el Nuevo Puerto Rico”, el </w:t>
      </w:r>
      <w:proofErr w:type="gramStart"/>
      <w:r w:rsidRPr="00CE6B30">
        <w:rPr>
          <w:rFonts w:ascii="Book Antiqua" w:hAnsi="Book Antiqua"/>
          <w:color w:val="000000" w:themeColor="text1"/>
          <w:szCs w:val="24"/>
        </w:rPr>
        <w:t>Secretario</w:t>
      </w:r>
      <w:proofErr w:type="gramEnd"/>
      <w:r w:rsidRPr="00CE6B30">
        <w:rPr>
          <w:rFonts w:ascii="Book Antiqua" w:hAnsi="Book Antiqua"/>
          <w:color w:val="000000" w:themeColor="text1"/>
          <w:szCs w:val="24"/>
        </w:rPr>
        <w:t xml:space="preserve"> del Departamento de Justicia es “el custodio de la información contenida en el Registro de Personas Convictas por Corrupción y tendrá la responsabilidad de conservar y mantener actualizada la información contenida en el Registro de Personas Convictas por Corrupción. Además, el Departamento deberá procurar que la información del registro esté disponible electrónicamente para ser examinada por las agencias gubernamentales y por el público. Mientras ello no se logre, el Departamento divulgará la información a las personas designadas en todas las agencias y municipios del Gobierno de Puerto Rico”.</w:t>
      </w:r>
    </w:p>
    <w:p w14:paraId="1C6049D5" w14:textId="77777777" w:rsidR="00253582" w:rsidRPr="00CE6B30" w:rsidRDefault="00253582" w:rsidP="00CE6B30">
      <w:pPr>
        <w:ind w:left="360" w:right="360"/>
        <w:jc w:val="both"/>
        <w:rPr>
          <w:rFonts w:ascii="Book Antiqua" w:hAnsi="Book Antiqua"/>
          <w:color w:val="000000" w:themeColor="text1"/>
          <w:szCs w:val="24"/>
        </w:rPr>
      </w:pPr>
      <w:r w:rsidRPr="00CE6B30">
        <w:rPr>
          <w:rFonts w:ascii="Book Antiqua" w:hAnsi="Book Antiqua"/>
          <w:color w:val="000000" w:themeColor="text1"/>
          <w:szCs w:val="24"/>
        </w:rPr>
        <w:t xml:space="preserve">Por lo que se refiere a la anterior responsabilidad ministerial, y a la vigencia del Registro que se mandata, el “Código Anticorrupción para el Nuevo Puerto Rico”, actualmente establece el término bajo el que las personas estarán en el dicho Registro, a tenor con el delito por que resultaron convictas. Siendo que el Proyecto propone que la inelegibilidad por delitos relativos a la corrupción sea una permanente, es razonable se incorpore como enmienda al citado articulado (sección 14 el Proyecto) que las personas convictas por corrupción estarán sujetas a figurar en el Registro permanentemente. </w:t>
      </w:r>
    </w:p>
    <w:p w14:paraId="3D7CCA96" w14:textId="78EFA37F" w:rsidR="00253582" w:rsidRPr="00CE6B30" w:rsidRDefault="00253582" w:rsidP="00CE6B30">
      <w:pPr>
        <w:ind w:left="360" w:right="360"/>
        <w:jc w:val="both"/>
        <w:rPr>
          <w:rFonts w:ascii="Book Antiqua" w:hAnsi="Book Antiqua"/>
          <w:color w:val="000000" w:themeColor="text1"/>
          <w:szCs w:val="24"/>
        </w:rPr>
      </w:pPr>
      <w:r w:rsidRPr="00CE6B30">
        <w:rPr>
          <w:rFonts w:ascii="Book Antiqua" w:hAnsi="Book Antiqua"/>
          <w:color w:val="000000" w:themeColor="text1"/>
          <w:szCs w:val="24"/>
        </w:rPr>
        <w:t>A tenor con lo antes expuesto, estimamos necesario que para brindar al proyecto un análisis ponderado de las disposiciones que actualmente lo componen, se ausculte la opinión del Departamento de Justicia, del Departamento del Trabajo y Recursos Humanos, de la Administración de Servicios Generales, del Departamento de Corrección y Rehabilitación, de la Oficina del Inspector General, de la Oficina del Contralor de Puerto Rico. Junta de Retiro del Gobierno de Puerto Rico y de la Oficina de Ética Gubernamental.</w:t>
      </w:r>
    </w:p>
    <w:p w14:paraId="07B3B64E" w14:textId="6A6C9C20" w:rsidR="00253582" w:rsidRDefault="00253582" w:rsidP="007D668A">
      <w:pPr>
        <w:spacing w:after="240"/>
        <w:ind w:left="360" w:right="360"/>
        <w:jc w:val="both"/>
        <w:rPr>
          <w:rFonts w:ascii="Book Antiqua" w:hAnsi="Book Antiqua"/>
          <w:color w:val="000000" w:themeColor="text1"/>
          <w:szCs w:val="24"/>
        </w:rPr>
      </w:pPr>
      <w:r w:rsidRPr="00CE6B30">
        <w:rPr>
          <w:rFonts w:ascii="Book Antiqua" w:hAnsi="Book Antiqua"/>
          <w:color w:val="000000" w:themeColor="text1"/>
          <w:szCs w:val="24"/>
        </w:rPr>
        <w:t>La OATRH comprende y apoya el interés del legislador por fortalecer las medidas que propendan a la existencia de un servicio público y una contratación gubernamental incólumes ante la corrupción, por lo que apoyamos el Proyecto, sujeto a las recomendaciones presentadas.</w:t>
      </w:r>
      <w:r w:rsidR="009851DE">
        <w:rPr>
          <w:rStyle w:val="FootnoteReference"/>
          <w:rFonts w:ascii="Book Antiqua" w:hAnsi="Book Antiqua"/>
          <w:color w:val="000000" w:themeColor="text1"/>
          <w:szCs w:val="24"/>
        </w:rPr>
        <w:footnoteReference w:id="8"/>
      </w:r>
    </w:p>
    <w:p w14:paraId="27B1616E" w14:textId="77777777" w:rsidR="002179C3" w:rsidRDefault="002179C3" w:rsidP="007D668A">
      <w:pPr>
        <w:spacing w:after="240"/>
        <w:ind w:left="360" w:right="360"/>
        <w:jc w:val="both"/>
        <w:rPr>
          <w:rFonts w:ascii="Book Antiqua" w:hAnsi="Book Antiqua"/>
          <w:color w:val="000000" w:themeColor="text1"/>
          <w:szCs w:val="24"/>
        </w:rPr>
      </w:pPr>
    </w:p>
    <w:p w14:paraId="1CC24206" w14:textId="77777777" w:rsidR="002179C3" w:rsidRDefault="002179C3" w:rsidP="007D668A">
      <w:pPr>
        <w:spacing w:after="240"/>
        <w:ind w:left="360" w:right="360"/>
        <w:jc w:val="both"/>
        <w:rPr>
          <w:rFonts w:ascii="Book Antiqua" w:hAnsi="Book Antiqua"/>
          <w:color w:val="000000" w:themeColor="text1"/>
          <w:szCs w:val="24"/>
        </w:rPr>
      </w:pPr>
    </w:p>
    <w:p w14:paraId="35E34DF7" w14:textId="77777777" w:rsidR="002179C3" w:rsidRDefault="002179C3" w:rsidP="007D668A">
      <w:pPr>
        <w:spacing w:after="240"/>
        <w:ind w:left="360" w:right="360"/>
        <w:jc w:val="both"/>
        <w:rPr>
          <w:rFonts w:ascii="Book Antiqua" w:hAnsi="Book Antiqua"/>
          <w:color w:val="000000" w:themeColor="text1"/>
          <w:szCs w:val="24"/>
        </w:rPr>
      </w:pPr>
    </w:p>
    <w:p w14:paraId="7D8B347E" w14:textId="77777777" w:rsidR="002179C3" w:rsidRDefault="002179C3" w:rsidP="007D668A">
      <w:pPr>
        <w:spacing w:after="240"/>
        <w:ind w:left="360" w:right="360"/>
        <w:jc w:val="both"/>
        <w:rPr>
          <w:rFonts w:ascii="Book Antiqua" w:hAnsi="Book Antiqua"/>
          <w:color w:val="000000" w:themeColor="text1"/>
          <w:szCs w:val="24"/>
        </w:rPr>
      </w:pPr>
    </w:p>
    <w:p w14:paraId="5B877CD8" w14:textId="77777777" w:rsidR="002179C3" w:rsidRPr="00CE6B30" w:rsidRDefault="002179C3" w:rsidP="007D668A">
      <w:pPr>
        <w:spacing w:after="240"/>
        <w:ind w:left="360" w:right="360"/>
        <w:jc w:val="both"/>
        <w:rPr>
          <w:rFonts w:ascii="Book Antiqua" w:hAnsi="Book Antiqua"/>
          <w:color w:val="000000" w:themeColor="text1"/>
          <w:szCs w:val="24"/>
          <w:lang w:val="es-ES_tradnl"/>
        </w:rPr>
      </w:pPr>
    </w:p>
    <w:p w14:paraId="499E4445" w14:textId="01FF5760" w:rsidR="006F5B67" w:rsidRPr="006F5B67" w:rsidRDefault="00306D5A" w:rsidP="00D87DCE">
      <w:pPr>
        <w:tabs>
          <w:tab w:val="left" w:pos="1540"/>
        </w:tabs>
        <w:autoSpaceDE w:val="0"/>
        <w:autoSpaceDN w:val="0"/>
        <w:adjustRightInd w:val="0"/>
        <w:spacing w:line="288" w:lineRule="auto"/>
        <w:ind w:firstLine="720"/>
        <w:jc w:val="both"/>
        <w:rPr>
          <w:rFonts w:ascii="Book Antiqua" w:hAnsi="Book Antiqua" w:cs="Century"/>
          <w:iCs/>
          <w:szCs w:val="24"/>
          <w:lang w:val="es-PR"/>
        </w:rPr>
      </w:pPr>
      <w:r>
        <w:rPr>
          <w:rFonts w:ascii="Book Antiqua" w:hAnsi="Book Antiqua" w:cs="Century"/>
          <w:iCs/>
          <w:szCs w:val="24"/>
          <w:lang w:val="es-PR"/>
        </w:rPr>
        <w:lastRenderedPageBreak/>
        <w:t xml:space="preserve">La </w:t>
      </w:r>
      <w:r w:rsidR="00F4393C" w:rsidRPr="00306D5A">
        <w:rPr>
          <w:rFonts w:ascii="Book Antiqua" w:hAnsi="Book Antiqua"/>
          <w:b/>
          <w:color w:val="000000"/>
          <w:szCs w:val="24"/>
          <w:shd w:val="clear" w:color="auto" w:fill="FFFFFF"/>
          <w:lang w:val="es-PR"/>
        </w:rPr>
        <w:t xml:space="preserve">Oficina de Ética Gubernamental, </w:t>
      </w:r>
      <w:r w:rsidR="007D668A">
        <w:rPr>
          <w:rFonts w:ascii="Book Antiqua" w:hAnsi="Book Antiqua"/>
          <w:b/>
          <w:color w:val="000000"/>
          <w:szCs w:val="24"/>
          <w:shd w:val="clear" w:color="auto" w:fill="FFFFFF"/>
          <w:lang w:val="es-PR"/>
        </w:rPr>
        <w:t xml:space="preserve">la </w:t>
      </w:r>
      <w:r w:rsidR="00F4393C" w:rsidRPr="00306D5A">
        <w:rPr>
          <w:rFonts w:ascii="Book Antiqua" w:hAnsi="Book Antiqua"/>
          <w:b/>
          <w:color w:val="000000"/>
          <w:szCs w:val="24"/>
          <w:shd w:val="clear" w:color="auto" w:fill="FFFFFF"/>
          <w:lang w:val="es-PR"/>
        </w:rPr>
        <w:t xml:space="preserve">Oficina del Inspector General, </w:t>
      </w:r>
      <w:r w:rsidR="0096580E">
        <w:rPr>
          <w:rFonts w:ascii="Book Antiqua" w:hAnsi="Book Antiqua"/>
          <w:b/>
          <w:color w:val="000000"/>
          <w:szCs w:val="24"/>
          <w:shd w:val="clear" w:color="auto" w:fill="FFFFFF"/>
          <w:lang w:val="es-PR"/>
        </w:rPr>
        <w:t xml:space="preserve">y la </w:t>
      </w:r>
      <w:r w:rsidR="00F4393C" w:rsidRPr="00306D5A">
        <w:rPr>
          <w:rFonts w:ascii="Book Antiqua" w:hAnsi="Book Antiqua"/>
          <w:b/>
          <w:color w:val="000000"/>
          <w:szCs w:val="24"/>
          <w:shd w:val="clear" w:color="auto" w:fill="FFFFFF"/>
          <w:lang w:val="es-PR"/>
        </w:rPr>
        <w:t xml:space="preserve">Oficina del Panel sobre el Fisal Especial Independiente </w:t>
      </w:r>
      <w:r w:rsidR="0096580E">
        <w:rPr>
          <w:rFonts w:ascii="Book Antiqua" w:hAnsi="Book Antiqua"/>
          <w:bCs/>
          <w:color w:val="000000"/>
          <w:szCs w:val="24"/>
          <w:shd w:val="clear" w:color="auto" w:fill="FFFFFF"/>
          <w:lang w:val="es-PR"/>
        </w:rPr>
        <w:t xml:space="preserve">presentaron un memorial conjunto </w:t>
      </w:r>
      <w:r w:rsidR="00A8492B">
        <w:rPr>
          <w:rFonts w:ascii="Book Antiqua" w:hAnsi="Book Antiqua"/>
          <w:bCs/>
          <w:color w:val="000000"/>
          <w:szCs w:val="24"/>
          <w:shd w:val="clear" w:color="auto" w:fill="FFFFFF"/>
          <w:lang w:val="es-PR"/>
        </w:rPr>
        <w:t xml:space="preserve">en el que analizaron </w:t>
      </w:r>
      <w:r w:rsidR="006F5B67">
        <w:rPr>
          <w:rFonts w:ascii="Book Antiqua" w:hAnsi="Book Antiqua" w:cs="Century"/>
          <w:iCs/>
          <w:szCs w:val="24"/>
          <w:lang w:val="es-PR"/>
        </w:rPr>
        <w:t xml:space="preserve">las disposiciones de la inhabilidad para trabajar o contratar con el </w:t>
      </w:r>
      <w:r w:rsidR="00A8492B">
        <w:rPr>
          <w:rFonts w:ascii="Book Antiqua" w:hAnsi="Book Antiqua" w:cs="Century"/>
          <w:iCs/>
          <w:szCs w:val="24"/>
          <w:lang w:val="es-PR"/>
        </w:rPr>
        <w:t>G</w:t>
      </w:r>
      <w:r w:rsidR="006F5B67">
        <w:rPr>
          <w:rFonts w:ascii="Book Antiqua" w:hAnsi="Book Antiqua" w:cs="Century"/>
          <w:iCs/>
          <w:szCs w:val="24"/>
          <w:lang w:val="es-PR"/>
        </w:rPr>
        <w:t>obierno de Puerto Rico.</w:t>
      </w:r>
      <w:r w:rsidR="00E65A88" w:rsidRPr="007B20AC">
        <w:rPr>
          <w:rStyle w:val="FootnoteReference"/>
          <w:rFonts w:ascii="Book Antiqua" w:hAnsi="Book Antiqua" w:cs="Century"/>
          <w:iCs/>
          <w:szCs w:val="24"/>
          <w:lang w:val="es-PR"/>
        </w:rPr>
        <w:footnoteReference w:id="9"/>
      </w:r>
      <w:r w:rsidR="00A8492B">
        <w:rPr>
          <w:rFonts w:ascii="Book Antiqua" w:hAnsi="Book Antiqua" w:cs="Century"/>
          <w:iCs/>
          <w:szCs w:val="24"/>
          <w:lang w:val="es-PR"/>
        </w:rPr>
        <w:t xml:space="preserve"> </w:t>
      </w:r>
      <w:r w:rsidR="00D87DCE">
        <w:rPr>
          <w:rFonts w:ascii="Book Antiqua" w:hAnsi="Book Antiqua" w:cs="Century"/>
          <w:iCs/>
          <w:szCs w:val="24"/>
          <w:lang w:val="es-PR"/>
        </w:rPr>
        <w:t xml:space="preserve">Recordaron </w:t>
      </w:r>
      <w:r w:rsidR="006F5B67">
        <w:rPr>
          <w:rFonts w:ascii="Book Antiqua" w:hAnsi="Book Antiqua" w:cs="Century"/>
          <w:iCs/>
          <w:szCs w:val="24"/>
          <w:lang w:val="es-PR"/>
        </w:rPr>
        <w:t>que el Tribunal Supremo de Puerto Rico ha resuelto que es en beneficio del servicio público contar con una plataforma laboral compuesta por servidores públicos idóneos y competentes. “Ahora bien, el principio de mérito es un procedimiento de selección de personal exclusivo del servicio público.”</w:t>
      </w:r>
      <w:r w:rsidR="00D87DCE">
        <w:rPr>
          <w:rStyle w:val="FootnoteReference"/>
          <w:rFonts w:ascii="Book Antiqua" w:hAnsi="Book Antiqua" w:cs="Century"/>
          <w:iCs/>
          <w:szCs w:val="24"/>
          <w:lang w:val="es-PR"/>
        </w:rPr>
        <w:footnoteReference w:id="10"/>
      </w:r>
      <w:r w:rsidR="006F5B67">
        <w:rPr>
          <w:rFonts w:ascii="Book Antiqua" w:hAnsi="Book Antiqua" w:cs="Century"/>
          <w:iCs/>
          <w:szCs w:val="24"/>
          <w:lang w:val="es-PR"/>
        </w:rPr>
        <w:t xml:space="preserve"> </w:t>
      </w:r>
    </w:p>
    <w:p w14:paraId="00719EE8" w14:textId="028D4599" w:rsidR="00F22F03" w:rsidRDefault="006F5B67" w:rsidP="00B233CB">
      <w:pPr>
        <w:spacing w:after="120" w:line="288" w:lineRule="auto"/>
        <w:ind w:firstLine="720"/>
        <w:jc w:val="both"/>
        <w:rPr>
          <w:rFonts w:ascii="Book Antiqua" w:hAnsi="Book Antiqua"/>
          <w:color w:val="000000" w:themeColor="text1"/>
          <w:szCs w:val="24"/>
          <w:lang w:val="es-PR"/>
        </w:rPr>
      </w:pPr>
      <w:r>
        <w:rPr>
          <w:rFonts w:ascii="Book Antiqua" w:hAnsi="Book Antiqua"/>
          <w:color w:val="000000" w:themeColor="text1"/>
          <w:szCs w:val="24"/>
          <w:lang w:val="es-PR"/>
        </w:rPr>
        <w:t>La Ley</w:t>
      </w:r>
      <w:r w:rsidR="00224EF7">
        <w:rPr>
          <w:rFonts w:ascii="Book Antiqua" w:hAnsi="Book Antiqua"/>
          <w:color w:val="000000" w:themeColor="text1"/>
          <w:szCs w:val="24"/>
          <w:lang w:val="es-PR"/>
        </w:rPr>
        <w:t xml:space="preserve"> Núm.</w:t>
      </w:r>
      <w:r>
        <w:rPr>
          <w:rFonts w:ascii="Book Antiqua" w:hAnsi="Book Antiqua"/>
          <w:color w:val="000000" w:themeColor="text1"/>
          <w:szCs w:val="24"/>
          <w:lang w:val="es-PR"/>
        </w:rPr>
        <w:t xml:space="preserve"> 1-2012, según enmendada</w:t>
      </w:r>
      <w:r w:rsidR="005614F0">
        <w:rPr>
          <w:rFonts w:ascii="Book Antiqua" w:hAnsi="Book Antiqua"/>
          <w:color w:val="000000" w:themeColor="text1"/>
          <w:szCs w:val="24"/>
          <w:lang w:val="es-PR"/>
        </w:rPr>
        <w:t>,</w:t>
      </w:r>
      <w:r w:rsidR="00224EF7">
        <w:rPr>
          <w:rStyle w:val="FootnoteReference"/>
          <w:rFonts w:ascii="Book Antiqua" w:hAnsi="Book Antiqua"/>
          <w:color w:val="000000" w:themeColor="text1"/>
          <w:szCs w:val="24"/>
          <w:lang w:val="es-PR"/>
        </w:rPr>
        <w:footnoteReference w:id="11"/>
      </w:r>
      <w:r w:rsidR="00F22F03">
        <w:rPr>
          <w:rFonts w:ascii="Book Antiqua" w:hAnsi="Book Antiqua"/>
          <w:color w:val="000000" w:themeColor="text1"/>
          <w:szCs w:val="24"/>
          <w:lang w:val="es-PR"/>
        </w:rPr>
        <w:t xml:space="preserve"> postula y exige a quienes pertenezcan al servicio público</w:t>
      </w:r>
      <w:r w:rsidR="005614F0">
        <w:rPr>
          <w:rFonts w:ascii="Book Antiqua" w:hAnsi="Book Antiqua"/>
          <w:color w:val="000000" w:themeColor="text1"/>
          <w:szCs w:val="24"/>
          <w:lang w:val="es-PR"/>
        </w:rPr>
        <w:t>,</w:t>
      </w:r>
      <w:r w:rsidR="00F22F03">
        <w:rPr>
          <w:rFonts w:ascii="Book Antiqua" w:hAnsi="Book Antiqua"/>
          <w:color w:val="000000" w:themeColor="text1"/>
          <w:szCs w:val="24"/>
          <w:lang w:val="es-PR"/>
        </w:rPr>
        <w:t xml:space="preserve"> </w:t>
      </w:r>
      <w:r w:rsidR="00385F4F">
        <w:rPr>
          <w:rFonts w:ascii="Book Antiqua" w:hAnsi="Book Antiqua"/>
          <w:color w:val="000000" w:themeColor="text1"/>
          <w:szCs w:val="24"/>
          <w:lang w:val="es-PR"/>
        </w:rPr>
        <w:t xml:space="preserve">que </w:t>
      </w:r>
      <w:r w:rsidR="00F22F03">
        <w:rPr>
          <w:rFonts w:ascii="Book Antiqua" w:hAnsi="Book Antiqua"/>
          <w:color w:val="000000" w:themeColor="text1"/>
          <w:szCs w:val="24"/>
          <w:lang w:val="es-PR"/>
        </w:rPr>
        <w:t xml:space="preserve">sean conscientes del compromiso </w:t>
      </w:r>
      <w:r w:rsidR="003A2FCB">
        <w:rPr>
          <w:rFonts w:ascii="Book Antiqua" w:hAnsi="Book Antiqua"/>
          <w:color w:val="000000" w:themeColor="text1"/>
          <w:szCs w:val="24"/>
          <w:lang w:val="es-PR"/>
        </w:rPr>
        <w:t xml:space="preserve">que asegure </w:t>
      </w:r>
      <w:r w:rsidR="00F22F03">
        <w:rPr>
          <w:rFonts w:ascii="Book Antiqua" w:hAnsi="Book Antiqua"/>
          <w:color w:val="000000" w:themeColor="text1"/>
          <w:szCs w:val="24"/>
          <w:lang w:val="es-PR"/>
        </w:rPr>
        <w:t>un servicio público en el que prevalezca la integridad</w:t>
      </w:r>
      <w:r w:rsidR="00C177B5">
        <w:rPr>
          <w:rFonts w:ascii="Book Antiqua" w:hAnsi="Book Antiqua"/>
          <w:color w:val="000000" w:themeColor="text1"/>
          <w:szCs w:val="24"/>
          <w:lang w:val="es-PR"/>
        </w:rPr>
        <w:t xml:space="preserve"> por encima de los intereses personales</w:t>
      </w:r>
      <w:r w:rsidR="00F22F03">
        <w:rPr>
          <w:rFonts w:ascii="Book Antiqua" w:hAnsi="Book Antiqua"/>
          <w:color w:val="000000" w:themeColor="text1"/>
          <w:szCs w:val="24"/>
          <w:lang w:val="es-PR"/>
        </w:rPr>
        <w:t>. Para lograr este énfasis</w:t>
      </w:r>
      <w:r w:rsidR="00FE2E5F">
        <w:rPr>
          <w:rFonts w:ascii="Book Antiqua" w:hAnsi="Book Antiqua"/>
          <w:color w:val="000000" w:themeColor="text1"/>
          <w:szCs w:val="24"/>
          <w:lang w:val="es-PR"/>
        </w:rPr>
        <w:t>,</w:t>
      </w:r>
      <w:r w:rsidR="00F22F03">
        <w:rPr>
          <w:rFonts w:ascii="Book Antiqua" w:hAnsi="Book Antiqua"/>
          <w:color w:val="000000" w:themeColor="text1"/>
          <w:szCs w:val="24"/>
          <w:lang w:val="es-PR"/>
        </w:rPr>
        <w:t xml:space="preserve"> el </w:t>
      </w:r>
      <w:r w:rsidR="00FE2E5F">
        <w:rPr>
          <w:rFonts w:ascii="Book Antiqua" w:hAnsi="Book Antiqua"/>
          <w:color w:val="000000" w:themeColor="text1"/>
          <w:szCs w:val="24"/>
          <w:lang w:val="es-PR"/>
        </w:rPr>
        <w:t>m</w:t>
      </w:r>
      <w:r w:rsidR="00F22F03">
        <w:rPr>
          <w:rFonts w:ascii="Book Antiqua" w:hAnsi="Book Antiqua"/>
          <w:color w:val="000000" w:themeColor="text1"/>
          <w:szCs w:val="24"/>
          <w:lang w:val="es-PR"/>
        </w:rPr>
        <w:t xml:space="preserve">emorial </w:t>
      </w:r>
      <w:r w:rsidR="00FE2E5F">
        <w:rPr>
          <w:rFonts w:ascii="Book Antiqua" w:hAnsi="Book Antiqua"/>
          <w:color w:val="000000" w:themeColor="text1"/>
          <w:szCs w:val="24"/>
          <w:lang w:val="es-PR"/>
        </w:rPr>
        <w:t>c</w:t>
      </w:r>
      <w:r w:rsidR="00F22F03">
        <w:rPr>
          <w:rFonts w:ascii="Book Antiqua" w:hAnsi="Book Antiqua"/>
          <w:color w:val="000000" w:themeColor="text1"/>
          <w:szCs w:val="24"/>
          <w:lang w:val="es-PR"/>
        </w:rPr>
        <w:t>onjunto refiere a valores que la Oficina de Ética Gubernamental busca implantar desde el 2012</w:t>
      </w:r>
      <w:r w:rsidR="00E44CE3">
        <w:rPr>
          <w:rFonts w:ascii="Book Antiqua" w:hAnsi="Book Antiqua"/>
          <w:color w:val="000000" w:themeColor="text1"/>
          <w:szCs w:val="24"/>
          <w:lang w:val="es-PR"/>
        </w:rPr>
        <w:t>.</w:t>
      </w:r>
      <w:r w:rsidR="00F22F03">
        <w:rPr>
          <w:rFonts w:ascii="Book Antiqua" w:hAnsi="Book Antiqua"/>
          <w:color w:val="000000" w:themeColor="text1"/>
          <w:szCs w:val="24"/>
          <w:lang w:val="es-PR"/>
        </w:rPr>
        <w:t xml:space="preserve"> </w:t>
      </w:r>
      <w:r w:rsidR="00E44CE3">
        <w:rPr>
          <w:rFonts w:ascii="Book Antiqua" w:hAnsi="Book Antiqua"/>
          <w:color w:val="000000" w:themeColor="text1"/>
          <w:szCs w:val="24"/>
          <w:lang w:val="es-PR"/>
        </w:rPr>
        <w:t>I</w:t>
      </w:r>
      <w:r w:rsidR="00F22F03">
        <w:rPr>
          <w:rFonts w:ascii="Book Antiqua" w:hAnsi="Book Antiqua"/>
          <w:color w:val="000000" w:themeColor="text1"/>
          <w:szCs w:val="24"/>
          <w:lang w:val="es-PR"/>
        </w:rPr>
        <w:t>ncluyen la confiabilidad, bondad, justicia, civismo, respeto y responsabilidad</w:t>
      </w:r>
      <w:r w:rsidR="00C177B5">
        <w:rPr>
          <w:rFonts w:ascii="Book Antiqua" w:hAnsi="Book Antiqua"/>
          <w:color w:val="000000" w:themeColor="text1"/>
          <w:szCs w:val="24"/>
          <w:lang w:val="es-PR"/>
        </w:rPr>
        <w:t>. Esto,</w:t>
      </w:r>
      <w:r w:rsidR="00F22F03">
        <w:rPr>
          <w:rFonts w:ascii="Book Antiqua" w:hAnsi="Book Antiqua"/>
          <w:color w:val="000000" w:themeColor="text1"/>
          <w:szCs w:val="24"/>
          <w:lang w:val="es-PR"/>
        </w:rPr>
        <w:t xml:space="preserve"> de modo que se pueda viabilizar la consecución de los más altos niveles de honestidad, rigurosidad y eficiencia en el desempeño de sus funciones. El </w:t>
      </w:r>
      <w:r w:rsidR="00B233CB">
        <w:rPr>
          <w:rFonts w:ascii="Book Antiqua" w:hAnsi="Book Antiqua"/>
          <w:color w:val="000000" w:themeColor="text1"/>
          <w:szCs w:val="24"/>
          <w:lang w:val="es-PR"/>
        </w:rPr>
        <w:t>m</w:t>
      </w:r>
      <w:r w:rsidR="00F22F03">
        <w:rPr>
          <w:rFonts w:ascii="Book Antiqua" w:hAnsi="Book Antiqua"/>
          <w:color w:val="000000" w:themeColor="text1"/>
          <w:szCs w:val="24"/>
          <w:lang w:val="es-PR"/>
        </w:rPr>
        <w:t xml:space="preserve">emorial </w:t>
      </w:r>
      <w:r w:rsidR="00B233CB">
        <w:rPr>
          <w:rFonts w:ascii="Book Antiqua" w:hAnsi="Book Antiqua"/>
          <w:color w:val="000000" w:themeColor="text1"/>
          <w:szCs w:val="24"/>
          <w:lang w:val="es-PR"/>
        </w:rPr>
        <w:t>c</w:t>
      </w:r>
      <w:r w:rsidR="00F22F03">
        <w:rPr>
          <w:rFonts w:ascii="Book Antiqua" w:hAnsi="Book Antiqua"/>
          <w:color w:val="000000" w:themeColor="text1"/>
          <w:szCs w:val="24"/>
          <w:lang w:val="es-PR"/>
        </w:rPr>
        <w:t>onjunto señala también:</w:t>
      </w:r>
    </w:p>
    <w:p w14:paraId="1109EFAB" w14:textId="68241CCD" w:rsidR="002179C3" w:rsidRDefault="00F22F03" w:rsidP="008B5C1E">
      <w:pPr>
        <w:ind w:left="360" w:right="360"/>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8B5C1E">
        <w:rPr>
          <w:rFonts w:ascii="Book Antiqua" w:hAnsi="Book Antiqua"/>
          <w:color w:val="000000" w:themeColor="text1"/>
          <w:szCs w:val="24"/>
          <w:lang w:val="es-PR"/>
        </w:rPr>
        <w:t xml:space="preserve">Del estado de derecho antes expuesto, </w:t>
      </w:r>
      <w:proofErr w:type="gramStart"/>
      <w:r w:rsidRPr="008B5C1E">
        <w:rPr>
          <w:rFonts w:ascii="Book Antiqua" w:hAnsi="Book Antiqua"/>
          <w:color w:val="000000" w:themeColor="text1"/>
          <w:szCs w:val="24"/>
          <w:lang w:val="es-PR"/>
        </w:rPr>
        <w:t>podemos  concluir</w:t>
      </w:r>
      <w:proofErr w:type="gramEnd"/>
      <w:r w:rsidRPr="008B5C1E">
        <w:rPr>
          <w:rFonts w:ascii="Book Antiqua" w:hAnsi="Book Antiqua"/>
          <w:color w:val="000000" w:themeColor="text1"/>
          <w:szCs w:val="24"/>
          <w:lang w:val="es-PR"/>
        </w:rPr>
        <w:t xml:space="preserve"> que existe un interés apremiante de que solo los más aptos, honestos, competentes e íntegros sirvan al Gobierno. Bajo los principios antes señalados, no tenemos objeción de carácter legal para la política pública que persigue la inhabilitación permanente en los términos propuestos en la Medida bajo estudio [en aquella ocasión el P. de la C. 1428]. Téngase presente que la finalidad mayor del “Principio del Mérito” es reclutar, educar y conservar buenos funcionarios para que [Puerto Rico] tenga un buen servicio público. A su vez, nadie tiene un derecho de rango estatutario </w:t>
      </w:r>
      <w:r w:rsidR="00207761" w:rsidRPr="008B5C1E">
        <w:rPr>
          <w:rFonts w:ascii="Book Antiqua" w:hAnsi="Book Antiqua"/>
          <w:color w:val="000000" w:themeColor="text1"/>
          <w:szCs w:val="24"/>
          <w:lang w:val="es-PR"/>
        </w:rPr>
        <w:t xml:space="preserve">o constitucional de ostentar el privilegio de servirle al Gobierno mediante la contratación. Como cuestión de derecho, toda la normativa que regula la contratación pública lo que persigue </w:t>
      </w:r>
      <w:r w:rsidR="004A2F7B" w:rsidRPr="008B5C1E">
        <w:rPr>
          <w:rFonts w:ascii="Book Antiqua" w:hAnsi="Book Antiqua"/>
          <w:color w:val="000000" w:themeColor="text1"/>
          <w:szCs w:val="24"/>
          <w:lang w:val="es-PR"/>
        </w:rPr>
        <w:t>es garantizar la gobernanza corporativa, la solvencia moral, la capacidad para cumplir con las obligaciones pactadas y la integridad en la interacción con los servidores públicos.</w:t>
      </w:r>
    </w:p>
    <w:p w14:paraId="2215C6C1" w14:textId="77777777" w:rsidR="00B233CB" w:rsidRDefault="00B233CB" w:rsidP="008B5C1E">
      <w:pPr>
        <w:ind w:left="360" w:right="360"/>
        <w:jc w:val="both"/>
        <w:rPr>
          <w:rFonts w:ascii="Book Antiqua" w:hAnsi="Book Antiqua"/>
          <w:color w:val="000000" w:themeColor="text1"/>
          <w:szCs w:val="24"/>
          <w:lang w:val="es-PR"/>
        </w:rPr>
      </w:pPr>
    </w:p>
    <w:p w14:paraId="78BEE45E" w14:textId="77777777" w:rsidR="00B233CB" w:rsidRDefault="00B233CB" w:rsidP="008B5C1E">
      <w:pPr>
        <w:ind w:left="360" w:right="360"/>
        <w:jc w:val="both"/>
        <w:rPr>
          <w:rFonts w:ascii="Book Antiqua" w:hAnsi="Book Antiqua"/>
          <w:color w:val="000000" w:themeColor="text1"/>
          <w:szCs w:val="24"/>
          <w:lang w:val="es-PR"/>
        </w:rPr>
      </w:pPr>
    </w:p>
    <w:p w14:paraId="44F9A70B" w14:textId="77777777" w:rsidR="002179C3" w:rsidRDefault="002179C3" w:rsidP="008B5C1E">
      <w:pPr>
        <w:ind w:left="360" w:right="360"/>
        <w:jc w:val="both"/>
        <w:rPr>
          <w:rFonts w:ascii="Book Antiqua" w:hAnsi="Book Antiqua"/>
          <w:color w:val="000000" w:themeColor="text1"/>
          <w:szCs w:val="24"/>
          <w:lang w:val="es-PR"/>
        </w:rPr>
      </w:pPr>
    </w:p>
    <w:p w14:paraId="754A0984" w14:textId="4BB39F78" w:rsidR="00F22F03" w:rsidRPr="008B5C1E" w:rsidRDefault="004A2F7B" w:rsidP="008B5C1E">
      <w:pPr>
        <w:ind w:left="360" w:right="360"/>
        <w:jc w:val="both"/>
        <w:rPr>
          <w:rFonts w:ascii="Book Antiqua" w:hAnsi="Book Antiqua"/>
          <w:color w:val="000000" w:themeColor="text1"/>
          <w:szCs w:val="24"/>
          <w:lang w:val="es-PR"/>
        </w:rPr>
      </w:pPr>
      <w:r w:rsidRPr="008B5C1E">
        <w:rPr>
          <w:rFonts w:ascii="Book Antiqua" w:hAnsi="Book Antiqua"/>
          <w:color w:val="000000" w:themeColor="text1"/>
          <w:szCs w:val="24"/>
          <w:lang w:val="es-PR"/>
        </w:rPr>
        <w:t xml:space="preserve"> </w:t>
      </w:r>
    </w:p>
    <w:p w14:paraId="291CC821" w14:textId="2B628DA5" w:rsidR="004A2F7B" w:rsidRPr="008B5C1E" w:rsidRDefault="004A2F7B" w:rsidP="008B5C1E">
      <w:pPr>
        <w:ind w:left="360" w:right="360"/>
        <w:jc w:val="both"/>
        <w:rPr>
          <w:rFonts w:ascii="Book Antiqua" w:hAnsi="Book Antiqua"/>
          <w:color w:val="000000" w:themeColor="text1"/>
          <w:szCs w:val="24"/>
          <w:lang w:val="es-PR"/>
        </w:rPr>
      </w:pPr>
      <w:r w:rsidRPr="008B5C1E">
        <w:rPr>
          <w:rFonts w:ascii="Book Antiqua" w:hAnsi="Book Antiqua"/>
          <w:color w:val="000000" w:themeColor="text1"/>
          <w:szCs w:val="24"/>
          <w:lang w:val="es-PR"/>
        </w:rPr>
        <w:lastRenderedPageBreak/>
        <w:tab/>
        <w:t xml:space="preserve">Aunque reconocemos el interés gubernamental de que las personas se rehabiliten, somos de la opinión de los que cometen delitos en contra de la función gubernamental no deben trabajar o contratar con el Gobierno. Ahora bien, observamos que la Medida contiene enmiendas y deroga una ley que pudiera quitarle la oportunidad de habilitación a otras personas que cometan delitos no relacionados con corrupción, o que fueron adictos por sustancias controladas y alcohol. Sobre este particular, entendemos que la Medida puede resultar excesiva. </w:t>
      </w:r>
    </w:p>
    <w:p w14:paraId="10005322" w14:textId="3422621B" w:rsidR="004A2F7B" w:rsidRPr="008B5C1E" w:rsidRDefault="004A2F7B" w:rsidP="00E74A0C">
      <w:pPr>
        <w:spacing w:after="120"/>
        <w:ind w:left="360" w:right="360"/>
        <w:jc w:val="both"/>
        <w:rPr>
          <w:rFonts w:ascii="Book Antiqua" w:hAnsi="Book Antiqua"/>
          <w:color w:val="000000" w:themeColor="text1"/>
          <w:szCs w:val="24"/>
          <w:lang w:val="es-PR"/>
        </w:rPr>
      </w:pPr>
      <w:r w:rsidRPr="008B5C1E">
        <w:rPr>
          <w:rFonts w:ascii="Book Antiqua" w:hAnsi="Book Antiqua"/>
          <w:color w:val="000000" w:themeColor="text1"/>
          <w:szCs w:val="24"/>
          <w:lang w:val="es-PR"/>
        </w:rPr>
        <w:tab/>
        <w:t>Por otro lado, advertimos que hay varias enmiendas sobre el tema de la inhabilitación que son redundantes, pues versan sobre lo mismo y comparten el mismo propósito. Ante esto, recomendamos unir en una sola propuesta la intención de extender la inhabilitación permanente, para evitar causar confusión por ser repetitivas.</w:t>
      </w:r>
      <w:r w:rsidR="002C534B" w:rsidRPr="008B5C1E">
        <w:rPr>
          <w:rStyle w:val="FootnoteReference"/>
          <w:rFonts w:ascii="Book Antiqua" w:hAnsi="Book Antiqua"/>
          <w:color w:val="000000" w:themeColor="text1"/>
          <w:szCs w:val="24"/>
          <w:lang w:val="es-PR"/>
        </w:rPr>
        <w:footnoteReference w:id="12"/>
      </w:r>
      <w:r w:rsidRPr="008B5C1E">
        <w:rPr>
          <w:rFonts w:ascii="Book Antiqua" w:hAnsi="Book Antiqua"/>
          <w:color w:val="000000" w:themeColor="text1"/>
          <w:szCs w:val="24"/>
          <w:lang w:val="es-PR"/>
        </w:rPr>
        <w:t xml:space="preserve"> </w:t>
      </w:r>
    </w:p>
    <w:p w14:paraId="45AB6DF2" w14:textId="159A5B1A" w:rsidR="00E74A0C" w:rsidRPr="00E74A0C" w:rsidRDefault="00E74A0C" w:rsidP="008C36C5">
      <w:pPr>
        <w:spacing w:after="120" w:line="288" w:lineRule="auto"/>
        <w:ind w:firstLine="720"/>
        <w:jc w:val="both"/>
        <w:rPr>
          <w:rFonts w:ascii="Book Antiqua" w:hAnsi="Book Antiqua"/>
          <w:color w:val="000000" w:themeColor="text1"/>
          <w:szCs w:val="24"/>
          <w:lang w:val="es-ES_tradnl"/>
        </w:rPr>
      </w:pPr>
      <w:r w:rsidRPr="00E74A0C">
        <w:rPr>
          <w:rFonts w:ascii="Book Antiqua" w:hAnsi="Book Antiqua"/>
          <w:color w:val="000000" w:themeColor="text1"/>
          <w:szCs w:val="24"/>
          <w:lang w:val="es-ES_tradnl"/>
        </w:rPr>
        <w:t>Resumidas</w:t>
      </w:r>
      <w:r>
        <w:rPr>
          <w:rFonts w:ascii="Book Antiqua" w:hAnsi="Book Antiqua"/>
          <w:color w:val="000000" w:themeColor="text1"/>
          <w:szCs w:val="24"/>
          <w:lang w:val="es-ES_tradnl"/>
        </w:rPr>
        <w:t xml:space="preserve"> las comparecencias del </w:t>
      </w:r>
      <w:r w:rsidR="00CE65FB">
        <w:rPr>
          <w:rFonts w:ascii="Book Antiqua" w:hAnsi="Book Antiqua"/>
          <w:color w:val="000000" w:themeColor="text1"/>
          <w:szCs w:val="24"/>
          <w:lang w:val="es-ES_tradnl"/>
        </w:rPr>
        <w:t>P. de la C. 1428, se procede a re</w:t>
      </w:r>
      <w:r w:rsidR="003B09EC">
        <w:rPr>
          <w:rFonts w:ascii="Book Antiqua" w:hAnsi="Book Antiqua"/>
          <w:color w:val="000000" w:themeColor="text1"/>
          <w:szCs w:val="24"/>
          <w:lang w:val="es-ES_tradnl"/>
        </w:rPr>
        <w:t>señar</w:t>
      </w:r>
      <w:r w:rsidR="00CE65FB">
        <w:rPr>
          <w:rFonts w:ascii="Book Antiqua" w:hAnsi="Book Antiqua"/>
          <w:color w:val="000000" w:themeColor="text1"/>
          <w:szCs w:val="24"/>
          <w:lang w:val="es-ES_tradnl"/>
        </w:rPr>
        <w:t xml:space="preserve"> l</w:t>
      </w:r>
      <w:r w:rsidR="003B09EC">
        <w:rPr>
          <w:rFonts w:ascii="Book Antiqua" w:hAnsi="Book Antiqua"/>
          <w:color w:val="000000" w:themeColor="text1"/>
          <w:szCs w:val="24"/>
          <w:lang w:val="es-ES_tradnl"/>
        </w:rPr>
        <w:t xml:space="preserve">os memoriales </w:t>
      </w:r>
      <w:r w:rsidR="00FF5CBA">
        <w:rPr>
          <w:rFonts w:ascii="Book Antiqua" w:hAnsi="Book Antiqua"/>
          <w:color w:val="000000" w:themeColor="text1"/>
          <w:szCs w:val="24"/>
          <w:lang w:val="es-ES_tradnl"/>
        </w:rPr>
        <w:t>de la medida vigente.</w:t>
      </w:r>
    </w:p>
    <w:p w14:paraId="3BE0CCF2" w14:textId="1A17B512" w:rsidR="001F2899" w:rsidRDefault="001F2899" w:rsidP="002B6BDB">
      <w:pPr>
        <w:spacing w:line="288" w:lineRule="auto"/>
        <w:ind w:firstLine="720"/>
        <w:jc w:val="both"/>
        <w:rPr>
          <w:rFonts w:ascii="Book Antiqua" w:hAnsi="Book Antiqua"/>
          <w:color w:val="000000" w:themeColor="text1"/>
          <w:szCs w:val="24"/>
          <w:lang w:val="es-ES_tradnl"/>
        </w:rPr>
      </w:pPr>
      <w:r>
        <w:rPr>
          <w:rFonts w:ascii="Book Antiqua" w:hAnsi="Book Antiqua"/>
          <w:color w:val="000000" w:themeColor="text1"/>
          <w:szCs w:val="24"/>
          <w:lang w:val="es-ES_tradnl"/>
        </w:rPr>
        <w:t xml:space="preserve">La </w:t>
      </w:r>
      <w:r w:rsidR="002B6BDB" w:rsidRPr="001F2899">
        <w:rPr>
          <w:rFonts w:ascii="Book Antiqua" w:hAnsi="Book Antiqua"/>
          <w:b/>
          <w:bCs/>
          <w:color w:val="000000" w:themeColor="text1"/>
          <w:szCs w:val="24"/>
          <w:lang w:val="es-ES_tradnl"/>
        </w:rPr>
        <w:t>Oficina del Inspector General</w:t>
      </w:r>
      <w:r w:rsidR="002B6BDB">
        <w:rPr>
          <w:rFonts w:ascii="Book Antiqua" w:hAnsi="Book Antiqua"/>
          <w:color w:val="000000" w:themeColor="text1"/>
          <w:szCs w:val="24"/>
          <w:lang w:val="es-ES_tradnl"/>
        </w:rPr>
        <w:t xml:space="preserve"> (</w:t>
      </w:r>
      <w:r>
        <w:rPr>
          <w:rFonts w:ascii="Book Antiqua" w:hAnsi="Book Antiqua"/>
          <w:color w:val="000000" w:themeColor="text1"/>
          <w:szCs w:val="24"/>
          <w:lang w:val="es-ES_tradnl"/>
        </w:rPr>
        <w:t>OIG</w:t>
      </w:r>
      <w:r w:rsidR="002B6BDB">
        <w:rPr>
          <w:rFonts w:ascii="Book Antiqua" w:hAnsi="Book Antiqua"/>
          <w:color w:val="000000" w:themeColor="text1"/>
          <w:szCs w:val="24"/>
          <w:lang w:val="es-ES_tradnl"/>
        </w:rPr>
        <w:t>)</w:t>
      </w:r>
      <w:r>
        <w:rPr>
          <w:rFonts w:ascii="Book Antiqua" w:hAnsi="Book Antiqua"/>
          <w:color w:val="000000" w:themeColor="text1"/>
          <w:szCs w:val="24"/>
          <w:lang w:val="es-ES_tradnl"/>
        </w:rPr>
        <w:t xml:space="preserve"> favorece la aprobación del P. de la C. 1039 tal y como está redactado.</w:t>
      </w:r>
      <w:r>
        <w:rPr>
          <w:rStyle w:val="FootnoteReference"/>
          <w:rFonts w:ascii="Book Antiqua" w:hAnsi="Book Antiqua"/>
          <w:color w:val="000000" w:themeColor="text1"/>
          <w:szCs w:val="24"/>
          <w:lang w:val="es-ES_tradnl"/>
        </w:rPr>
        <w:footnoteReference w:id="13"/>
      </w:r>
      <w:r>
        <w:rPr>
          <w:rFonts w:ascii="Book Antiqua" w:hAnsi="Book Antiqua"/>
          <w:color w:val="000000" w:themeColor="text1"/>
          <w:szCs w:val="24"/>
          <w:lang w:val="es-ES_tradnl"/>
        </w:rPr>
        <w:t xml:space="preserve"> </w:t>
      </w:r>
    </w:p>
    <w:p w14:paraId="67FA0D8A" w14:textId="333EBB15" w:rsidR="001F2899" w:rsidRDefault="001F2899" w:rsidP="002B6BDB">
      <w:pPr>
        <w:spacing w:line="288" w:lineRule="auto"/>
        <w:ind w:firstLine="720"/>
        <w:jc w:val="both"/>
        <w:rPr>
          <w:rFonts w:ascii="Book Antiqua" w:hAnsi="Book Antiqua"/>
          <w:color w:val="000000" w:themeColor="text1"/>
          <w:szCs w:val="24"/>
          <w:lang w:val="es-ES_tradnl"/>
        </w:rPr>
      </w:pPr>
      <w:r>
        <w:rPr>
          <w:rFonts w:ascii="Book Antiqua" w:hAnsi="Book Antiqua"/>
          <w:color w:val="000000" w:themeColor="text1"/>
          <w:szCs w:val="24"/>
          <w:lang w:val="es-ES_tradnl"/>
        </w:rPr>
        <w:t>En defensa de su posición</w:t>
      </w:r>
      <w:r w:rsidR="00F35F1C">
        <w:rPr>
          <w:rFonts w:ascii="Book Antiqua" w:hAnsi="Book Antiqua"/>
          <w:color w:val="000000" w:themeColor="text1"/>
          <w:szCs w:val="24"/>
          <w:lang w:val="es-ES_tradnl"/>
        </w:rPr>
        <w:t>,</w:t>
      </w:r>
      <w:r>
        <w:rPr>
          <w:rFonts w:ascii="Book Antiqua" w:hAnsi="Book Antiqua"/>
          <w:color w:val="000000" w:themeColor="text1"/>
          <w:szCs w:val="24"/>
          <w:lang w:val="es-ES_tradnl"/>
        </w:rPr>
        <w:t xml:space="preserve"> entiende que la intención de este proyecto es facilitar la interpretación y dar claridad legislativa al proceso de relevo de inhabilidad </w:t>
      </w:r>
      <w:r w:rsidR="00F35F1C">
        <w:rPr>
          <w:rFonts w:ascii="Book Antiqua" w:hAnsi="Book Antiqua"/>
          <w:color w:val="000000" w:themeColor="text1"/>
          <w:szCs w:val="24"/>
          <w:lang w:val="es-ES_tradnl"/>
        </w:rPr>
        <w:t>—</w:t>
      </w:r>
      <w:r>
        <w:rPr>
          <w:rFonts w:ascii="Book Antiqua" w:hAnsi="Book Antiqua"/>
          <w:color w:val="000000" w:themeColor="text1"/>
          <w:szCs w:val="24"/>
          <w:lang w:val="es-ES_tradnl"/>
        </w:rPr>
        <w:t>es decir, rehabilitación</w:t>
      </w:r>
      <w:r w:rsidR="00F35F1C">
        <w:rPr>
          <w:rFonts w:ascii="Book Antiqua" w:hAnsi="Book Antiqua"/>
          <w:color w:val="000000" w:themeColor="text1"/>
          <w:szCs w:val="24"/>
          <w:lang w:val="es-ES_tradnl"/>
        </w:rPr>
        <w:t>—</w:t>
      </w:r>
      <w:r>
        <w:rPr>
          <w:rFonts w:ascii="Book Antiqua" w:hAnsi="Book Antiqua"/>
          <w:color w:val="000000" w:themeColor="text1"/>
          <w:szCs w:val="24"/>
          <w:lang w:val="es-ES_tradnl"/>
        </w:rPr>
        <w:t xml:space="preserve"> establecido por la </w:t>
      </w:r>
      <w:r w:rsidR="00F35F1C">
        <w:rPr>
          <w:rFonts w:ascii="Book Antiqua" w:hAnsi="Book Antiqua"/>
          <w:color w:val="000000" w:themeColor="text1"/>
          <w:szCs w:val="24"/>
          <w:lang w:val="es-ES_tradnl"/>
        </w:rPr>
        <w:t>l</w:t>
      </w:r>
      <w:r>
        <w:rPr>
          <w:rFonts w:ascii="Book Antiqua" w:hAnsi="Book Antiqua"/>
          <w:color w:val="000000" w:themeColor="text1"/>
          <w:szCs w:val="24"/>
          <w:lang w:val="es-ES_tradnl"/>
        </w:rPr>
        <w:t xml:space="preserve">ey para ocupar puestos en el servicio público en Puerto Rico. La forma y manera en que se logra esta claridad es eliminando la duplicidad de legislación en este proceso. </w:t>
      </w:r>
    </w:p>
    <w:p w14:paraId="2E03A42A" w14:textId="3941BB6B" w:rsidR="001F2899" w:rsidRDefault="001F2899" w:rsidP="003A540B">
      <w:pPr>
        <w:spacing w:after="120" w:line="288" w:lineRule="auto"/>
        <w:ind w:firstLine="720"/>
        <w:jc w:val="both"/>
        <w:rPr>
          <w:rFonts w:ascii="Book Antiqua" w:hAnsi="Book Antiqua"/>
          <w:color w:val="000000" w:themeColor="text1"/>
          <w:szCs w:val="24"/>
          <w:lang w:val="es-ES_tradnl"/>
        </w:rPr>
      </w:pPr>
      <w:r>
        <w:rPr>
          <w:rFonts w:ascii="Book Antiqua" w:hAnsi="Book Antiqua"/>
          <w:color w:val="000000" w:themeColor="text1"/>
          <w:szCs w:val="24"/>
          <w:lang w:val="es-ES_tradnl"/>
        </w:rPr>
        <w:t xml:space="preserve">Sobre la </w:t>
      </w:r>
      <w:r w:rsidR="00762646">
        <w:rPr>
          <w:rFonts w:ascii="Book Antiqua" w:hAnsi="Book Antiqua"/>
          <w:color w:val="000000" w:themeColor="text1"/>
          <w:szCs w:val="24"/>
          <w:lang w:val="es-ES_tradnl"/>
        </w:rPr>
        <w:t>interpretación de la</w:t>
      </w:r>
      <w:r>
        <w:rPr>
          <w:rFonts w:ascii="Book Antiqua" w:hAnsi="Book Antiqua"/>
          <w:color w:val="000000" w:themeColor="text1"/>
          <w:szCs w:val="24"/>
          <w:lang w:val="es-ES_tradnl"/>
        </w:rPr>
        <w:t xml:space="preserve"> legislación</w:t>
      </w:r>
      <w:r w:rsidR="00762646">
        <w:rPr>
          <w:rFonts w:ascii="Book Antiqua" w:hAnsi="Book Antiqua"/>
          <w:color w:val="000000" w:themeColor="text1"/>
          <w:szCs w:val="24"/>
          <w:lang w:val="es-ES_tradnl"/>
        </w:rPr>
        <w:t xml:space="preserve">, la OIG </w:t>
      </w:r>
      <w:r w:rsidR="00E6306A">
        <w:rPr>
          <w:rFonts w:ascii="Book Antiqua" w:hAnsi="Book Antiqua"/>
          <w:color w:val="000000" w:themeColor="text1"/>
          <w:szCs w:val="24"/>
          <w:lang w:val="es-ES_tradnl"/>
        </w:rPr>
        <w:t xml:space="preserve">mencionó </w:t>
      </w:r>
      <w:r w:rsidR="00762646">
        <w:rPr>
          <w:rFonts w:ascii="Book Antiqua" w:hAnsi="Book Antiqua"/>
          <w:color w:val="000000" w:themeColor="text1"/>
          <w:szCs w:val="24"/>
          <w:lang w:val="es-ES_tradnl"/>
        </w:rPr>
        <w:t xml:space="preserve">jurisprudencia del Tribunal Supremo de Puerto Rico en la que se ha dicho: </w:t>
      </w:r>
    </w:p>
    <w:p w14:paraId="32CFC4CC" w14:textId="77777777" w:rsidR="00762646" w:rsidRDefault="00762646" w:rsidP="002B6BDB">
      <w:pPr>
        <w:ind w:left="360" w:right="360" w:firstLine="360"/>
        <w:jc w:val="both"/>
        <w:rPr>
          <w:rFonts w:ascii="Book Antiqua" w:hAnsi="Book Antiqua"/>
          <w:color w:val="000000" w:themeColor="text1"/>
          <w:szCs w:val="24"/>
        </w:rPr>
      </w:pPr>
      <w:r w:rsidRPr="002B6BDB">
        <w:rPr>
          <w:rFonts w:ascii="Book Antiqua" w:hAnsi="Book Antiqua"/>
          <w:color w:val="000000" w:themeColor="text1"/>
          <w:szCs w:val="24"/>
        </w:rPr>
        <w:t>“Los tribunales tenemos el propósito de solucionar las controversias y de adjudicar los derechos de las partes en un pleito. Como criterio rector, nos corresponde evaluar, en primer a instancia, el texto de la ley. Este principio parte del hecho que, “cuando la ley es clara y libre de toda ambigüedad, su texto no debe menospreciarse bajo el pretexto de cumplir su espíritu”. Como corolario, cuando el legislador se ha manifestado con un lenguaje claro e inequívoco, el texto de la ley es la expresión por excelencia de toda intención legislativa.</w:t>
      </w:r>
    </w:p>
    <w:p w14:paraId="3E942C3A" w14:textId="77777777" w:rsidR="002179C3" w:rsidRDefault="002179C3" w:rsidP="002B6BDB">
      <w:pPr>
        <w:ind w:left="360" w:right="360" w:firstLine="360"/>
        <w:jc w:val="both"/>
        <w:rPr>
          <w:rFonts w:ascii="Book Antiqua" w:hAnsi="Book Antiqua"/>
          <w:color w:val="000000" w:themeColor="text1"/>
          <w:szCs w:val="24"/>
        </w:rPr>
      </w:pPr>
    </w:p>
    <w:p w14:paraId="2A89BA8C" w14:textId="77777777" w:rsidR="002179C3" w:rsidRDefault="002179C3" w:rsidP="002B6BDB">
      <w:pPr>
        <w:ind w:left="360" w:right="360" w:firstLine="360"/>
        <w:jc w:val="both"/>
        <w:rPr>
          <w:rFonts w:ascii="Book Antiqua" w:hAnsi="Book Antiqua"/>
          <w:color w:val="000000" w:themeColor="text1"/>
          <w:szCs w:val="24"/>
        </w:rPr>
      </w:pPr>
    </w:p>
    <w:p w14:paraId="1F8295FE" w14:textId="77777777" w:rsidR="002179C3" w:rsidRDefault="002179C3" w:rsidP="002B6BDB">
      <w:pPr>
        <w:ind w:left="360" w:right="360" w:firstLine="360"/>
        <w:jc w:val="both"/>
        <w:rPr>
          <w:rFonts w:ascii="Book Antiqua" w:hAnsi="Book Antiqua"/>
          <w:color w:val="000000" w:themeColor="text1"/>
          <w:szCs w:val="24"/>
        </w:rPr>
      </w:pPr>
    </w:p>
    <w:p w14:paraId="4DB3F885" w14:textId="77777777" w:rsidR="002179C3" w:rsidRPr="002B6BDB" w:rsidRDefault="002179C3" w:rsidP="002B6BDB">
      <w:pPr>
        <w:ind w:left="360" w:right="360" w:firstLine="360"/>
        <w:jc w:val="both"/>
        <w:rPr>
          <w:rFonts w:ascii="Book Antiqua" w:hAnsi="Book Antiqua"/>
          <w:color w:val="000000" w:themeColor="text1"/>
          <w:szCs w:val="24"/>
        </w:rPr>
      </w:pPr>
    </w:p>
    <w:p w14:paraId="15DAAF13" w14:textId="77777777" w:rsidR="003A540B" w:rsidRDefault="00762646" w:rsidP="000715C3">
      <w:pPr>
        <w:spacing w:after="160"/>
        <w:ind w:left="360" w:right="360" w:firstLine="360"/>
        <w:jc w:val="both"/>
        <w:rPr>
          <w:rFonts w:ascii="Book Antiqua" w:hAnsi="Book Antiqua"/>
          <w:color w:val="000000" w:themeColor="text1"/>
          <w:szCs w:val="24"/>
        </w:rPr>
      </w:pPr>
      <w:r w:rsidRPr="002B6BDB">
        <w:rPr>
          <w:rFonts w:ascii="Book Antiqua" w:hAnsi="Book Antiqua"/>
          <w:color w:val="000000" w:themeColor="text1"/>
          <w:szCs w:val="24"/>
        </w:rPr>
        <w:lastRenderedPageBreak/>
        <w:t>Así las cosas, este principio asegura que las leyes sean aplicadas de manera uniforme y predecible, evitando interpretaciones arbitrarias o contradictorias. No obstante, cuando en una ley existe ambigüedad el proceso que tienen que llevar los tribunales para solucionar una controversia es más lento y se retrasa la aplicación de la ley. De hecho, el Alto Foro ha expresado que cuando la ley es ambigua o dudosa, para llevar a cabo a una interpretación correcta "...es preciso examinar el historial legislativo del estatuto, incluyendo el texto propiamente del proyecto de ley y sus enmiendas a lo largo del trámite legislativo, el Diario de Sesiones, los informes de las comisiones, las ponencias presentadas, entre otros recursos. Como podemos ver, el camino que deben recorrer los Tribunales para aplicar correctamente la ley cuando esta resulta ambigua o dudosa es uno escabroso. No cabe duda de que ese proceso de evaluación conllevará una aplicación más lenta de la ley en las controversias que se presenten ante los Tribunales.”</w:t>
      </w:r>
      <w:r w:rsidR="00BD3E97">
        <w:rPr>
          <w:rStyle w:val="FootnoteReference"/>
          <w:rFonts w:ascii="Book Antiqua" w:hAnsi="Book Antiqua"/>
          <w:color w:val="000000" w:themeColor="text1"/>
          <w:szCs w:val="24"/>
        </w:rPr>
        <w:footnoteReference w:id="14"/>
      </w:r>
    </w:p>
    <w:p w14:paraId="7B137EE6" w14:textId="60EDC871" w:rsidR="00885705" w:rsidRDefault="00762646" w:rsidP="00AE39F9">
      <w:pPr>
        <w:spacing w:line="288" w:lineRule="auto"/>
        <w:ind w:firstLine="720"/>
        <w:jc w:val="both"/>
        <w:rPr>
          <w:rFonts w:ascii="Book Antiqua" w:hAnsi="Book Antiqua"/>
          <w:color w:val="000000" w:themeColor="text1"/>
          <w:szCs w:val="24"/>
          <w:lang w:val="es-ES_tradnl"/>
        </w:rPr>
      </w:pPr>
      <w:r>
        <w:rPr>
          <w:rFonts w:ascii="Book Antiqua" w:hAnsi="Book Antiqua"/>
          <w:color w:val="000000" w:themeColor="text1"/>
          <w:szCs w:val="24"/>
          <w:lang w:val="es-ES_tradnl"/>
        </w:rPr>
        <w:t xml:space="preserve">La </w:t>
      </w:r>
      <w:r w:rsidRPr="00AE39F9">
        <w:rPr>
          <w:rFonts w:ascii="Book Antiqua" w:hAnsi="Book Antiqua"/>
          <w:b/>
          <w:bCs/>
          <w:color w:val="000000" w:themeColor="text1"/>
          <w:szCs w:val="24"/>
          <w:lang w:val="es-ES_tradnl"/>
        </w:rPr>
        <w:t>Oficina de la Contralora de Puerto Rico</w:t>
      </w:r>
      <w:r w:rsidR="00AE39F9">
        <w:rPr>
          <w:rFonts w:ascii="Book Antiqua" w:hAnsi="Book Antiqua"/>
          <w:color w:val="000000" w:themeColor="text1"/>
          <w:szCs w:val="24"/>
          <w:lang w:val="es-ES_tradnl"/>
        </w:rPr>
        <w:t xml:space="preserve"> (OCPR)</w:t>
      </w:r>
      <w:r>
        <w:rPr>
          <w:rFonts w:ascii="Book Antiqua" w:hAnsi="Book Antiqua"/>
          <w:color w:val="000000" w:themeColor="text1"/>
          <w:szCs w:val="24"/>
          <w:lang w:val="es-ES_tradnl"/>
        </w:rPr>
        <w:t xml:space="preserve"> reconoce que </w:t>
      </w:r>
      <w:r w:rsidR="00885705">
        <w:rPr>
          <w:rFonts w:ascii="Book Antiqua" w:hAnsi="Book Antiqua"/>
          <w:color w:val="000000" w:themeColor="text1"/>
          <w:szCs w:val="24"/>
          <w:lang w:val="es-ES_tradnl"/>
        </w:rPr>
        <w:t>eliminar duplicidad normativa contribuye a un marco legal más robusto y facilita los procesos de fiscalización</w:t>
      </w:r>
      <w:r w:rsidR="001A54BF">
        <w:rPr>
          <w:rFonts w:ascii="Book Antiqua" w:hAnsi="Book Antiqua"/>
          <w:color w:val="000000" w:themeColor="text1"/>
          <w:szCs w:val="24"/>
          <w:lang w:val="es-ES_tradnl"/>
        </w:rPr>
        <w:t>.</w:t>
      </w:r>
      <w:r w:rsidR="004D6B09">
        <w:rPr>
          <w:rStyle w:val="FootnoteReference"/>
          <w:rFonts w:ascii="Book Antiqua" w:hAnsi="Book Antiqua"/>
          <w:color w:val="000000" w:themeColor="text1"/>
          <w:szCs w:val="24"/>
          <w:lang w:val="es-ES_tradnl"/>
        </w:rPr>
        <w:footnoteReference w:id="15"/>
      </w:r>
      <w:r w:rsidR="00885705">
        <w:rPr>
          <w:rFonts w:ascii="Book Antiqua" w:hAnsi="Book Antiqua"/>
          <w:color w:val="000000" w:themeColor="text1"/>
          <w:szCs w:val="24"/>
          <w:lang w:val="es-ES_tradnl"/>
        </w:rPr>
        <w:t xml:space="preserve"> </w:t>
      </w:r>
      <w:r w:rsidR="001A54BF">
        <w:rPr>
          <w:rFonts w:ascii="Book Antiqua" w:hAnsi="Book Antiqua"/>
          <w:color w:val="000000" w:themeColor="text1"/>
          <w:szCs w:val="24"/>
          <w:lang w:val="es-ES_tradnl"/>
        </w:rPr>
        <w:t xml:space="preserve">Interpreta </w:t>
      </w:r>
      <w:r w:rsidR="004D6B09">
        <w:rPr>
          <w:rFonts w:ascii="Book Antiqua" w:hAnsi="Book Antiqua"/>
          <w:color w:val="000000" w:themeColor="text1"/>
          <w:szCs w:val="24"/>
          <w:lang w:val="es-ES_tradnl"/>
        </w:rPr>
        <w:t xml:space="preserve">el P. de la C. 1039 como una propuesta alineada con una administración pública más clara, organizada y eficiente. Sin embargo, la </w:t>
      </w:r>
      <w:r w:rsidR="00A072A5">
        <w:rPr>
          <w:rFonts w:ascii="Book Antiqua" w:hAnsi="Book Antiqua"/>
          <w:color w:val="000000" w:themeColor="text1"/>
          <w:szCs w:val="24"/>
          <w:lang w:val="es-ES_tradnl"/>
        </w:rPr>
        <w:t xml:space="preserve">OCPR recomendó </w:t>
      </w:r>
      <w:r w:rsidR="004D6B09">
        <w:rPr>
          <w:rFonts w:ascii="Book Antiqua" w:hAnsi="Book Antiqua"/>
          <w:color w:val="000000" w:themeColor="text1"/>
          <w:szCs w:val="24"/>
          <w:lang w:val="es-ES_tradnl"/>
        </w:rPr>
        <w:t xml:space="preserve">acciones que deberían realizarse si esta propuesta se convirtiera en ley, “principalmente por la OATRH, como entidad con las facultades de evaluar los procedimientos relacionados a la habilitación, para que la implantación de esta medida sea una más efectiva.” Específicamente recomiendan: </w:t>
      </w:r>
    </w:p>
    <w:p w14:paraId="2F9CFF85" w14:textId="4EF2F741" w:rsidR="004D6B09" w:rsidRPr="00AE39F9" w:rsidRDefault="004D6B09" w:rsidP="0015264C">
      <w:pPr>
        <w:pStyle w:val="ListParagraph"/>
        <w:numPr>
          <w:ilvl w:val="0"/>
          <w:numId w:val="20"/>
        </w:numPr>
        <w:jc w:val="both"/>
        <w:rPr>
          <w:rFonts w:ascii="Book Antiqua" w:hAnsi="Book Antiqua"/>
          <w:color w:val="000000" w:themeColor="text1"/>
          <w:szCs w:val="24"/>
          <w:lang w:val="es-ES_tradnl"/>
        </w:rPr>
      </w:pPr>
      <w:r w:rsidRPr="00AE39F9">
        <w:rPr>
          <w:rFonts w:ascii="Book Antiqua" w:hAnsi="Book Antiqua"/>
          <w:color w:val="000000" w:themeColor="text1"/>
          <w:szCs w:val="24"/>
          <w:lang w:val="es-ES_tradnl"/>
        </w:rPr>
        <w:t xml:space="preserve">De aprobarse el </w:t>
      </w:r>
      <w:r w:rsidR="00421298">
        <w:rPr>
          <w:rFonts w:ascii="Book Antiqua" w:hAnsi="Book Antiqua"/>
          <w:color w:val="000000" w:themeColor="text1"/>
          <w:szCs w:val="24"/>
          <w:lang w:val="es-ES_tradnl"/>
        </w:rPr>
        <w:t>p</w:t>
      </w:r>
      <w:r w:rsidRPr="00AE39F9">
        <w:rPr>
          <w:rFonts w:ascii="Book Antiqua" w:hAnsi="Book Antiqua"/>
          <w:color w:val="000000" w:themeColor="text1"/>
          <w:szCs w:val="24"/>
          <w:lang w:val="es-ES_tradnl"/>
        </w:rPr>
        <w:t xml:space="preserve">royecto la OATRH debe revisar y armonizar sus reglamentos internos, guías, formularios y demás documentos para asegurar la consistencia con las enmiendas propuestas. Una reglamentación clara facilita la fiscalización y reduce riesgos de interpretación. </w:t>
      </w:r>
    </w:p>
    <w:p w14:paraId="28DA572F" w14:textId="2A713EE6" w:rsidR="004D6B09" w:rsidRPr="00AE39F9" w:rsidRDefault="004D6B09" w:rsidP="0015264C">
      <w:pPr>
        <w:pStyle w:val="ListParagraph"/>
        <w:numPr>
          <w:ilvl w:val="0"/>
          <w:numId w:val="20"/>
        </w:numPr>
        <w:jc w:val="both"/>
        <w:rPr>
          <w:rFonts w:ascii="Book Antiqua" w:hAnsi="Book Antiqua"/>
          <w:color w:val="000000" w:themeColor="text1"/>
          <w:szCs w:val="24"/>
          <w:lang w:val="es-ES_tradnl"/>
        </w:rPr>
      </w:pPr>
      <w:r w:rsidRPr="00AE39F9">
        <w:rPr>
          <w:rFonts w:ascii="Book Antiqua" w:hAnsi="Book Antiqua"/>
          <w:color w:val="000000" w:themeColor="text1"/>
          <w:szCs w:val="24"/>
          <w:lang w:val="es-ES_tradnl"/>
        </w:rPr>
        <w:t xml:space="preserve">Se debe implementar un plan de divulgación y capacitación sobre el proceso de habilitación consolidado. La uniformidad reduce los riesgos de incumplimiento. </w:t>
      </w:r>
    </w:p>
    <w:p w14:paraId="07BCBCC1" w14:textId="77777777" w:rsidR="0015264C" w:rsidRDefault="004D6B09" w:rsidP="0015264C">
      <w:pPr>
        <w:pStyle w:val="ListParagraph"/>
        <w:numPr>
          <w:ilvl w:val="0"/>
          <w:numId w:val="20"/>
        </w:numPr>
        <w:jc w:val="both"/>
        <w:rPr>
          <w:rFonts w:ascii="Book Antiqua" w:hAnsi="Book Antiqua"/>
          <w:color w:val="000000" w:themeColor="text1"/>
          <w:szCs w:val="24"/>
          <w:lang w:val="es-ES_tradnl"/>
        </w:rPr>
      </w:pPr>
      <w:r w:rsidRPr="00AE39F9">
        <w:rPr>
          <w:rFonts w:ascii="Book Antiqua" w:hAnsi="Book Antiqua"/>
          <w:color w:val="000000" w:themeColor="text1"/>
          <w:szCs w:val="24"/>
          <w:lang w:val="es-ES_tradnl"/>
        </w:rPr>
        <w:t>Se debe documentar adecuadamente toda determinación de habilitación o revocación, indicando la fecha, criterios aplicados, evidencia evaluada y fundamento legal, entre otros. Esto permite auditorías más ágiles, precisas y transparentes.</w:t>
      </w:r>
    </w:p>
    <w:p w14:paraId="2A856F37" w14:textId="5C24B83C" w:rsidR="004D6B09" w:rsidRPr="00AE39F9" w:rsidRDefault="004D6B09" w:rsidP="0015264C">
      <w:pPr>
        <w:pStyle w:val="ListParagraph"/>
        <w:ind w:left="1080"/>
        <w:jc w:val="both"/>
        <w:rPr>
          <w:rFonts w:ascii="Book Antiqua" w:hAnsi="Book Antiqua"/>
          <w:color w:val="000000" w:themeColor="text1"/>
          <w:szCs w:val="24"/>
          <w:lang w:val="es-ES_tradnl"/>
        </w:rPr>
      </w:pPr>
      <w:r w:rsidRPr="00AE39F9">
        <w:rPr>
          <w:rFonts w:ascii="Book Antiqua" w:hAnsi="Book Antiqua"/>
          <w:color w:val="000000" w:themeColor="text1"/>
          <w:szCs w:val="24"/>
          <w:lang w:val="es-ES_tradnl"/>
        </w:rPr>
        <w:t xml:space="preserve"> </w:t>
      </w:r>
    </w:p>
    <w:p w14:paraId="58E81EE9" w14:textId="4B7C324F" w:rsidR="004D6B09" w:rsidRDefault="004D6B09" w:rsidP="0015264C">
      <w:pPr>
        <w:pStyle w:val="ListParagraph"/>
        <w:numPr>
          <w:ilvl w:val="0"/>
          <w:numId w:val="20"/>
        </w:numPr>
        <w:spacing w:after="120"/>
        <w:contextualSpacing w:val="0"/>
        <w:jc w:val="both"/>
        <w:rPr>
          <w:rFonts w:ascii="Book Antiqua" w:hAnsi="Book Antiqua"/>
          <w:color w:val="000000" w:themeColor="text1"/>
          <w:szCs w:val="24"/>
          <w:lang w:val="es-ES_tradnl"/>
        </w:rPr>
      </w:pPr>
      <w:r w:rsidRPr="00AE39F9">
        <w:rPr>
          <w:rFonts w:ascii="Book Antiqua" w:hAnsi="Book Antiqua"/>
          <w:color w:val="000000" w:themeColor="text1"/>
          <w:szCs w:val="24"/>
          <w:lang w:val="es-ES_tradnl"/>
        </w:rPr>
        <w:lastRenderedPageBreak/>
        <w:t>Se debe mantener el registro centralizado de información que le facilite a las agencias verificar el estatus de la habilitación de empleados o contratistas. Esto es esencial para proteger el interés público y asegurar que las agencias no contraten individualmente a personas inelegibles.</w:t>
      </w:r>
      <w:r w:rsidR="00AE39F9">
        <w:rPr>
          <w:rStyle w:val="FootnoteReference"/>
          <w:rFonts w:ascii="Book Antiqua" w:hAnsi="Book Antiqua"/>
          <w:color w:val="000000" w:themeColor="text1"/>
          <w:szCs w:val="24"/>
          <w:lang w:val="es-ES_tradnl"/>
        </w:rPr>
        <w:footnoteReference w:id="16"/>
      </w:r>
    </w:p>
    <w:p w14:paraId="5EEF76C0" w14:textId="6EA60B1B" w:rsidR="004D6B09" w:rsidRDefault="004D6B09" w:rsidP="00BA2D3D">
      <w:pPr>
        <w:spacing w:after="240" w:line="288" w:lineRule="auto"/>
        <w:ind w:firstLine="720"/>
        <w:jc w:val="both"/>
        <w:rPr>
          <w:rFonts w:ascii="Book Antiqua" w:hAnsi="Book Antiqua"/>
          <w:color w:val="000000" w:themeColor="text1"/>
          <w:szCs w:val="24"/>
          <w:lang w:val="es-ES_tradnl"/>
        </w:rPr>
      </w:pPr>
      <w:r>
        <w:rPr>
          <w:rFonts w:ascii="Book Antiqua" w:hAnsi="Book Antiqua"/>
          <w:color w:val="000000" w:themeColor="text1"/>
          <w:szCs w:val="24"/>
          <w:lang w:val="es-ES_tradnl"/>
        </w:rPr>
        <w:t xml:space="preserve">En atención a estas recomendaciones, </w:t>
      </w:r>
      <w:r w:rsidR="00352EA7">
        <w:rPr>
          <w:rFonts w:ascii="Book Antiqua" w:hAnsi="Book Antiqua"/>
          <w:color w:val="000000" w:themeColor="text1"/>
          <w:szCs w:val="24"/>
          <w:lang w:val="es-ES_tradnl"/>
        </w:rPr>
        <w:t xml:space="preserve">se propuso </w:t>
      </w:r>
      <w:r>
        <w:rPr>
          <w:rFonts w:ascii="Book Antiqua" w:hAnsi="Book Antiqua"/>
          <w:color w:val="000000" w:themeColor="text1"/>
          <w:szCs w:val="24"/>
          <w:lang w:val="es-ES_tradnl"/>
        </w:rPr>
        <w:t xml:space="preserve">enmiendas al </w:t>
      </w:r>
      <w:proofErr w:type="spellStart"/>
      <w:r>
        <w:rPr>
          <w:rFonts w:ascii="Book Antiqua" w:hAnsi="Book Antiqua"/>
          <w:color w:val="000000" w:themeColor="text1"/>
          <w:szCs w:val="24"/>
          <w:lang w:val="es-ES_tradnl"/>
        </w:rPr>
        <w:t>entirillado</w:t>
      </w:r>
      <w:proofErr w:type="spellEnd"/>
      <w:r>
        <w:rPr>
          <w:rFonts w:ascii="Book Antiqua" w:hAnsi="Book Antiqua"/>
          <w:color w:val="000000" w:themeColor="text1"/>
          <w:szCs w:val="24"/>
          <w:lang w:val="es-ES_tradnl"/>
        </w:rPr>
        <w:t xml:space="preserve"> electrónico que se acompaña. </w:t>
      </w:r>
    </w:p>
    <w:p w14:paraId="528F8908" w14:textId="171EA8C0" w:rsidR="003B38A4" w:rsidRPr="00281894" w:rsidRDefault="003B38A4" w:rsidP="00762646">
      <w:pPr>
        <w:spacing w:line="360" w:lineRule="auto"/>
        <w:jc w:val="center"/>
        <w:rPr>
          <w:rFonts w:ascii="Book Antiqua" w:eastAsia="Book Antiqua" w:hAnsi="Book Antiqua" w:cs="Book Antiqua"/>
          <w:color w:val="000000" w:themeColor="text1"/>
          <w:spacing w:val="12"/>
          <w:szCs w:val="24"/>
          <w:lang w:val="es-PR"/>
        </w:rPr>
      </w:pPr>
      <w:r w:rsidRPr="00281894">
        <w:rPr>
          <w:rFonts w:ascii="Book Antiqua" w:eastAsia="Book Antiqua" w:hAnsi="Book Antiqua" w:cs="Book Antiqua"/>
          <w:color w:val="000000" w:themeColor="text1"/>
          <w:spacing w:val="12"/>
          <w:szCs w:val="24"/>
          <w:lang w:val="es-PR"/>
        </w:rPr>
        <w:t>CONCLUSIÓN</w:t>
      </w:r>
      <w:r w:rsidR="00F0476A" w:rsidRPr="00281894">
        <w:rPr>
          <w:rFonts w:ascii="Book Antiqua" w:eastAsia="Book Antiqua" w:hAnsi="Book Antiqua" w:cs="Book Antiqua"/>
          <w:color w:val="000000" w:themeColor="text1"/>
          <w:spacing w:val="12"/>
          <w:szCs w:val="24"/>
          <w:lang w:val="es-PR"/>
        </w:rPr>
        <w:t xml:space="preserve"> Y RECOMENDAC</w:t>
      </w:r>
      <w:r w:rsidR="001711E6" w:rsidRPr="00281894">
        <w:rPr>
          <w:rFonts w:ascii="Book Antiqua" w:eastAsia="Book Antiqua" w:hAnsi="Book Antiqua" w:cs="Book Antiqua"/>
          <w:color w:val="000000" w:themeColor="text1"/>
          <w:spacing w:val="12"/>
          <w:szCs w:val="24"/>
          <w:lang w:val="es-PR"/>
        </w:rPr>
        <w:t>I</w:t>
      </w:r>
      <w:r w:rsidR="00F0476A" w:rsidRPr="00281894">
        <w:rPr>
          <w:rFonts w:ascii="Book Antiqua" w:eastAsia="Book Antiqua" w:hAnsi="Book Antiqua" w:cs="Book Antiqua"/>
          <w:color w:val="000000" w:themeColor="text1"/>
          <w:spacing w:val="12"/>
          <w:szCs w:val="24"/>
          <w:lang w:val="es-PR"/>
        </w:rPr>
        <w:t>ÓN</w:t>
      </w:r>
    </w:p>
    <w:p w14:paraId="17470584" w14:textId="7C5ACE22" w:rsidR="004B7F53" w:rsidRDefault="004A2F7B" w:rsidP="0061347E">
      <w:pPr>
        <w:spacing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Esta medida permite evaluar los límites de las facultades constitucionales de esta Asamblea Legislativa para establecer las conductas prohibidas, mientras se atiende el tema de la rehabilitación moral y social de los convictos. Desde el 2017 </w:t>
      </w:r>
      <w:r w:rsidR="00AA30C7">
        <w:rPr>
          <w:rFonts w:ascii="Book Antiqua" w:eastAsia="Book Antiqua" w:hAnsi="Book Antiqua" w:cs="Book Antiqua"/>
          <w:bCs/>
          <w:color w:val="000000" w:themeColor="text1"/>
          <w:szCs w:val="24"/>
          <w:lang w:val="es-PR"/>
        </w:rPr>
        <w:t>hay</w:t>
      </w:r>
      <w:r>
        <w:rPr>
          <w:rFonts w:ascii="Book Antiqua" w:eastAsia="Book Antiqua" w:hAnsi="Book Antiqua" w:cs="Book Antiqua"/>
          <w:bCs/>
          <w:color w:val="000000" w:themeColor="text1"/>
          <w:szCs w:val="24"/>
          <w:lang w:val="es-PR"/>
        </w:rPr>
        <w:t xml:space="preserve"> dos leyes que parecen estar en contradicción </w:t>
      </w:r>
      <w:r w:rsidR="00AA30C7">
        <w:rPr>
          <w:rFonts w:ascii="Book Antiqua" w:eastAsia="Book Antiqua" w:hAnsi="Book Antiqua" w:cs="Book Antiqua"/>
          <w:bCs/>
          <w:color w:val="000000" w:themeColor="text1"/>
          <w:szCs w:val="24"/>
          <w:lang w:val="es-PR"/>
        </w:rPr>
        <w:t xml:space="preserve">sobre </w:t>
      </w:r>
      <w:r>
        <w:rPr>
          <w:rFonts w:ascii="Book Antiqua" w:eastAsia="Book Antiqua" w:hAnsi="Book Antiqua" w:cs="Book Antiqua"/>
          <w:bCs/>
          <w:color w:val="000000" w:themeColor="text1"/>
          <w:szCs w:val="24"/>
          <w:lang w:val="es-PR"/>
        </w:rPr>
        <w:t xml:space="preserve">la rehabilitación del empleo en el servicio público. </w:t>
      </w:r>
      <w:r w:rsidR="004B7F53">
        <w:rPr>
          <w:rFonts w:ascii="Book Antiqua" w:eastAsia="Book Antiqua" w:hAnsi="Book Antiqua" w:cs="Book Antiqua"/>
          <w:bCs/>
          <w:color w:val="000000" w:themeColor="text1"/>
          <w:szCs w:val="24"/>
          <w:lang w:val="es-PR"/>
        </w:rPr>
        <w:t xml:space="preserve">Existe la </w:t>
      </w:r>
      <w:r>
        <w:rPr>
          <w:rFonts w:ascii="Book Antiqua" w:eastAsia="Book Antiqua" w:hAnsi="Book Antiqua" w:cs="Book Antiqua"/>
          <w:bCs/>
          <w:color w:val="000000" w:themeColor="text1"/>
          <w:szCs w:val="24"/>
          <w:lang w:val="es-PR"/>
        </w:rPr>
        <w:t xml:space="preserve">intención el corregir este doble discurso al avalar las enmiendas </w:t>
      </w:r>
      <w:r w:rsidR="009C0C1B">
        <w:rPr>
          <w:rFonts w:ascii="Book Antiqua" w:eastAsia="Book Antiqua" w:hAnsi="Book Antiqua" w:cs="Book Antiqua"/>
          <w:bCs/>
          <w:color w:val="000000" w:themeColor="text1"/>
          <w:szCs w:val="24"/>
          <w:lang w:val="es-PR"/>
        </w:rPr>
        <w:t xml:space="preserve">contenidas en este proyecto de ley. </w:t>
      </w:r>
    </w:p>
    <w:p w14:paraId="48543D46" w14:textId="4E326C3E" w:rsidR="00DC2214" w:rsidRDefault="006A1DB2" w:rsidP="0061347E">
      <w:pPr>
        <w:spacing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L</w:t>
      </w:r>
      <w:r w:rsidR="009C0C1B">
        <w:rPr>
          <w:rFonts w:ascii="Book Antiqua" w:eastAsia="Book Antiqua" w:hAnsi="Book Antiqua" w:cs="Book Antiqua"/>
          <w:bCs/>
          <w:color w:val="000000" w:themeColor="text1"/>
          <w:szCs w:val="24"/>
          <w:lang w:val="es-PR"/>
        </w:rPr>
        <w:t>a derogación de</w:t>
      </w:r>
      <w:r w:rsidR="009C0C1B" w:rsidRPr="00E45162">
        <w:rPr>
          <w:rFonts w:ascii="Book Antiqua" w:hAnsi="Book Antiqua"/>
          <w:color w:val="000000" w:themeColor="text1"/>
          <w:szCs w:val="24"/>
          <w:lang w:val="es-ES_tradnl"/>
        </w:rPr>
        <w:t xml:space="preserve"> la Ley Núm. 70 de 20 de junio de 1963, </w:t>
      </w:r>
      <w:r w:rsidR="009C0C1B">
        <w:rPr>
          <w:rFonts w:ascii="Book Antiqua" w:hAnsi="Book Antiqua"/>
          <w:color w:val="000000" w:themeColor="text1"/>
          <w:szCs w:val="24"/>
          <w:lang w:val="es-ES_tradnl"/>
        </w:rPr>
        <w:t>permitir</w:t>
      </w:r>
      <w:r w:rsidR="004B7F53">
        <w:rPr>
          <w:rFonts w:ascii="Book Antiqua" w:hAnsi="Book Antiqua"/>
          <w:color w:val="000000" w:themeColor="text1"/>
          <w:szCs w:val="24"/>
          <w:lang w:val="es-ES_tradnl"/>
        </w:rPr>
        <w:t>á</w:t>
      </w:r>
      <w:r w:rsidR="009C0C1B">
        <w:rPr>
          <w:rFonts w:ascii="Book Antiqua" w:hAnsi="Book Antiqua"/>
          <w:color w:val="000000" w:themeColor="text1"/>
          <w:szCs w:val="24"/>
          <w:lang w:val="es-ES_tradnl"/>
        </w:rPr>
        <w:t xml:space="preserve"> claridad jurídica en la implantación de la norma. </w:t>
      </w:r>
      <w:r w:rsidR="00726D54">
        <w:rPr>
          <w:rFonts w:ascii="Book Antiqua" w:hAnsi="Book Antiqua"/>
          <w:color w:val="000000" w:themeColor="text1"/>
          <w:szCs w:val="24"/>
          <w:lang w:val="es-ES_tradnl"/>
        </w:rPr>
        <w:t>Por su parte, l</w:t>
      </w:r>
      <w:r w:rsidR="000A046B">
        <w:rPr>
          <w:rFonts w:ascii="Book Antiqua" w:hAnsi="Book Antiqua"/>
          <w:color w:val="000000" w:themeColor="text1"/>
          <w:szCs w:val="24"/>
          <w:lang w:val="es-ES_tradnl"/>
        </w:rPr>
        <w:t xml:space="preserve">as </w:t>
      </w:r>
      <w:r w:rsidR="009C0C1B">
        <w:rPr>
          <w:rFonts w:ascii="Book Antiqua" w:hAnsi="Book Antiqua"/>
          <w:color w:val="000000" w:themeColor="text1"/>
          <w:szCs w:val="24"/>
          <w:lang w:val="es-ES_tradnl"/>
        </w:rPr>
        <w:t xml:space="preserve">enmiendas a </w:t>
      </w:r>
      <w:r w:rsidR="009C0C1B" w:rsidRPr="009C0C1B">
        <w:rPr>
          <w:rFonts w:ascii="Book Antiqua" w:hAnsi="Book Antiqua"/>
          <w:color w:val="000000" w:themeColor="text1"/>
          <w:szCs w:val="24"/>
          <w:lang w:val="es-ES_tradnl"/>
        </w:rPr>
        <w:t xml:space="preserve">los </w:t>
      </w:r>
      <w:r>
        <w:rPr>
          <w:rFonts w:ascii="Book Antiqua" w:hAnsi="Book Antiqua"/>
          <w:color w:val="000000" w:themeColor="text1"/>
          <w:szCs w:val="24"/>
          <w:lang w:val="es-ES_tradnl"/>
        </w:rPr>
        <w:t>a</w:t>
      </w:r>
      <w:r w:rsidR="009C0C1B" w:rsidRPr="009C0C1B">
        <w:rPr>
          <w:rFonts w:ascii="Book Antiqua" w:hAnsi="Book Antiqua"/>
          <w:color w:val="000000" w:themeColor="text1"/>
          <w:szCs w:val="24"/>
          <w:lang w:val="es-ES_tradnl"/>
        </w:rPr>
        <w:t>rtículos 6.6 y 6.8</w:t>
      </w:r>
      <w:r w:rsidR="009C0C1B">
        <w:rPr>
          <w:rFonts w:ascii="Book Antiqua" w:hAnsi="Book Antiqua"/>
          <w:color w:val="000000" w:themeColor="text1"/>
          <w:szCs w:val="24"/>
          <w:lang w:val="es-ES_tradnl"/>
        </w:rPr>
        <w:t xml:space="preserve"> de </w:t>
      </w:r>
      <w:r w:rsidR="00BB3BD3">
        <w:rPr>
          <w:rFonts w:ascii="Book Antiqua" w:hAnsi="Book Antiqua"/>
          <w:color w:val="000000" w:themeColor="text1"/>
          <w:szCs w:val="24"/>
          <w:lang w:val="es-ES_tradnl"/>
        </w:rPr>
        <w:t>la Ley Núm. 8-2017</w:t>
      </w:r>
      <w:r w:rsidR="000A046B">
        <w:rPr>
          <w:rFonts w:ascii="Book Antiqua" w:hAnsi="Book Antiqua"/>
          <w:color w:val="000000" w:themeColor="text1"/>
          <w:szCs w:val="24"/>
          <w:lang w:val="es-ES_tradnl"/>
        </w:rPr>
        <w:t xml:space="preserve"> —la cual quedará vigente—</w:t>
      </w:r>
      <w:r w:rsidR="009C0C1B">
        <w:rPr>
          <w:rFonts w:ascii="Book Antiqua" w:hAnsi="Book Antiqua"/>
          <w:color w:val="000000" w:themeColor="text1"/>
          <w:szCs w:val="24"/>
          <w:lang w:val="es-ES_tradnl"/>
        </w:rPr>
        <w:t>permi</w:t>
      </w:r>
      <w:r w:rsidR="009C0C1B" w:rsidRPr="009C0C1B">
        <w:rPr>
          <w:rFonts w:ascii="Book Antiqua" w:hAnsi="Book Antiqua"/>
          <w:color w:val="000000" w:themeColor="text1"/>
          <w:szCs w:val="24"/>
          <w:lang w:val="es-ES_tradnl"/>
        </w:rPr>
        <w:t>tir</w:t>
      </w:r>
      <w:r w:rsidR="000A046B">
        <w:rPr>
          <w:rFonts w:ascii="Book Antiqua" w:hAnsi="Book Antiqua"/>
          <w:color w:val="000000" w:themeColor="text1"/>
          <w:szCs w:val="24"/>
          <w:lang w:val="es-ES_tradnl"/>
        </w:rPr>
        <w:t>á</w:t>
      </w:r>
      <w:r w:rsidR="009C0C1B" w:rsidRPr="009C0C1B">
        <w:rPr>
          <w:rFonts w:ascii="Book Antiqua" w:hAnsi="Book Antiqua"/>
          <w:color w:val="000000" w:themeColor="text1"/>
          <w:szCs w:val="24"/>
          <w:lang w:val="es-ES_tradnl"/>
        </w:rPr>
        <w:t xml:space="preserve"> establecer normas más claras sobre la rehabilitación en el servicio público en Puerto Rico.</w:t>
      </w:r>
    </w:p>
    <w:p w14:paraId="7FBF71C3" w14:textId="5B01A9B8" w:rsidR="002179C3" w:rsidRDefault="004A2F7B" w:rsidP="0061347E">
      <w:pPr>
        <w:spacing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Al proceder de esta forma, </w:t>
      </w:r>
      <w:r w:rsidR="00186915">
        <w:rPr>
          <w:rFonts w:ascii="Book Antiqua" w:eastAsia="Book Antiqua" w:hAnsi="Book Antiqua" w:cs="Book Antiqua"/>
          <w:bCs/>
          <w:color w:val="000000" w:themeColor="text1"/>
          <w:szCs w:val="24"/>
          <w:lang w:val="es-PR"/>
        </w:rPr>
        <w:t xml:space="preserve">no se </w:t>
      </w:r>
      <w:r>
        <w:rPr>
          <w:rFonts w:ascii="Book Antiqua" w:eastAsia="Book Antiqua" w:hAnsi="Book Antiqua" w:cs="Book Antiqua"/>
          <w:bCs/>
          <w:color w:val="000000" w:themeColor="text1"/>
          <w:szCs w:val="24"/>
          <w:lang w:val="es-PR"/>
        </w:rPr>
        <w:t xml:space="preserve">claudica en </w:t>
      </w:r>
      <w:r w:rsidR="00186915">
        <w:rPr>
          <w:rFonts w:ascii="Book Antiqua" w:eastAsia="Book Antiqua" w:hAnsi="Book Antiqua" w:cs="Book Antiqua"/>
          <w:bCs/>
          <w:color w:val="000000" w:themeColor="text1"/>
          <w:szCs w:val="24"/>
          <w:lang w:val="es-PR"/>
        </w:rPr>
        <w:t xml:space="preserve">la </w:t>
      </w:r>
      <w:r>
        <w:rPr>
          <w:rFonts w:ascii="Book Antiqua" w:eastAsia="Book Antiqua" w:hAnsi="Book Antiqua" w:cs="Book Antiqua"/>
          <w:bCs/>
          <w:color w:val="000000" w:themeColor="text1"/>
          <w:szCs w:val="24"/>
          <w:lang w:val="es-PR"/>
        </w:rPr>
        <w:t xml:space="preserve">lucha contra la corrupción. </w:t>
      </w:r>
      <w:r w:rsidR="00253E49">
        <w:rPr>
          <w:rFonts w:ascii="Book Antiqua" w:eastAsia="Book Antiqua" w:hAnsi="Book Antiqua" w:cs="Book Antiqua"/>
          <w:bCs/>
          <w:color w:val="000000" w:themeColor="text1"/>
          <w:szCs w:val="24"/>
          <w:lang w:val="es-PR"/>
        </w:rPr>
        <w:t>Las disposiciones sobre la inhabilidad para regresar al servicio público permanecen</w:t>
      </w:r>
      <w:r w:rsidR="005C5777">
        <w:rPr>
          <w:rFonts w:ascii="Book Antiqua" w:eastAsia="Book Antiqua" w:hAnsi="Book Antiqua" w:cs="Book Antiqua"/>
          <w:bCs/>
          <w:color w:val="000000" w:themeColor="text1"/>
          <w:szCs w:val="24"/>
          <w:lang w:val="es-PR"/>
        </w:rPr>
        <w:t xml:space="preserve"> </w:t>
      </w:r>
      <w:r w:rsidR="00253E49">
        <w:rPr>
          <w:rFonts w:ascii="Book Antiqua" w:eastAsia="Book Antiqua" w:hAnsi="Book Antiqua" w:cs="Book Antiqua"/>
          <w:bCs/>
          <w:color w:val="000000" w:themeColor="text1"/>
          <w:szCs w:val="24"/>
          <w:lang w:val="es-PR"/>
        </w:rPr>
        <w:t>inalteradas</w:t>
      </w:r>
      <w:r w:rsidR="005C5777">
        <w:rPr>
          <w:rFonts w:ascii="Book Antiqua" w:eastAsia="Book Antiqua" w:hAnsi="Book Antiqua" w:cs="Book Antiqua"/>
          <w:bCs/>
          <w:color w:val="000000" w:themeColor="text1"/>
          <w:szCs w:val="24"/>
          <w:lang w:val="es-PR"/>
        </w:rPr>
        <w:t>. Sin embargo, las enmiendas propuestas por este proyecto de ley permiten una forma más justa de proceder en el caso de otros delitos que son cometidos y que no necesariamente implican una inhabilidad total para servirle a Puerto Rico.</w:t>
      </w:r>
    </w:p>
    <w:p w14:paraId="3BE57315" w14:textId="4E36C537" w:rsidR="004512E8" w:rsidRPr="001711E6" w:rsidRDefault="00131474" w:rsidP="00131474">
      <w:pPr>
        <w:spacing w:after="24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En fin, la </w:t>
      </w:r>
      <w:r w:rsidR="00FD6179" w:rsidRPr="001711E6">
        <w:rPr>
          <w:rFonts w:ascii="Book Antiqua" w:eastAsia="Book Antiqua" w:hAnsi="Book Antiqua" w:cs="Book Antiqua"/>
          <w:bCs/>
          <w:color w:val="000000" w:themeColor="text1"/>
          <w:szCs w:val="24"/>
          <w:lang w:val="es-PR"/>
        </w:rPr>
        <w:t>Comisión de</w:t>
      </w:r>
      <w:r w:rsidR="007761C9" w:rsidRPr="001711E6">
        <w:rPr>
          <w:rFonts w:ascii="Book Antiqua" w:eastAsia="Book Antiqua" w:hAnsi="Book Antiqua" w:cs="Book Antiqua"/>
          <w:bCs/>
          <w:color w:val="000000" w:themeColor="text1"/>
          <w:szCs w:val="24"/>
          <w:lang w:val="es-PR"/>
        </w:rPr>
        <w:t xml:space="preserve"> </w:t>
      </w:r>
      <w:r w:rsidR="009C0C1B">
        <w:rPr>
          <w:rFonts w:ascii="Book Antiqua" w:eastAsia="Book Antiqua" w:hAnsi="Book Antiqua" w:cs="Book Antiqua"/>
          <w:bCs/>
          <w:color w:val="000000" w:themeColor="text1"/>
          <w:szCs w:val="24"/>
          <w:lang w:val="es-PR"/>
        </w:rPr>
        <w:t>l</w:t>
      </w:r>
      <w:r w:rsidR="007761C9" w:rsidRPr="001711E6">
        <w:rPr>
          <w:rFonts w:ascii="Book Antiqua" w:eastAsia="Book Antiqua" w:hAnsi="Book Antiqua" w:cs="Book Antiqua"/>
          <w:bCs/>
          <w:color w:val="000000" w:themeColor="text1"/>
          <w:szCs w:val="24"/>
          <w:lang w:val="es-PR"/>
        </w:rPr>
        <w:t>o Jurídico</w:t>
      </w:r>
      <w:r>
        <w:rPr>
          <w:rFonts w:ascii="Book Antiqua" w:eastAsia="Book Antiqua" w:hAnsi="Book Antiqua" w:cs="Book Antiqua"/>
          <w:bCs/>
          <w:color w:val="000000" w:themeColor="text1"/>
          <w:szCs w:val="24"/>
          <w:lang w:val="es-PR"/>
        </w:rPr>
        <w:t xml:space="preserve"> recomienda que</w:t>
      </w:r>
      <w:r w:rsidR="00FD6179" w:rsidRPr="001711E6">
        <w:rPr>
          <w:rFonts w:ascii="Book Antiqua" w:eastAsia="Book Antiqua" w:hAnsi="Book Antiqua" w:cs="Book Antiqua"/>
          <w:bCs/>
          <w:color w:val="000000" w:themeColor="text1"/>
          <w:szCs w:val="24"/>
          <w:lang w:val="es-PR"/>
        </w:rPr>
        <w:t xml:space="preserve"> </w:t>
      </w:r>
      <w:r>
        <w:rPr>
          <w:rFonts w:ascii="Book Antiqua" w:eastAsia="Book Antiqua" w:hAnsi="Book Antiqua" w:cs="Book Antiqua"/>
          <w:bCs/>
          <w:color w:val="000000" w:themeColor="text1"/>
          <w:szCs w:val="24"/>
          <w:lang w:val="es-PR"/>
        </w:rPr>
        <w:t>se</w:t>
      </w:r>
      <w:r w:rsidR="00FD6179" w:rsidRPr="001711E6">
        <w:rPr>
          <w:rFonts w:ascii="Book Antiqua" w:eastAsia="Book Antiqua" w:hAnsi="Book Antiqua" w:cs="Book Antiqua"/>
          <w:bCs/>
          <w:color w:val="000000" w:themeColor="text1"/>
          <w:szCs w:val="24"/>
          <w:lang w:val="es-PR"/>
        </w:rPr>
        <w:t xml:space="preserve"> apr</w:t>
      </w:r>
      <w:r>
        <w:rPr>
          <w:rFonts w:ascii="Book Antiqua" w:eastAsia="Book Antiqua" w:hAnsi="Book Antiqua" w:cs="Book Antiqua"/>
          <w:bCs/>
          <w:color w:val="000000" w:themeColor="text1"/>
          <w:szCs w:val="24"/>
          <w:lang w:val="es-PR"/>
        </w:rPr>
        <w:t>uebe</w:t>
      </w:r>
      <w:r w:rsidR="00FD6179" w:rsidRPr="001711E6">
        <w:rPr>
          <w:rFonts w:ascii="Book Antiqua" w:eastAsia="Book Antiqua" w:hAnsi="Book Antiqua" w:cs="Book Antiqua"/>
          <w:bCs/>
          <w:color w:val="000000" w:themeColor="text1"/>
          <w:szCs w:val="24"/>
          <w:lang w:val="es-PR"/>
        </w:rPr>
        <w:t xml:space="preserve"> el P. de la C. </w:t>
      </w:r>
      <w:r w:rsidR="009B02C7">
        <w:rPr>
          <w:rFonts w:ascii="Book Antiqua" w:eastAsia="Book Antiqua" w:hAnsi="Book Antiqua" w:cs="Book Antiqua"/>
          <w:bCs/>
          <w:color w:val="000000" w:themeColor="text1"/>
          <w:szCs w:val="24"/>
          <w:lang w:val="es-PR"/>
        </w:rPr>
        <w:t>1</w:t>
      </w:r>
      <w:r w:rsidR="0037308E">
        <w:rPr>
          <w:rFonts w:ascii="Book Antiqua" w:eastAsia="Book Antiqua" w:hAnsi="Book Antiqua" w:cs="Book Antiqua"/>
          <w:bCs/>
          <w:color w:val="000000" w:themeColor="text1"/>
          <w:szCs w:val="24"/>
          <w:lang w:val="es-PR"/>
        </w:rPr>
        <w:t>0</w:t>
      </w:r>
      <w:r w:rsidR="00F169E1">
        <w:rPr>
          <w:rFonts w:ascii="Book Antiqua" w:eastAsia="Book Antiqua" w:hAnsi="Book Antiqua" w:cs="Book Antiqua"/>
          <w:bCs/>
          <w:color w:val="000000" w:themeColor="text1"/>
          <w:szCs w:val="24"/>
          <w:lang w:val="es-PR"/>
        </w:rPr>
        <w:t>3</w:t>
      </w:r>
      <w:r w:rsidR="0037308E">
        <w:rPr>
          <w:rFonts w:ascii="Book Antiqua" w:eastAsia="Book Antiqua" w:hAnsi="Book Antiqua" w:cs="Book Antiqua"/>
          <w:bCs/>
          <w:color w:val="000000" w:themeColor="text1"/>
          <w:szCs w:val="24"/>
          <w:lang w:val="es-PR"/>
        </w:rPr>
        <w:t>9</w:t>
      </w:r>
      <w:r w:rsidR="00F0476A" w:rsidRPr="001711E6">
        <w:rPr>
          <w:rFonts w:ascii="Book Antiqua" w:eastAsia="Book Antiqua" w:hAnsi="Book Antiqua" w:cs="Book Antiqua"/>
          <w:bCs/>
          <w:color w:val="000000" w:themeColor="text1"/>
          <w:szCs w:val="24"/>
          <w:lang w:val="es-PR"/>
        </w:rPr>
        <w:t xml:space="preserve">, con las enmiendas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 que se acompañ</w:t>
      </w:r>
      <w:r w:rsidR="0037308E">
        <w:rPr>
          <w:rFonts w:ascii="Book Antiqua" w:eastAsia="Book Antiqua" w:hAnsi="Book Antiqua" w:cs="Book Antiqua"/>
          <w:bCs/>
          <w:color w:val="000000" w:themeColor="text1"/>
          <w:szCs w:val="24"/>
          <w:lang w:val="es-PR"/>
        </w:rPr>
        <w:t>a</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6C8FC9E5" w14:textId="13D08CC0" w:rsidR="003B38A4" w:rsidRPr="001711E6" w:rsidRDefault="003B38A4" w:rsidP="00762646">
      <w:pPr>
        <w:spacing w:line="360" w:lineRule="auto"/>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D018B2">
        <w:rPr>
          <w:rFonts w:ascii="Book Antiqua" w:eastAsia="Book Antiqua" w:hAnsi="Book Antiqua" w:cs="Book Antiqua"/>
          <w:color w:val="000000" w:themeColor="text1"/>
          <w:szCs w:val="24"/>
          <w:lang w:val="es-PR"/>
        </w:rPr>
        <w:t>presentado</w:t>
      </w:r>
      <w:r w:rsidRPr="001711E6">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2A3AA908" w:rsidR="003B38A4" w:rsidRPr="00D018B2" w:rsidRDefault="00C13938" w:rsidP="003B38A4">
      <w:pPr>
        <w:jc w:val="both"/>
        <w:rPr>
          <w:rFonts w:ascii="Book Antiqua" w:eastAsia="Book Antiqua" w:hAnsi="Book Antiqua" w:cs="Book Antiqua"/>
          <w:b/>
          <w:bCs/>
          <w:smallCaps/>
          <w:color w:val="000000" w:themeColor="text1"/>
          <w:szCs w:val="24"/>
          <w:lang w:val="es-PR"/>
        </w:rPr>
      </w:pPr>
      <w:r w:rsidRPr="00D018B2">
        <w:rPr>
          <w:rFonts w:ascii="Book Antiqua" w:eastAsia="Book Antiqua" w:hAnsi="Book Antiqua" w:cs="Book Antiqua"/>
          <w:b/>
          <w:bCs/>
          <w:smallCaps/>
          <w:color w:val="000000" w:themeColor="text1"/>
          <w:szCs w:val="24"/>
          <w:lang w:val="es-PR"/>
        </w:rPr>
        <w:t>José J. Pérez Cordero</w:t>
      </w:r>
      <w:r w:rsidRPr="00D018B2">
        <w:rPr>
          <w:rFonts w:ascii="Book Antiqua" w:eastAsia="Book Antiqua" w:hAnsi="Book Antiqua" w:cs="Book Antiqua"/>
          <w:b/>
          <w:bCs/>
          <w:smallCaps/>
          <w:color w:val="000000" w:themeColor="text1"/>
          <w:szCs w:val="24"/>
          <w:lang w:val="es-PR"/>
        </w:rPr>
        <w:tab/>
      </w:r>
      <w:r w:rsidR="003B38A4" w:rsidRPr="00D018B2">
        <w:rPr>
          <w:rFonts w:ascii="Book Antiqua" w:eastAsia="Book Antiqua" w:hAnsi="Book Antiqua" w:cs="Book Antiqua"/>
          <w:b/>
          <w:bCs/>
          <w:smallCaps/>
          <w:color w:val="000000" w:themeColor="text1"/>
          <w:szCs w:val="24"/>
          <w:lang w:val="es-PR"/>
        </w:rPr>
        <w:t xml:space="preserve"> </w:t>
      </w:r>
    </w:p>
    <w:p w14:paraId="22F5DA31" w14:textId="77777777" w:rsidR="00D018B2" w:rsidRDefault="003B38A4" w:rsidP="00C13938">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p>
    <w:p w14:paraId="3B6A5A42" w14:textId="1911DF99" w:rsidR="00F0476A" w:rsidRPr="001711E6" w:rsidRDefault="00D018B2" w:rsidP="00C13938">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82934" w14:textId="77777777" w:rsidR="00DA186D" w:rsidRDefault="00DA186D">
      <w:r>
        <w:separator/>
      </w:r>
    </w:p>
  </w:endnote>
  <w:endnote w:type="continuationSeparator" w:id="0">
    <w:p w14:paraId="17E8937C" w14:textId="77777777" w:rsidR="00DA186D" w:rsidRDefault="00DA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CDED3" w14:textId="77777777" w:rsidR="00DA186D" w:rsidRDefault="00DA186D">
      <w:r>
        <w:separator/>
      </w:r>
    </w:p>
  </w:footnote>
  <w:footnote w:type="continuationSeparator" w:id="0">
    <w:p w14:paraId="694BBDB4" w14:textId="77777777" w:rsidR="00DA186D" w:rsidRDefault="00DA186D">
      <w:r>
        <w:continuationSeparator/>
      </w:r>
    </w:p>
  </w:footnote>
  <w:footnote w:id="1">
    <w:p w14:paraId="20361FFC" w14:textId="132B0626" w:rsidR="001F139A" w:rsidRPr="00167E63" w:rsidRDefault="001F139A" w:rsidP="00167E63">
      <w:pPr>
        <w:pStyle w:val="FootnoteText"/>
        <w:spacing w:after="120"/>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w:t>
      </w:r>
      <w:r w:rsidR="00DB5770" w:rsidRPr="00167E63">
        <w:rPr>
          <w:rFonts w:ascii="Book Antiqua" w:hAnsi="Book Antiqua"/>
        </w:rPr>
        <w:t>Conocida como Ley del Relevo de la Inhabilidad Establecida por Ley para Ocupar Puestos Públicos a Personas con Sentencia Suspendida y Libertad a Prueba o Pena Alternativa a la Reclusión.</w:t>
      </w:r>
    </w:p>
  </w:footnote>
  <w:footnote w:id="2">
    <w:p w14:paraId="55208339" w14:textId="60981E6D" w:rsidR="00D018B2" w:rsidRPr="00167E63" w:rsidRDefault="00D018B2" w:rsidP="00167E63">
      <w:pPr>
        <w:pStyle w:val="FootnoteText"/>
        <w:spacing w:after="120"/>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Conocida como Ley para la Administración y Transformación de los Recursos Humanos en el Gobierno de Puerto Rico.</w:t>
      </w:r>
    </w:p>
  </w:footnote>
  <w:footnote w:id="3">
    <w:p w14:paraId="5FF3BABE" w14:textId="24306AC8" w:rsidR="001F139A" w:rsidRPr="00167E63" w:rsidRDefault="001F139A" w:rsidP="00167E63">
      <w:pPr>
        <w:pStyle w:val="FootnoteText"/>
        <w:spacing w:after="120"/>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Esto, según su título se enmendó en el </w:t>
      </w:r>
      <w:proofErr w:type="spellStart"/>
      <w:r w:rsidRPr="00167E63">
        <w:rPr>
          <w:rFonts w:ascii="Book Antiqua" w:hAnsi="Book Antiqua"/>
        </w:rPr>
        <w:t>entirillado</w:t>
      </w:r>
      <w:proofErr w:type="spellEnd"/>
      <w:r w:rsidRPr="00167E63">
        <w:rPr>
          <w:rFonts w:ascii="Book Antiqua" w:hAnsi="Book Antiqua"/>
        </w:rPr>
        <w:t xml:space="preserve"> electrónico adjunto.</w:t>
      </w:r>
    </w:p>
  </w:footnote>
  <w:footnote w:id="4">
    <w:p w14:paraId="0ABC75FE" w14:textId="2156D9BD" w:rsidR="00954C22" w:rsidRPr="00167E63" w:rsidRDefault="00954C22" w:rsidP="00167E63">
      <w:pPr>
        <w:pStyle w:val="FootnoteText"/>
        <w:spacing w:after="120"/>
        <w:jc w:val="both"/>
        <w:rPr>
          <w:rFonts w:ascii="Book Antiqua" w:hAnsi="Book Antiqua" w:cstheme="majorBidi"/>
        </w:rPr>
      </w:pPr>
      <w:r w:rsidRPr="00167E63">
        <w:rPr>
          <w:rStyle w:val="FootnoteReference"/>
          <w:rFonts w:ascii="Book Antiqua" w:hAnsi="Book Antiqua" w:cstheme="majorBidi"/>
        </w:rPr>
        <w:footnoteRef/>
      </w:r>
      <w:r w:rsidRPr="00167E63">
        <w:rPr>
          <w:rFonts w:ascii="Book Antiqua" w:hAnsi="Book Antiqua" w:cstheme="majorBidi"/>
        </w:rPr>
        <w:t xml:space="preserve"> El Proyecto de la Cámara 1</w:t>
      </w:r>
      <w:r w:rsidR="00E45162" w:rsidRPr="00167E63">
        <w:rPr>
          <w:rFonts w:ascii="Book Antiqua" w:hAnsi="Book Antiqua" w:cstheme="majorBidi"/>
        </w:rPr>
        <w:t>42</w:t>
      </w:r>
      <w:r w:rsidR="00382AD9" w:rsidRPr="00167E63">
        <w:rPr>
          <w:rFonts w:ascii="Book Antiqua" w:hAnsi="Book Antiqua" w:cstheme="majorBidi"/>
        </w:rPr>
        <w:t>8</w:t>
      </w:r>
      <w:r w:rsidRPr="00167E63">
        <w:rPr>
          <w:rFonts w:ascii="Book Antiqua" w:hAnsi="Book Antiqua" w:cstheme="majorBidi"/>
        </w:rPr>
        <w:t xml:space="preserve"> fue presentado por </w:t>
      </w:r>
      <w:r w:rsidR="00E45162" w:rsidRPr="00167E63">
        <w:rPr>
          <w:rFonts w:ascii="Book Antiqua" w:hAnsi="Book Antiqua" w:cstheme="majorBidi"/>
        </w:rPr>
        <w:t>los</w:t>
      </w:r>
      <w:r w:rsidR="00AF449A" w:rsidRPr="00167E63">
        <w:rPr>
          <w:rFonts w:ascii="Book Antiqua" w:hAnsi="Book Antiqua" w:cstheme="majorBidi"/>
        </w:rPr>
        <w:t xml:space="preserve"> compañero</w:t>
      </w:r>
      <w:r w:rsidR="00E45162" w:rsidRPr="00167E63">
        <w:rPr>
          <w:rFonts w:ascii="Book Antiqua" w:hAnsi="Book Antiqua" w:cstheme="majorBidi"/>
        </w:rPr>
        <w:t xml:space="preserve">s representantes </w:t>
      </w:r>
      <w:r w:rsidR="001F2899" w:rsidRPr="00167E63">
        <w:rPr>
          <w:rFonts w:ascii="Book Antiqua" w:hAnsi="Book Antiqua" w:cstheme="majorBidi"/>
        </w:rPr>
        <w:t>(</w:t>
      </w:r>
      <w:r w:rsidR="00E45162" w:rsidRPr="00167E63">
        <w:rPr>
          <w:rFonts w:ascii="Book Antiqua" w:hAnsi="Book Antiqua" w:cstheme="majorBidi"/>
        </w:rPr>
        <w:t>y exrepresentantes</w:t>
      </w:r>
      <w:r w:rsidR="001F2899" w:rsidRPr="00167E63">
        <w:rPr>
          <w:rFonts w:ascii="Book Antiqua" w:hAnsi="Book Antiqua" w:cstheme="majorBidi"/>
        </w:rPr>
        <w:t>)</w:t>
      </w:r>
      <w:r w:rsidR="00AF449A" w:rsidRPr="00167E63">
        <w:rPr>
          <w:rFonts w:ascii="Book Antiqua" w:hAnsi="Book Antiqua" w:cstheme="majorBidi"/>
        </w:rPr>
        <w:t xml:space="preserve"> </w:t>
      </w:r>
      <w:r w:rsidRPr="00167E63">
        <w:rPr>
          <w:rFonts w:ascii="Book Antiqua" w:hAnsi="Book Antiqua" w:cstheme="majorBidi"/>
        </w:rPr>
        <w:t>Torres Zamora</w:t>
      </w:r>
      <w:r w:rsidR="00E45162" w:rsidRPr="00167E63">
        <w:rPr>
          <w:rFonts w:ascii="Book Antiqua" w:hAnsi="Book Antiqua" w:cstheme="majorBidi"/>
        </w:rPr>
        <w:t xml:space="preserve">, Pérez Cordero, Méndez Núñez, Parés Otero, </w:t>
      </w:r>
      <w:proofErr w:type="spellStart"/>
      <w:r w:rsidR="00E45162" w:rsidRPr="00167E63">
        <w:rPr>
          <w:rFonts w:ascii="Book Antiqua" w:hAnsi="Book Antiqua" w:cstheme="majorBidi"/>
        </w:rPr>
        <w:t>Bulerín</w:t>
      </w:r>
      <w:proofErr w:type="spellEnd"/>
      <w:r w:rsidR="00E45162" w:rsidRPr="00167E63">
        <w:rPr>
          <w:rFonts w:ascii="Book Antiqua" w:hAnsi="Book Antiqua" w:cstheme="majorBidi"/>
        </w:rPr>
        <w:t xml:space="preserve"> Ramos, Morales Rodríguez, Morales Díaz, Lebrón Rodríguez, Santa Rodríguez, Feliciano Sánchez, Rivera Madera, Torres Cruz, Ortiz González, Cruz Burgos, Ferrer Santiago y Pérez</w:t>
      </w:r>
      <w:r w:rsidRPr="00167E63">
        <w:rPr>
          <w:rFonts w:ascii="Book Antiqua" w:hAnsi="Book Antiqua" w:cstheme="majorBidi"/>
        </w:rPr>
        <w:t xml:space="preserve"> el</w:t>
      </w:r>
      <w:r w:rsidR="00E45162" w:rsidRPr="00167E63">
        <w:rPr>
          <w:rFonts w:ascii="Book Antiqua" w:hAnsi="Book Antiqua" w:cstheme="majorBidi"/>
        </w:rPr>
        <w:t xml:space="preserve"> 15</w:t>
      </w:r>
      <w:r w:rsidRPr="00167E63">
        <w:rPr>
          <w:rFonts w:ascii="Book Antiqua" w:hAnsi="Book Antiqua" w:cstheme="majorBidi"/>
        </w:rPr>
        <w:t xml:space="preserve"> de </w:t>
      </w:r>
      <w:r w:rsidR="00E45162" w:rsidRPr="00167E63">
        <w:rPr>
          <w:rFonts w:ascii="Book Antiqua" w:hAnsi="Book Antiqua" w:cstheme="majorBidi"/>
        </w:rPr>
        <w:t>agosto</w:t>
      </w:r>
      <w:r w:rsidRPr="00167E63">
        <w:rPr>
          <w:rFonts w:ascii="Book Antiqua" w:hAnsi="Book Antiqua" w:cstheme="majorBidi"/>
        </w:rPr>
        <w:t xml:space="preserve"> de 20</w:t>
      </w:r>
      <w:r w:rsidR="00E45162" w:rsidRPr="00167E63">
        <w:rPr>
          <w:rFonts w:ascii="Book Antiqua" w:hAnsi="Book Antiqua" w:cstheme="majorBidi"/>
        </w:rPr>
        <w:t>22</w:t>
      </w:r>
      <w:r w:rsidRPr="00167E63">
        <w:rPr>
          <w:rFonts w:ascii="Book Antiqua" w:hAnsi="Book Antiqua" w:cstheme="majorBidi"/>
        </w:rPr>
        <w:t xml:space="preserve">. </w:t>
      </w:r>
    </w:p>
  </w:footnote>
  <w:footnote w:id="5">
    <w:p w14:paraId="3AEC69DA" w14:textId="77777777" w:rsidR="00562CFF" w:rsidRPr="00167E63" w:rsidRDefault="00562CFF" w:rsidP="00167E63">
      <w:pPr>
        <w:pStyle w:val="FootnoteText"/>
        <w:spacing w:after="120"/>
        <w:jc w:val="both"/>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Documento de 21 páginas, dirigido al entonces presidente de la Comisión de Anticorrupción e Integridad Pública del Senado, remitido el 23 de febrero de 2023, y firmado por el entonces </w:t>
      </w:r>
      <w:proofErr w:type="gramStart"/>
      <w:r w:rsidRPr="00167E63">
        <w:rPr>
          <w:rFonts w:ascii="Book Antiqua" w:hAnsi="Book Antiqua"/>
        </w:rPr>
        <w:t>Secretario</w:t>
      </w:r>
      <w:proofErr w:type="gramEnd"/>
      <w:r w:rsidRPr="00167E63">
        <w:rPr>
          <w:rFonts w:ascii="Book Antiqua" w:hAnsi="Book Antiqua"/>
        </w:rPr>
        <w:t xml:space="preserve"> del Departamento de Justicia, Hon. Domingo Emanuelli Hernández. </w:t>
      </w:r>
    </w:p>
  </w:footnote>
  <w:footnote w:id="6">
    <w:p w14:paraId="07460B96" w14:textId="0C1F844E" w:rsidR="00562CFF" w:rsidRPr="00167E63" w:rsidRDefault="00562CFF" w:rsidP="00167E63">
      <w:pPr>
        <w:pStyle w:val="FootnoteText"/>
        <w:spacing w:after="120"/>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Memorial del DJ, sobre el Proyecto de la Cámara 1428, págs. 19-20.</w:t>
      </w:r>
    </w:p>
  </w:footnote>
  <w:footnote w:id="7">
    <w:p w14:paraId="14405D93" w14:textId="53ED279D" w:rsidR="00BA13DC" w:rsidRPr="00167E63" w:rsidRDefault="00BA13DC" w:rsidP="00167E63">
      <w:pPr>
        <w:pStyle w:val="FootnoteText"/>
        <w:spacing w:after="120"/>
        <w:jc w:val="both"/>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Documento de 14 páginas, dirigido al entonces presidente de la Comisión de Anticorrupción e Integridad Pública del Senado, remitido el 14 de septiembre de 2022, y firmado por la entonces </w:t>
      </w:r>
      <w:proofErr w:type="gramStart"/>
      <w:r w:rsidRPr="00167E63">
        <w:rPr>
          <w:rFonts w:ascii="Book Antiqua" w:hAnsi="Book Antiqua"/>
        </w:rPr>
        <w:t>Directora</w:t>
      </w:r>
      <w:proofErr w:type="gramEnd"/>
      <w:r w:rsidRPr="00167E63">
        <w:rPr>
          <w:rFonts w:ascii="Book Antiqua" w:hAnsi="Book Antiqua"/>
        </w:rPr>
        <w:t xml:space="preserve"> </w:t>
      </w:r>
      <w:r w:rsidR="00D160E9">
        <w:rPr>
          <w:rFonts w:ascii="Book Antiqua" w:hAnsi="Book Antiqua"/>
        </w:rPr>
        <w:t xml:space="preserve">de la </w:t>
      </w:r>
      <w:r w:rsidRPr="00167E63">
        <w:rPr>
          <w:rFonts w:ascii="Book Antiqua" w:hAnsi="Book Antiqua"/>
        </w:rPr>
        <w:t xml:space="preserve">Oficina de Administración y Transformación de los Recursos Humanos en el Gobierno de Puerto Rico, Hon. Zahira A. Maldonado Molina. </w:t>
      </w:r>
    </w:p>
    <w:p w14:paraId="04529650" w14:textId="77777777" w:rsidR="00BA13DC" w:rsidRPr="00167E63" w:rsidRDefault="00BA13DC" w:rsidP="00167E63">
      <w:pPr>
        <w:pStyle w:val="FootnoteText"/>
        <w:spacing w:after="120"/>
        <w:rPr>
          <w:rFonts w:ascii="Book Antiqua" w:hAnsi="Book Antiqua"/>
        </w:rPr>
      </w:pPr>
    </w:p>
  </w:footnote>
  <w:footnote w:id="8">
    <w:p w14:paraId="63AE5642" w14:textId="190CDF56" w:rsidR="009851DE" w:rsidRPr="00167E63" w:rsidRDefault="009851DE" w:rsidP="00167E63">
      <w:pPr>
        <w:pStyle w:val="FootnoteText"/>
        <w:spacing w:after="120"/>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Memorial de la Oficina de Administración y Transformación de los Recursos Humanos en el Gobierno de Puerto Rico, sobre el Proyecto de la Cámara 1428, págs. 13-14; énfasis en el original, omitido.</w:t>
      </w:r>
    </w:p>
  </w:footnote>
  <w:footnote w:id="9">
    <w:p w14:paraId="3A007861" w14:textId="77777777" w:rsidR="00E65A88" w:rsidRPr="00B233CB" w:rsidRDefault="00E65A88" w:rsidP="00E65A88">
      <w:pPr>
        <w:pStyle w:val="FootnoteText"/>
        <w:spacing w:after="120"/>
        <w:jc w:val="both"/>
        <w:rPr>
          <w:rFonts w:ascii="Book Antiqua" w:hAnsi="Book Antiqua"/>
        </w:rPr>
      </w:pPr>
      <w:r w:rsidRPr="00B233CB">
        <w:rPr>
          <w:rStyle w:val="FootnoteReference"/>
          <w:rFonts w:ascii="Book Antiqua" w:hAnsi="Book Antiqua"/>
        </w:rPr>
        <w:footnoteRef/>
      </w:r>
      <w:r w:rsidRPr="00B233CB">
        <w:rPr>
          <w:rFonts w:ascii="Book Antiqua" w:hAnsi="Book Antiqua"/>
        </w:rPr>
        <w:t xml:space="preserve"> Documento de 14 páginas, dirigido al entonces presidente de la Comisión de Anticorrupción e Integridad Pública del Senado, remitido el 15 de mayo de 2024, y firmado por la entonces </w:t>
      </w:r>
      <w:proofErr w:type="gramStart"/>
      <w:r w:rsidRPr="00B233CB">
        <w:rPr>
          <w:rFonts w:ascii="Book Antiqua" w:hAnsi="Book Antiqua"/>
        </w:rPr>
        <w:t>Presidenta</w:t>
      </w:r>
      <w:proofErr w:type="gramEnd"/>
      <w:r w:rsidRPr="00B233CB">
        <w:rPr>
          <w:rFonts w:ascii="Book Antiqua" w:hAnsi="Book Antiqua"/>
        </w:rPr>
        <w:t xml:space="preserve"> del Panel del FEI, Hon. Nydia Cotto Vivers, el </w:t>
      </w:r>
      <w:proofErr w:type="gramStart"/>
      <w:r w:rsidRPr="00B233CB">
        <w:rPr>
          <w:rFonts w:ascii="Book Antiqua" w:hAnsi="Book Antiqua"/>
        </w:rPr>
        <w:t>Director Ejecutivo</w:t>
      </w:r>
      <w:proofErr w:type="gramEnd"/>
      <w:r w:rsidRPr="00B233CB">
        <w:rPr>
          <w:rFonts w:ascii="Book Antiqua" w:hAnsi="Book Antiqua"/>
        </w:rPr>
        <w:t xml:space="preserve"> de la Oficina de Ética Gubernamental, Honorable Luis Pérez Vargas y la Inspectora General de Puerto Rico. </w:t>
      </w:r>
    </w:p>
  </w:footnote>
  <w:footnote w:id="10">
    <w:p w14:paraId="4FBD48C1" w14:textId="4B2CE6E6" w:rsidR="00D87DCE" w:rsidRPr="00B233CB" w:rsidRDefault="00D87DCE" w:rsidP="00B233CB">
      <w:pPr>
        <w:pStyle w:val="FootnoteText"/>
        <w:spacing w:after="120"/>
        <w:rPr>
          <w:rFonts w:ascii="Book Antiqua" w:hAnsi="Book Antiqua"/>
        </w:rPr>
      </w:pPr>
      <w:r w:rsidRPr="00B233CB">
        <w:rPr>
          <w:rStyle w:val="FootnoteReference"/>
          <w:rFonts w:ascii="Book Antiqua" w:hAnsi="Book Antiqua"/>
        </w:rPr>
        <w:footnoteRef/>
      </w:r>
      <w:r w:rsidRPr="00B233CB">
        <w:rPr>
          <w:rFonts w:ascii="Book Antiqua" w:hAnsi="Book Antiqua"/>
        </w:rPr>
        <w:t xml:space="preserve"> </w:t>
      </w:r>
      <w:r w:rsidR="00183A8F" w:rsidRPr="00B233CB">
        <w:rPr>
          <w:rFonts w:ascii="Book Antiqua" w:hAnsi="Book Antiqua"/>
        </w:rPr>
        <w:t xml:space="preserve">Citando a </w:t>
      </w:r>
      <w:r w:rsidR="00183A8F" w:rsidRPr="00B233CB">
        <w:rPr>
          <w:rFonts w:ascii="Book Antiqua" w:hAnsi="Book Antiqua"/>
          <w:i/>
          <w:iCs/>
        </w:rPr>
        <w:t xml:space="preserve">González Segarra et. </w:t>
      </w:r>
      <w:proofErr w:type="spellStart"/>
      <w:r w:rsidR="00183A8F" w:rsidRPr="00B233CB">
        <w:rPr>
          <w:rFonts w:ascii="Book Antiqua" w:hAnsi="Book Antiqua"/>
          <w:i/>
          <w:iCs/>
        </w:rPr>
        <w:t>als</w:t>
      </w:r>
      <w:proofErr w:type="spellEnd"/>
      <w:r w:rsidR="00183A8F" w:rsidRPr="00B233CB">
        <w:rPr>
          <w:rFonts w:ascii="Book Antiqua" w:hAnsi="Book Antiqua"/>
          <w:i/>
          <w:iCs/>
        </w:rPr>
        <w:t xml:space="preserve"> v. C</w:t>
      </w:r>
      <w:r w:rsidR="00A52722" w:rsidRPr="00B233CB">
        <w:rPr>
          <w:rFonts w:ascii="Book Antiqua" w:hAnsi="Book Antiqua"/>
          <w:i/>
          <w:iCs/>
        </w:rPr>
        <w:t>FSE</w:t>
      </w:r>
      <w:r w:rsidR="00183A8F" w:rsidRPr="00B233CB">
        <w:rPr>
          <w:rFonts w:ascii="Book Antiqua" w:hAnsi="Book Antiqua"/>
        </w:rPr>
        <w:t>, 188 DPR 255 (2013)</w:t>
      </w:r>
      <w:r w:rsidR="00A52722" w:rsidRPr="00B233CB">
        <w:rPr>
          <w:rFonts w:ascii="Book Antiqua" w:hAnsi="Book Antiqua"/>
        </w:rPr>
        <w:t>.</w:t>
      </w:r>
    </w:p>
  </w:footnote>
  <w:footnote w:id="11">
    <w:p w14:paraId="5F790A01" w14:textId="56B2FBF9" w:rsidR="00224EF7" w:rsidRPr="00B233CB" w:rsidRDefault="00224EF7">
      <w:pPr>
        <w:pStyle w:val="FootnoteText"/>
        <w:rPr>
          <w:rFonts w:ascii="Book Antiqua" w:hAnsi="Book Antiqua"/>
        </w:rPr>
      </w:pPr>
      <w:r w:rsidRPr="00B233CB">
        <w:rPr>
          <w:rStyle w:val="FootnoteReference"/>
          <w:rFonts w:ascii="Book Antiqua" w:hAnsi="Book Antiqua"/>
        </w:rPr>
        <w:footnoteRef/>
      </w:r>
      <w:r w:rsidRPr="00B233CB">
        <w:rPr>
          <w:rFonts w:ascii="Book Antiqua" w:hAnsi="Book Antiqua"/>
        </w:rPr>
        <w:t xml:space="preserve"> Conocida como Ley Orgánica de la Oficina de Ética Gubernamental de Puerto Rico</w:t>
      </w:r>
      <w:r w:rsidR="009E264F" w:rsidRPr="00B233CB">
        <w:rPr>
          <w:rFonts w:ascii="Book Antiqua" w:hAnsi="Book Antiqua"/>
        </w:rPr>
        <w:t>.</w:t>
      </w:r>
    </w:p>
  </w:footnote>
  <w:footnote w:id="12">
    <w:p w14:paraId="261A7157" w14:textId="343AD9D6" w:rsidR="002C534B" w:rsidRPr="00167E63" w:rsidRDefault="002C534B" w:rsidP="00167E63">
      <w:pPr>
        <w:pStyle w:val="FootnoteText"/>
        <w:spacing w:after="120"/>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w:t>
      </w:r>
      <w:r w:rsidR="000E1D77" w:rsidRPr="00167E63">
        <w:rPr>
          <w:rFonts w:ascii="Book Antiqua" w:hAnsi="Book Antiqua"/>
        </w:rPr>
        <w:t>Memorial Conjunto sobre el Proyecto de la Cámara 1428, págs. 9-10; énfasis omitido.</w:t>
      </w:r>
    </w:p>
  </w:footnote>
  <w:footnote w:id="13">
    <w:p w14:paraId="4F64CB8D" w14:textId="00F4828C" w:rsidR="001F2899" w:rsidRPr="00167E63" w:rsidRDefault="001F2899" w:rsidP="00167E63">
      <w:pPr>
        <w:pStyle w:val="FootnoteText"/>
        <w:spacing w:after="120"/>
        <w:jc w:val="both"/>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Documento de 4 páginas, firmado por la Honorable Ivelisse Torres Rivera, Inspectora General de Puerto Rico y sometido el 28 de enero de 2026.</w:t>
      </w:r>
    </w:p>
  </w:footnote>
  <w:footnote w:id="14">
    <w:p w14:paraId="347BD4A8" w14:textId="595A6601" w:rsidR="00BD3E97" w:rsidRPr="00167E63" w:rsidRDefault="00BD3E97" w:rsidP="008C36C5">
      <w:pPr>
        <w:pStyle w:val="FootnoteText"/>
        <w:spacing w:after="120"/>
        <w:jc w:val="both"/>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Memorial de la OIG, págs. 2-3, citando a su vez a </w:t>
      </w:r>
      <w:r w:rsidRPr="00167E63">
        <w:rPr>
          <w:rFonts w:ascii="Book Antiqua" w:hAnsi="Book Antiqua"/>
          <w:i/>
          <w:iCs/>
        </w:rPr>
        <w:t>Vázquez v. Consejo de Titulares</w:t>
      </w:r>
      <w:r w:rsidRPr="00167E63">
        <w:rPr>
          <w:rFonts w:ascii="Book Antiqua" w:hAnsi="Book Antiqua"/>
        </w:rPr>
        <w:t>, 2025 TSPR 56, en la pág. 17-18</w:t>
      </w:r>
      <w:r w:rsidR="003A540B" w:rsidRPr="00167E63">
        <w:rPr>
          <w:rFonts w:ascii="Book Antiqua" w:hAnsi="Book Antiqua"/>
        </w:rPr>
        <w:t>;</w:t>
      </w:r>
      <w:r w:rsidRPr="00167E63">
        <w:rPr>
          <w:rFonts w:ascii="Book Antiqua" w:hAnsi="Book Antiqua"/>
        </w:rPr>
        <w:t xml:space="preserve"> </w:t>
      </w:r>
      <w:r w:rsidRPr="00167E63">
        <w:rPr>
          <w:rFonts w:ascii="Book Antiqua" w:hAnsi="Book Antiqua"/>
          <w:i/>
          <w:iCs/>
        </w:rPr>
        <w:t xml:space="preserve">Alvira Cintrón v. SK &amp; F </w:t>
      </w:r>
      <w:proofErr w:type="spellStart"/>
      <w:r w:rsidRPr="00167E63">
        <w:rPr>
          <w:rFonts w:ascii="Book Antiqua" w:hAnsi="Book Antiqua"/>
          <w:i/>
          <w:iCs/>
        </w:rPr>
        <w:t>Laboratories</w:t>
      </w:r>
      <w:proofErr w:type="spellEnd"/>
      <w:r w:rsidRPr="00167E63">
        <w:rPr>
          <w:rFonts w:ascii="Book Antiqua" w:hAnsi="Book Antiqua"/>
          <w:i/>
          <w:iCs/>
        </w:rPr>
        <w:t xml:space="preserve"> Co. y otros</w:t>
      </w:r>
      <w:r w:rsidRPr="00167E63">
        <w:rPr>
          <w:rFonts w:ascii="Book Antiqua" w:hAnsi="Book Antiqua"/>
        </w:rPr>
        <w:t>, 142 DPR 803, 811-812 (1997).</w:t>
      </w:r>
      <w:r w:rsidR="003A540B" w:rsidRPr="00167E63">
        <w:rPr>
          <w:rFonts w:ascii="Book Antiqua" w:hAnsi="Book Antiqua"/>
        </w:rPr>
        <w:t xml:space="preserve"> </w:t>
      </w:r>
      <w:r w:rsidRPr="00167E63">
        <w:rPr>
          <w:rFonts w:ascii="Book Antiqua" w:hAnsi="Book Antiqua"/>
        </w:rPr>
        <w:t>Énfasis en el original, omitido.</w:t>
      </w:r>
    </w:p>
  </w:footnote>
  <w:footnote w:id="15">
    <w:p w14:paraId="5471FA99" w14:textId="7F0ACB5E" w:rsidR="004D6B09" w:rsidRPr="00167E63" w:rsidRDefault="004D6B09" w:rsidP="00167E63">
      <w:pPr>
        <w:pStyle w:val="FootnoteText"/>
        <w:spacing w:after="120"/>
        <w:jc w:val="both"/>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Documento de 3 páginas, firmado por la Honorable Carmen Vega Fournier, Contralora de Puerto Rico y sometido el 26 de enero de 2026.</w:t>
      </w:r>
    </w:p>
  </w:footnote>
  <w:footnote w:id="16">
    <w:p w14:paraId="76A2CF39" w14:textId="38D1F1A8" w:rsidR="00AE39F9" w:rsidRPr="00167E63" w:rsidRDefault="00AE39F9" w:rsidP="00167E63">
      <w:pPr>
        <w:pStyle w:val="FootnoteText"/>
        <w:spacing w:after="120"/>
        <w:rPr>
          <w:rFonts w:ascii="Book Antiqua" w:hAnsi="Book Antiqua"/>
        </w:rPr>
      </w:pPr>
      <w:r w:rsidRPr="00167E63">
        <w:rPr>
          <w:rStyle w:val="FootnoteReference"/>
          <w:rFonts w:ascii="Book Antiqua" w:hAnsi="Book Antiqua"/>
        </w:rPr>
        <w:footnoteRef/>
      </w:r>
      <w:r w:rsidRPr="00167E63">
        <w:rPr>
          <w:rFonts w:ascii="Book Antiqua" w:hAnsi="Book Antiqua"/>
        </w:rPr>
        <w:t xml:space="preserve"> Memorial de la OCPR, págs.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E2A5F" w14:textId="3B58F161" w:rsidR="00C13938" w:rsidRPr="00C13938" w:rsidRDefault="00C13938" w:rsidP="00CE54D8">
    <w:pPr>
      <w:pBdr>
        <w:bottom w:val="single" w:sz="4" w:space="1" w:color="D9D9D9"/>
      </w:pBdr>
      <w:tabs>
        <w:tab w:val="center" w:pos="4680"/>
        <w:tab w:val="right" w:pos="9360"/>
      </w:tabs>
      <w:rPr>
        <w:rFonts w:ascii="Calibri" w:eastAsia="Calibri" w:hAnsi="Calibri"/>
        <w:b/>
        <w:iCs/>
        <w:sz w:val="20"/>
        <w:lang w:val="es-PR"/>
      </w:rPr>
    </w:pPr>
    <w:r w:rsidRPr="00C13938">
      <w:rPr>
        <w:rFonts w:ascii="Calibri" w:eastAsia="Calibri" w:hAnsi="Calibri"/>
        <w:b/>
        <w:iCs/>
        <w:sz w:val="20"/>
        <w:lang w:val="es-PR"/>
      </w:rPr>
      <w:t>Cámara de Representantes de Puerto Rico</w:t>
    </w:r>
  </w:p>
  <w:p w14:paraId="12ED89AE" w14:textId="3E8BB2C4" w:rsidR="00C13938" w:rsidRPr="00C13938" w:rsidRDefault="00C13938" w:rsidP="00CE54D8">
    <w:pPr>
      <w:pBdr>
        <w:bottom w:val="single" w:sz="4" w:space="1" w:color="D9D9D9"/>
      </w:pBdr>
      <w:tabs>
        <w:tab w:val="center" w:pos="4680"/>
        <w:tab w:val="right" w:pos="9360"/>
      </w:tabs>
      <w:rPr>
        <w:rFonts w:ascii="Calibri" w:eastAsia="Calibri" w:hAnsi="Calibri"/>
        <w:b/>
        <w:iCs/>
        <w:sz w:val="20"/>
        <w:lang w:val="es-PR"/>
      </w:rPr>
    </w:pPr>
    <w:r w:rsidRPr="00C13938">
      <w:rPr>
        <w:rFonts w:ascii="Calibri" w:eastAsia="Calibri" w:hAnsi="Calibri"/>
        <w:b/>
        <w:iCs/>
        <w:sz w:val="20"/>
        <w:lang w:val="es-PR"/>
      </w:rPr>
      <w:t>Comisión de lo Jurídico</w:t>
    </w:r>
  </w:p>
  <w:p w14:paraId="31A51A2D" w14:textId="567E7728"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13938">
      <w:rPr>
        <w:rFonts w:ascii="Calibri" w:eastAsia="Calibri" w:hAnsi="Calibri"/>
        <w:b/>
        <w:iCs/>
        <w:sz w:val="20"/>
        <w:lang w:val="es-PR"/>
      </w:rPr>
      <w:t>Informe</w:t>
    </w:r>
    <w:r w:rsidR="00900740" w:rsidRPr="00C13938">
      <w:rPr>
        <w:rFonts w:ascii="Calibri" w:eastAsia="Calibri" w:hAnsi="Calibri"/>
        <w:b/>
        <w:iCs/>
        <w:sz w:val="20"/>
        <w:lang w:val="es-PR"/>
      </w:rPr>
      <w:t xml:space="preserve"> Positivo</w:t>
    </w:r>
    <w:r w:rsidRPr="00C13938">
      <w:rPr>
        <w:rFonts w:ascii="Calibri" w:eastAsia="Calibri" w:hAnsi="Calibri"/>
        <w:b/>
        <w:iCs/>
        <w:sz w:val="20"/>
        <w:lang w:val="es-PR"/>
      </w:rPr>
      <w:t xml:space="preserve"> P. de la C. </w:t>
    </w:r>
    <w:r w:rsidR="00532F3A" w:rsidRPr="00C13938">
      <w:rPr>
        <w:rFonts w:ascii="Calibri" w:eastAsia="Calibri" w:hAnsi="Calibri"/>
        <w:b/>
        <w:iCs/>
        <w:sz w:val="20"/>
        <w:lang w:val="es-PR"/>
      </w:rPr>
      <w:t>1</w:t>
    </w:r>
    <w:r w:rsidR="00C13938" w:rsidRPr="00C13938">
      <w:rPr>
        <w:rFonts w:ascii="Calibri" w:eastAsia="Calibri" w:hAnsi="Calibri"/>
        <w:b/>
        <w:iCs/>
        <w:sz w:val="20"/>
        <w:lang w:val="es-PR"/>
      </w:rPr>
      <w:t>039</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8991D6E"/>
    <w:multiLevelType w:val="hybridMultilevel"/>
    <w:tmpl w:val="33BC3E78"/>
    <w:lvl w:ilvl="0" w:tplc="49CED2A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5"/>
  </w:num>
  <w:num w:numId="7" w16cid:durableId="1113287001">
    <w:abstractNumId w:val="7"/>
  </w:num>
  <w:num w:numId="8" w16cid:durableId="1631401959">
    <w:abstractNumId w:val="12"/>
  </w:num>
  <w:num w:numId="9" w16cid:durableId="591201020">
    <w:abstractNumId w:val="10"/>
  </w:num>
  <w:num w:numId="10" w16cid:durableId="645204287">
    <w:abstractNumId w:val="18"/>
  </w:num>
  <w:num w:numId="11" w16cid:durableId="1508133352">
    <w:abstractNumId w:val="6"/>
  </w:num>
  <w:num w:numId="12" w16cid:durableId="1889679253">
    <w:abstractNumId w:val="14"/>
  </w:num>
  <w:num w:numId="13" w16cid:durableId="325980482">
    <w:abstractNumId w:val="8"/>
  </w:num>
  <w:num w:numId="14" w16cid:durableId="1607613887">
    <w:abstractNumId w:val="16"/>
  </w:num>
  <w:num w:numId="15" w16cid:durableId="1411585931">
    <w:abstractNumId w:val="17"/>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 w:numId="20" w16cid:durableId="11121661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B3B"/>
    <w:rsid w:val="00015228"/>
    <w:rsid w:val="000307E4"/>
    <w:rsid w:val="00041144"/>
    <w:rsid w:val="00042E4B"/>
    <w:rsid w:val="00045840"/>
    <w:rsid w:val="00050E9A"/>
    <w:rsid w:val="0005774B"/>
    <w:rsid w:val="000715C3"/>
    <w:rsid w:val="00077253"/>
    <w:rsid w:val="0008029C"/>
    <w:rsid w:val="0009035A"/>
    <w:rsid w:val="000968F0"/>
    <w:rsid w:val="000A046B"/>
    <w:rsid w:val="000A0600"/>
    <w:rsid w:val="000A4C87"/>
    <w:rsid w:val="000B0D43"/>
    <w:rsid w:val="000B1F0B"/>
    <w:rsid w:val="000B6B0E"/>
    <w:rsid w:val="000C44CB"/>
    <w:rsid w:val="000C66A9"/>
    <w:rsid w:val="000D2BDF"/>
    <w:rsid w:val="000D5F7E"/>
    <w:rsid w:val="000D68FC"/>
    <w:rsid w:val="000E1D77"/>
    <w:rsid w:val="000E5D36"/>
    <w:rsid w:val="000F24E6"/>
    <w:rsid w:val="000F5399"/>
    <w:rsid w:val="000F67BD"/>
    <w:rsid w:val="001015D5"/>
    <w:rsid w:val="00101C99"/>
    <w:rsid w:val="001049CF"/>
    <w:rsid w:val="001070BB"/>
    <w:rsid w:val="001209AD"/>
    <w:rsid w:val="00126659"/>
    <w:rsid w:val="001311BA"/>
    <w:rsid w:val="00131474"/>
    <w:rsid w:val="0013727F"/>
    <w:rsid w:val="00140F2B"/>
    <w:rsid w:val="00141605"/>
    <w:rsid w:val="00141703"/>
    <w:rsid w:val="0015264C"/>
    <w:rsid w:val="00153D68"/>
    <w:rsid w:val="001601C3"/>
    <w:rsid w:val="00164E0B"/>
    <w:rsid w:val="00166E2D"/>
    <w:rsid w:val="00167E63"/>
    <w:rsid w:val="0017100B"/>
    <w:rsid w:val="001711E6"/>
    <w:rsid w:val="00171FDF"/>
    <w:rsid w:val="00183A8F"/>
    <w:rsid w:val="00186915"/>
    <w:rsid w:val="00197122"/>
    <w:rsid w:val="001A54BF"/>
    <w:rsid w:val="001A5A3D"/>
    <w:rsid w:val="001D5EE7"/>
    <w:rsid w:val="001D6791"/>
    <w:rsid w:val="001E4FEC"/>
    <w:rsid w:val="001E7C2B"/>
    <w:rsid w:val="001F0E57"/>
    <w:rsid w:val="001F139A"/>
    <w:rsid w:val="001F2899"/>
    <w:rsid w:val="001F5243"/>
    <w:rsid w:val="00203D0D"/>
    <w:rsid w:val="00206D79"/>
    <w:rsid w:val="00207761"/>
    <w:rsid w:val="00216AC7"/>
    <w:rsid w:val="002179C3"/>
    <w:rsid w:val="00221403"/>
    <w:rsid w:val="00224EF7"/>
    <w:rsid w:val="00227846"/>
    <w:rsid w:val="0023302B"/>
    <w:rsid w:val="002476DD"/>
    <w:rsid w:val="00253582"/>
    <w:rsid w:val="00253E49"/>
    <w:rsid w:val="00254CF9"/>
    <w:rsid w:val="002616FE"/>
    <w:rsid w:val="00275876"/>
    <w:rsid w:val="00281894"/>
    <w:rsid w:val="002864AF"/>
    <w:rsid w:val="002939AA"/>
    <w:rsid w:val="00293D8F"/>
    <w:rsid w:val="002A302E"/>
    <w:rsid w:val="002A795A"/>
    <w:rsid w:val="002B6BDB"/>
    <w:rsid w:val="002C534B"/>
    <w:rsid w:val="002D2AD0"/>
    <w:rsid w:val="002D6E07"/>
    <w:rsid w:val="002F16BF"/>
    <w:rsid w:val="00304248"/>
    <w:rsid w:val="00306D5A"/>
    <w:rsid w:val="00327AF1"/>
    <w:rsid w:val="00331759"/>
    <w:rsid w:val="003344C6"/>
    <w:rsid w:val="003361A3"/>
    <w:rsid w:val="0034229A"/>
    <w:rsid w:val="00342992"/>
    <w:rsid w:val="00352EA7"/>
    <w:rsid w:val="00354EC7"/>
    <w:rsid w:val="00364147"/>
    <w:rsid w:val="00371331"/>
    <w:rsid w:val="0037308E"/>
    <w:rsid w:val="00382AD9"/>
    <w:rsid w:val="0038510E"/>
    <w:rsid w:val="00385F4F"/>
    <w:rsid w:val="00392CEF"/>
    <w:rsid w:val="00393ADF"/>
    <w:rsid w:val="003A2FCB"/>
    <w:rsid w:val="003A4082"/>
    <w:rsid w:val="003A540B"/>
    <w:rsid w:val="003B09EC"/>
    <w:rsid w:val="003B38A4"/>
    <w:rsid w:val="003B3DEE"/>
    <w:rsid w:val="003D601E"/>
    <w:rsid w:val="003E4335"/>
    <w:rsid w:val="003E529E"/>
    <w:rsid w:val="003E6E10"/>
    <w:rsid w:val="003E7648"/>
    <w:rsid w:val="003F10BB"/>
    <w:rsid w:val="003F2674"/>
    <w:rsid w:val="00407674"/>
    <w:rsid w:val="00421298"/>
    <w:rsid w:val="0042168B"/>
    <w:rsid w:val="004315B6"/>
    <w:rsid w:val="00431F68"/>
    <w:rsid w:val="00437B8E"/>
    <w:rsid w:val="00446951"/>
    <w:rsid w:val="00446F50"/>
    <w:rsid w:val="00447224"/>
    <w:rsid w:val="004512E8"/>
    <w:rsid w:val="00451F27"/>
    <w:rsid w:val="004523CD"/>
    <w:rsid w:val="0045250F"/>
    <w:rsid w:val="00452D84"/>
    <w:rsid w:val="00467CB0"/>
    <w:rsid w:val="004A2F7B"/>
    <w:rsid w:val="004A5A18"/>
    <w:rsid w:val="004A6A4F"/>
    <w:rsid w:val="004B2570"/>
    <w:rsid w:val="004B4977"/>
    <w:rsid w:val="004B7F53"/>
    <w:rsid w:val="004D28B0"/>
    <w:rsid w:val="004D6B09"/>
    <w:rsid w:val="004E356B"/>
    <w:rsid w:val="004E7F19"/>
    <w:rsid w:val="004F3AEE"/>
    <w:rsid w:val="004F4A0B"/>
    <w:rsid w:val="004F5F8E"/>
    <w:rsid w:val="004F79AB"/>
    <w:rsid w:val="00516AB2"/>
    <w:rsid w:val="0052624F"/>
    <w:rsid w:val="00532F3A"/>
    <w:rsid w:val="005334C2"/>
    <w:rsid w:val="005352BA"/>
    <w:rsid w:val="005432C2"/>
    <w:rsid w:val="005476FA"/>
    <w:rsid w:val="005614F0"/>
    <w:rsid w:val="00561903"/>
    <w:rsid w:val="00562CFF"/>
    <w:rsid w:val="005648DC"/>
    <w:rsid w:val="00566BF6"/>
    <w:rsid w:val="00582CE9"/>
    <w:rsid w:val="00583842"/>
    <w:rsid w:val="00584753"/>
    <w:rsid w:val="00591C6D"/>
    <w:rsid w:val="00592D59"/>
    <w:rsid w:val="005A1F13"/>
    <w:rsid w:val="005B19F7"/>
    <w:rsid w:val="005B42F2"/>
    <w:rsid w:val="005B69A9"/>
    <w:rsid w:val="005B750B"/>
    <w:rsid w:val="005C34A8"/>
    <w:rsid w:val="005C5777"/>
    <w:rsid w:val="00602E29"/>
    <w:rsid w:val="00603FE4"/>
    <w:rsid w:val="00611979"/>
    <w:rsid w:val="0061347E"/>
    <w:rsid w:val="00633335"/>
    <w:rsid w:val="006430D4"/>
    <w:rsid w:val="006620D1"/>
    <w:rsid w:val="0066649B"/>
    <w:rsid w:val="0069342C"/>
    <w:rsid w:val="00694718"/>
    <w:rsid w:val="006A1DB2"/>
    <w:rsid w:val="006B2F9D"/>
    <w:rsid w:val="006B4F55"/>
    <w:rsid w:val="006D7B47"/>
    <w:rsid w:val="006E649B"/>
    <w:rsid w:val="006F5B67"/>
    <w:rsid w:val="006F6951"/>
    <w:rsid w:val="0070305E"/>
    <w:rsid w:val="007052E7"/>
    <w:rsid w:val="00712592"/>
    <w:rsid w:val="00715AB6"/>
    <w:rsid w:val="007250C9"/>
    <w:rsid w:val="00725347"/>
    <w:rsid w:val="00726D54"/>
    <w:rsid w:val="00733E40"/>
    <w:rsid w:val="00744264"/>
    <w:rsid w:val="0076029D"/>
    <w:rsid w:val="00760D00"/>
    <w:rsid w:val="00762646"/>
    <w:rsid w:val="0077131A"/>
    <w:rsid w:val="00773FDD"/>
    <w:rsid w:val="0077444F"/>
    <w:rsid w:val="007761C9"/>
    <w:rsid w:val="00782A64"/>
    <w:rsid w:val="007842E6"/>
    <w:rsid w:val="0078548C"/>
    <w:rsid w:val="007965B1"/>
    <w:rsid w:val="007A7FDC"/>
    <w:rsid w:val="007B20AC"/>
    <w:rsid w:val="007B257D"/>
    <w:rsid w:val="007B2F4F"/>
    <w:rsid w:val="007C5122"/>
    <w:rsid w:val="007D22F5"/>
    <w:rsid w:val="007D668A"/>
    <w:rsid w:val="007D788A"/>
    <w:rsid w:val="007D79C4"/>
    <w:rsid w:val="007E2AC1"/>
    <w:rsid w:val="007E6834"/>
    <w:rsid w:val="00801B1B"/>
    <w:rsid w:val="00802900"/>
    <w:rsid w:val="008142DA"/>
    <w:rsid w:val="008162A8"/>
    <w:rsid w:val="00821551"/>
    <w:rsid w:val="00822FEF"/>
    <w:rsid w:val="00826766"/>
    <w:rsid w:val="008270AA"/>
    <w:rsid w:val="00831D91"/>
    <w:rsid w:val="008326DB"/>
    <w:rsid w:val="0083492B"/>
    <w:rsid w:val="00844E45"/>
    <w:rsid w:val="00851E49"/>
    <w:rsid w:val="00855456"/>
    <w:rsid w:val="00862B38"/>
    <w:rsid w:val="008714C1"/>
    <w:rsid w:val="00877968"/>
    <w:rsid w:val="00885705"/>
    <w:rsid w:val="00887F45"/>
    <w:rsid w:val="008A268E"/>
    <w:rsid w:val="008B25F8"/>
    <w:rsid w:val="008B5C1E"/>
    <w:rsid w:val="008B701E"/>
    <w:rsid w:val="008C1517"/>
    <w:rsid w:val="008C36C5"/>
    <w:rsid w:val="008F1AA4"/>
    <w:rsid w:val="00900740"/>
    <w:rsid w:val="0090114E"/>
    <w:rsid w:val="00907AF5"/>
    <w:rsid w:val="00910DF8"/>
    <w:rsid w:val="00926C28"/>
    <w:rsid w:val="009310C1"/>
    <w:rsid w:val="00934648"/>
    <w:rsid w:val="009347CF"/>
    <w:rsid w:val="0094111E"/>
    <w:rsid w:val="009412C4"/>
    <w:rsid w:val="00945A86"/>
    <w:rsid w:val="00950E91"/>
    <w:rsid w:val="009535ED"/>
    <w:rsid w:val="00954C22"/>
    <w:rsid w:val="0096580E"/>
    <w:rsid w:val="0097085B"/>
    <w:rsid w:val="00977DC2"/>
    <w:rsid w:val="009851DE"/>
    <w:rsid w:val="009970E2"/>
    <w:rsid w:val="009971DC"/>
    <w:rsid w:val="009A6C55"/>
    <w:rsid w:val="009B02C7"/>
    <w:rsid w:val="009B56D7"/>
    <w:rsid w:val="009C0C1B"/>
    <w:rsid w:val="009D6D72"/>
    <w:rsid w:val="009E264F"/>
    <w:rsid w:val="009E55BD"/>
    <w:rsid w:val="009E66CF"/>
    <w:rsid w:val="009F2773"/>
    <w:rsid w:val="009F5A85"/>
    <w:rsid w:val="00A056E7"/>
    <w:rsid w:val="00A072A5"/>
    <w:rsid w:val="00A11658"/>
    <w:rsid w:val="00A1240D"/>
    <w:rsid w:val="00A22725"/>
    <w:rsid w:val="00A26824"/>
    <w:rsid w:val="00A42843"/>
    <w:rsid w:val="00A45537"/>
    <w:rsid w:val="00A52722"/>
    <w:rsid w:val="00A67849"/>
    <w:rsid w:val="00A70F45"/>
    <w:rsid w:val="00A77BD5"/>
    <w:rsid w:val="00A8492B"/>
    <w:rsid w:val="00A87BAA"/>
    <w:rsid w:val="00A87C62"/>
    <w:rsid w:val="00A9407D"/>
    <w:rsid w:val="00AA30C7"/>
    <w:rsid w:val="00AA3A37"/>
    <w:rsid w:val="00AB386C"/>
    <w:rsid w:val="00AC3E49"/>
    <w:rsid w:val="00AE39F9"/>
    <w:rsid w:val="00AE4FE1"/>
    <w:rsid w:val="00AE5181"/>
    <w:rsid w:val="00AF17B1"/>
    <w:rsid w:val="00AF449A"/>
    <w:rsid w:val="00B16378"/>
    <w:rsid w:val="00B220D8"/>
    <w:rsid w:val="00B22F06"/>
    <w:rsid w:val="00B233CB"/>
    <w:rsid w:val="00B241A8"/>
    <w:rsid w:val="00B34F68"/>
    <w:rsid w:val="00B368E6"/>
    <w:rsid w:val="00B4018B"/>
    <w:rsid w:val="00B45797"/>
    <w:rsid w:val="00B51406"/>
    <w:rsid w:val="00B55DDB"/>
    <w:rsid w:val="00B56CA6"/>
    <w:rsid w:val="00B62EFA"/>
    <w:rsid w:val="00B67472"/>
    <w:rsid w:val="00B721E2"/>
    <w:rsid w:val="00B85B25"/>
    <w:rsid w:val="00B94F5A"/>
    <w:rsid w:val="00BA0B5D"/>
    <w:rsid w:val="00BA13DC"/>
    <w:rsid w:val="00BA2D3D"/>
    <w:rsid w:val="00BB3BD3"/>
    <w:rsid w:val="00BC0B39"/>
    <w:rsid w:val="00BC108E"/>
    <w:rsid w:val="00BD28BD"/>
    <w:rsid w:val="00BD3E97"/>
    <w:rsid w:val="00BE2D33"/>
    <w:rsid w:val="00BF2E17"/>
    <w:rsid w:val="00BF5BE0"/>
    <w:rsid w:val="00C13938"/>
    <w:rsid w:val="00C160FE"/>
    <w:rsid w:val="00C17189"/>
    <w:rsid w:val="00C177B5"/>
    <w:rsid w:val="00C17DA0"/>
    <w:rsid w:val="00C17F22"/>
    <w:rsid w:val="00C43FB3"/>
    <w:rsid w:val="00C50A72"/>
    <w:rsid w:val="00C54AD6"/>
    <w:rsid w:val="00C87850"/>
    <w:rsid w:val="00C9100A"/>
    <w:rsid w:val="00C948BC"/>
    <w:rsid w:val="00CC1984"/>
    <w:rsid w:val="00CC26FF"/>
    <w:rsid w:val="00CC6626"/>
    <w:rsid w:val="00CD5968"/>
    <w:rsid w:val="00CE1153"/>
    <w:rsid w:val="00CE16EE"/>
    <w:rsid w:val="00CE2077"/>
    <w:rsid w:val="00CE54D8"/>
    <w:rsid w:val="00CE65FB"/>
    <w:rsid w:val="00CE6B30"/>
    <w:rsid w:val="00CE7486"/>
    <w:rsid w:val="00CF2FE6"/>
    <w:rsid w:val="00D00F5B"/>
    <w:rsid w:val="00D018B2"/>
    <w:rsid w:val="00D160E9"/>
    <w:rsid w:val="00D40BB5"/>
    <w:rsid w:val="00D43EF3"/>
    <w:rsid w:val="00D44A4A"/>
    <w:rsid w:val="00D50870"/>
    <w:rsid w:val="00D5157A"/>
    <w:rsid w:val="00D60D6E"/>
    <w:rsid w:val="00D60DA4"/>
    <w:rsid w:val="00D7288F"/>
    <w:rsid w:val="00D740C2"/>
    <w:rsid w:val="00D84FD0"/>
    <w:rsid w:val="00D85064"/>
    <w:rsid w:val="00D86F2E"/>
    <w:rsid w:val="00D87DCE"/>
    <w:rsid w:val="00D93990"/>
    <w:rsid w:val="00D95C66"/>
    <w:rsid w:val="00DA186D"/>
    <w:rsid w:val="00DB5770"/>
    <w:rsid w:val="00DB6542"/>
    <w:rsid w:val="00DB7CC5"/>
    <w:rsid w:val="00DC2214"/>
    <w:rsid w:val="00DC2703"/>
    <w:rsid w:val="00DC4AF8"/>
    <w:rsid w:val="00DC738B"/>
    <w:rsid w:val="00DE5DAA"/>
    <w:rsid w:val="00DF7D86"/>
    <w:rsid w:val="00E05E49"/>
    <w:rsid w:val="00E271CF"/>
    <w:rsid w:val="00E434BC"/>
    <w:rsid w:val="00E44CE3"/>
    <w:rsid w:val="00E45162"/>
    <w:rsid w:val="00E50D55"/>
    <w:rsid w:val="00E5593E"/>
    <w:rsid w:val="00E6306A"/>
    <w:rsid w:val="00E638A7"/>
    <w:rsid w:val="00E65A88"/>
    <w:rsid w:val="00E730A8"/>
    <w:rsid w:val="00E74A0C"/>
    <w:rsid w:val="00E84C3D"/>
    <w:rsid w:val="00E9308A"/>
    <w:rsid w:val="00E94262"/>
    <w:rsid w:val="00E9522A"/>
    <w:rsid w:val="00E97D41"/>
    <w:rsid w:val="00EA3579"/>
    <w:rsid w:val="00EB5319"/>
    <w:rsid w:val="00EC7D5C"/>
    <w:rsid w:val="00ED00A2"/>
    <w:rsid w:val="00ED05ED"/>
    <w:rsid w:val="00F0476A"/>
    <w:rsid w:val="00F169E1"/>
    <w:rsid w:val="00F17F1C"/>
    <w:rsid w:val="00F22F03"/>
    <w:rsid w:val="00F246F0"/>
    <w:rsid w:val="00F248D5"/>
    <w:rsid w:val="00F25FE5"/>
    <w:rsid w:val="00F35F1C"/>
    <w:rsid w:val="00F41AC8"/>
    <w:rsid w:val="00F4393C"/>
    <w:rsid w:val="00F473F9"/>
    <w:rsid w:val="00F52F26"/>
    <w:rsid w:val="00F53669"/>
    <w:rsid w:val="00F60DB6"/>
    <w:rsid w:val="00F66656"/>
    <w:rsid w:val="00F75150"/>
    <w:rsid w:val="00F80171"/>
    <w:rsid w:val="00F82809"/>
    <w:rsid w:val="00F846E3"/>
    <w:rsid w:val="00F91378"/>
    <w:rsid w:val="00F91B1D"/>
    <w:rsid w:val="00F9450C"/>
    <w:rsid w:val="00FA1532"/>
    <w:rsid w:val="00FA2D11"/>
    <w:rsid w:val="00FB352A"/>
    <w:rsid w:val="00FD6179"/>
    <w:rsid w:val="00FE1B6F"/>
    <w:rsid w:val="00FE2E5F"/>
    <w:rsid w:val="00FE7780"/>
    <w:rsid w:val="00FF4FEE"/>
    <w:rsid w:val="00FF59B3"/>
    <w:rsid w:val="00FF5CBA"/>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1753156564">
              <w:marLeft w:val="0"/>
              <w:marRight w:val="0"/>
              <w:marTop w:val="0"/>
              <w:marBottom w:val="0"/>
              <w:divBdr>
                <w:top w:val="none" w:sz="0" w:space="0" w:color="auto"/>
                <w:left w:val="none" w:sz="0" w:space="0" w:color="auto"/>
                <w:bottom w:val="none" w:sz="0" w:space="0" w:color="auto"/>
                <w:right w:val="none" w:sz="0" w:space="0" w:color="auto"/>
              </w:divBdr>
            </w:div>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96529427">
              <w:marLeft w:val="0"/>
              <w:marRight w:val="0"/>
              <w:marTop w:val="0"/>
              <w:marBottom w:val="0"/>
              <w:divBdr>
                <w:top w:val="none" w:sz="0" w:space="0" w:color="auto"/>
                <w:left w:val="none" w:sz="0" w:space="0" w:color="auto"/>
                <w:bottom w:val="none" w:sz="0" w:space="0" w:color="auto"/>
                <w:right w:val="none" w:sz="0" w:space="0" w:color="auto"/>
              </w:divBdr>
            </w:div>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43F19-B9AD-4C43-8444-717A6BDBF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E551DE-E751-40C8-AD84-C56636DB4A7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2500</Words>
  <Characters>13327</Characters>
  <Application>Microsoft Office Word</Application>
  <DocSecurity>4</DocSecurity>
  <Lines>256</Lines>
  <Paragraphs>64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2026-02-27T14:43:00Z</cp:lastPrinted>
  <dcterms:created xsi:type="dcterms:W3CDTF">2026-02-27T17:11:00Z</dcterms:created>
  <dcterms:modified xsi:type="dcterms:W3CDTF">2026-02-27T17:11:00Z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