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77777"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r w:rsidR="00754FC4">
              <w:rPr>
                <w:rFonts w:ascii="Book Antiqua" w:hAnsi="Book Antiqua"/>
                <w:vertAlign w:val="superscript"/>
                <w:lang w:val="es-PR"/>
              </w:rPr>
              <w:t>ra</w:t>
            </w:r>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475B82">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7E50AA00" w:rsidR="0000702B" w:rsidRPr="00B05E6F" w:rsidRDefault="0000702B" w:rsidP="00475B82">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1D450C">
        <w:rPr>
          <w:rFonts w:ascii="Book Antiqua" w:hAnsi="Book Antiqua"/>
          <w:b/>
          <w:sz w:val="52"/>
          <w:lang w:val="es-PR"/>
        </w:rPr>
        <w:t>957</w:t>
      </w:r>
    </w:p>
    <w:p w14:paraId="0A885B68" w14:textId="3BB591F9" w:rsidR="0000702B" w:rsidRPr="00B05E6F" w:rsidRDefault="001D450C" w:rsidP="00475B82">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EE05AF">
        <w:rPr>
          <w:rFonts w:ascii="Book Antiqua" w:hAnsi="Book Antiqua"/>
          <w:lang w:val="es-PR"/>
        </w:rPr>
        <w:t>enero</w:t>
      </w:r>
      <w:r w:rsidR="0000702B" w:rsidRPr="00B05E6F">
        <w:rPr>
          <w:rFonts w:ascii="Book Antiqua" w:hAnsi="Book Antiqua"/>
          <w:lang w:val="es-PR"/>
        </w:rPr>
        <w:t xml:space="preserve"> de 202</w:t>
      </w:r>
      <w:r w:rsidR="00EE05AF">
        <w:rPr>
          <w:rFonts w:ascii="Book Antiqua" w:hAnsi="Book Antiqua"/>
          <w:lang w:val="es-PR"/>
        </w:rPr>
        <w:t>6</w:t>
      </w:r>
    </w:p>
    <w:p w14:paraId="2C27582D" w14:textId="504DF1A2" w:rsidR="0000702B" w:rsidRPr="00E8405E" w:rsidRDefault="0000702B" w:rsidP="00475B82">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2777EF59" w:rsidR="00A202B7" w:rsidRPr="00B05E6F" w:rsidRDefault="0000702B" w:rsidP="00475B82">
      <w:pPr>
        <w:spacing w:line="360" w:lineRule="auto"/>
        <w:jc w:val="center"/>
        <w:rPr>
          <w:rFonts w:ascii="Book Antiqua" w:hAnsi="Book Antiqua"/>
          <w:i/>
          <w:iCs/>
          <w:szCs w:val="24"/>
          <w:lang w:val="es-PR"/>
        </w:rPr>
      </w:pPr>
      <w:r w:rsidRPr="00B05E6F">
        <w:rPr>
          <w:rFonts w:ascii="Book Antiqua" w:hAnsi="Book Antiqua"/>
          <w:i/>
          <w:lang w:val="es-PR"/>
        </w:rPr>
        <w:t>Referido a</w:t>
      </w:r>
      <w:r w:rsidR="00475B82">
        <w:rPr>
          <w:rFonts w:ascii="Book Antiqua" w:hAnsi="Book Antiqua"/>
          <w:i/>
          <w:lang w:val="es-PR"/>
        </w:rPr>
        <w:t xml:space="preserve"> la Comisión de Asuntos Municipales</w:t>
      </w:r>
    </w:p>
    <w:p w14:paraId="729606B8" w14:textId="0278AF95" w:rsidR="00A202B7" w:rsidRPr="00B05E6F" w:rsidRDefault="00A202B7" w:rsidP="00915ED5">
      <w:pPr>
        <w:spacing w:line="360" w:lineRule="auto"/>
        <w:jc w:val="both"/>
        <w:rPr>
          <w:rFonts w:ascii="Book Antiqua" w:hAnsi="Book Antiqua"/>
          <w:i/>
          <w:iCs/>
          <w:sz w:val="4"/>
          <w:szCs w:val="4"/>
          <w:lang w:val="es-PR"/>
        </w:rPr>
      </w:pPr>
    </w:p>
    <w:p w14:paraId="008CA567" w14:textId="38ED8C83"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744E98DD" w14:textId="77777777" w:rsidR="00062C15" w:rsidRPr="009D02DB" w:rsidRDefault="00062C15" w:rsidP="00475B82">
      <w:pPr>
        <w:pStyle w:val="NormalWeb"/>
        <w:ind w:left="540" w:hanging="540"/>
        <w:jc w:val="both"/>
        <w:rPr>
          <w:rFonts w:ascii="Book Antiqua" w:hAnsi="Book Antiqua"/>
          <w:lang w:val="es-PR"/>
        </w:rPr>
      </w:pPr>
      <w:r w:rsidRPr="009D02DB">
        <w:rPr>
          <w:rFonts w:ascii="Book Antiqua" w:hAnsi="Book Antiqua"/>
          <w:lang w:val="es-PR"/>
        </w:rPr>
        <w:t>Para enmendar el Artículo 4.005 de la Ley Núm. 107-2020, según enmendada, conocida como el “Código Municipal de Puerto Rico”, a los fines de establecer como mandatorio para todos los municipios la creación de un Banco de Tierra Comunitario (Community Land Bank) mediante ordenanza municipal, con el propósito de atender de manera uniforme y proactiva el problema de estorbos públicos derivados de propiedades abandonadas, vacantes o en ruinas; disponer un plazo razonable para su implementación; y para otros fines relacionados.</w:t>
      </w:r>
    </w:p>
    <w:p w14:paraId="74B3A20F" w14:textId="65877C58" w:rsidR="002639FB" w:rsidRPr="00B05E6F" w:rsidRDefault="002639FB" w:rsidP="00915ED5">
      <w:pPr>
        <w:jc w:val="both"/>
        <w:rPr>
          <w:rFonts w:ascii="Book Antiqua" w:hAnsi="Book Antiqua"/>
          <w:b/>
          <w:bCs/>
          <w:lang w:val="es-PR"/>
        </w:rPr>
      </w:pPr>
    </w:p>
    <w:p w14:paraId="704C8A72" w14:textId="0E30798C"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B05E6F" w:rsidRDefault="0025618A" w:rsidP="00915ED5">
      <w:pPr>
        <w:jc w:val="both"/>
        <w:rPr>
          <w:rFonts w:ascii="Book Antiqua" w:hAnsi="Book Antiqua"/>
          <w:lang w:val="es-PR"/>
        </w:rPr>
      </w:pPr>
    </w:p>
    <w:p w14:paraId="6DCCBE44" w14:textId="77777777" w:rsidR="00123044" w:rsidRDefault="007428E0" w:rsidP="00123044">
      <w:pPr>
        <w:pStyle w:val="NormalWeb"/>
        <w:spacing w:line="360" w:lineRule="auto"/>
        <w:ind w:firstLine="720"/>
        <w:jc w:val="both"/>
        <w:rPr>
          <w:rFonts w:ascii="Book Antiqua" w:hAnsi="Book Antiqua"/>
          <w:lang w:val="es-PR"/>
        </w:rPr>
      </w:pPr>
      <w:r w:rsidRPr="00123044">
        <w:rPr>
          <w:rFonts w:ascii="Book Antiqua" w:hAnsi="Book Antiqua"/>
          <w:lang w:val="es-PR"/>
        </w:rPr>
        <w:t xml:space="preserve">La Ley Núm. 107-2020, según enmendada, conocida como el “Código Municipal de Puerto Rico”, representa un avance significativo en la autonomía municipal al integrar y actualizar las disposiciones que rigen el funcionamiento de los 78 municipios. En su Artículo 4.005, se autoriza a los municipios, de manera voluntaria y mediante ordenanza, a crear Bancos de Tierra Comunitarios (Community Land Banks o CLB), entidades corporativas sin fines de lucro destinadas a adquirir, rehabilitar y retornar a uso productivo propiedades abandonadas, vacantes o en ruinas. </w:t>
      </w:r>
    </w:p>
    <w:p w14:paraId="700DC76E" w14:textId="621C2BE4" w:rsidR="007428E0" w:rsidRPr="00123044" w:rsidRDefault="007428E0" w:rsidP="00475B82">
      <w:pPr>
        <w:pStyle w:val="NormalWeb"/>
        <w:spacing w:before="120" w:after="120" w:line="360" w:lineRule="auto"/>
        <w:ind w:firstLine="720"/>
        <w:jc w:val="both"/>
        <w:rPr>
          <w:rFonts w:ascii="Book Antiqua" w:hAnsi="Book Antiqua"/>
          <w:lang w:val="es-PR"/>
        </w:rPr>
      </w:pPr>
      <w:r w:rsidRPr="00123044">
        <w:rPr>
          <w:rFonts w:ascii="Book Antiqua" w:hAnsi="Book Antiqua"/>
          <w:lang w:val="es-PR"/>
        </w:rPr>
        <w:t xml:space="preserve">Estos bancos constituyen herramientas efectivas para combatir el deterioro urbano, aumentar la oferta de viviendas asequibles, generar espacios verdes y públicos, </w:t>
      </w:r>
      <w:r w:rsidRPr="00123044">
        <w:rPr>
          <w:rFonts w:ascii="Book Antiqua" w:hAnsi="Book Antiqua"/>
          <w:lang w:val="es-PR"/>
        </w:rPr>
        <w:lastRenderedPageBreak/>
        <w:t>restaurar propiedades al rol contributivo fiscal y promover el desarrollo económico, social y cultural en las comunidades.</w:t>
      </w:r>
    </w:p>
    <w:p w14:paraId="01FF6E92" w14:textId="77777777" w:rsidR="00B20463" w:rsidRPr="00123044" w:rsidRDefault="00B20463" w:rsidP="00475B82">
      <w:pPr>
        <w:pStyle w:val="NormalWeb"/>
        <w:spacing w:before="120" w:after="120" w:line="360" w:lineRule="auto"/>
        <w:ind w:firstLine="720"/>
        <w:jc w:val="both"/>
        <w:rPr>
          <w:rFonts w:ascii="Book Antiqua" w:hAnsi="Book Antiqua"/>
          <w:lang w:val="es-PR"/>
        </w:rPr>
      </w:pPr>
      <w:r w:rsidRPr="00123044">
        <w:rPr>
          <w:rFonts w:ascii="Book Antiqua" w:hAnsi="Book Antiqua"/>
          <w:lang w:val="es-PR"/>
        </w:rPr>
        <w:t>No obstante, la naturaleza voluntaria de esta disposición ha resultado en una implementación desigual e insuficiente en todo el territorio de Puerto Rico. Muchos municipios no han ejercido esta facultad, lo que perpetúa el problema crónico de los estorbos públicos: estructuras ruinosas que representan riesgos para la salud pública (proliferación de vectores, acumulación de desperdicios), la seguridad ciudadana (refugios para actividades delictivas) y el medio ambiente (contaminación visual y física). Estas propiedades abandonadas generan pérdida de ingresos fiscales por falta de contribución sobre la propiedad, depreciación de valores inmobiliarios en áreas adyacentes y carga adicional en los recursos municipales para demoliciones reactivas o intervenciones de emergencia.</w:t>
      </w:r>
    </w:p>
    <w:p w14:paraId="3F419588" w14:textId="1CFBE7F9" w:rsidR="00B20463" w:rsidRPr="00123044" w:rsidRDefault="00B20463" w:rsidP="00475B82">
      <w:pPr>
        <w:pStyle w:val="NormalWeb"/>
        <w:spacing w:before="120" w:after="120" w:line="360" w:lineRule="auto"/>
        <w:ind w:firstLine="720"/>
        <w:jc w:val="both"/>
        <w:rPr>
          <w:rFonts w:ascii="Book Antiqua" w:hAnsi="Book Antiqua"/>
          <w:lang w:val="es-PR"/>
        </w:rPr>
      </w:pPr>
      <w:r w:rsidRPr="00123044">
        <w:rPr>
          <w:rFonts w:ascii="Book Antiqua" w:hAnsi="Book Antiqua"/>
          <w:lang w:val="es-PR"/>
        </w:rPr>
        <w:t xml:space="preserve">La falta de uniformidad en el manejo de este problema vulnera principios constitucionales y estatutarios, como el deber del gobierno de proteger la salud, la seguridad y el bienestar general (Artículo II, Sección 19 de la Constitución del Estado Libre Asociado de Puerto Rico), así como los objetivos de planificación territorial establecidos en el Código. Además, contraviene estándares de buena gobernanza municipal, alineados con modelos exitosos en jurisdicciones continentales de Estados Unidos, donde los land banks obligatorios o incentivados han revitalizado comunidades afectadas por </w:t>
      </w:r>
      <w:r w:rsidR="004D4A2C">
        <w:rPr>
          <w:rFonts w:ascii="Book Antiqua" w:hAnsi="Book Antiqua"/>
          <w:lang w:val="es-PR"/>
        </w:rPr>
        <w:t>propiedades repose idas</w:t>
      </w:r>
      <w:r w:rsidRPr="00123044">
        <w:rPr>
          <w:rFonts w:ascii="Book Antiqua" w:hAnsi="Book Antiqua"/>
          <w:lang w:val="es-PR"/>
        </w:rPr>
        <w:t xml:space="preserve"> y abandono post-crisis económica.</w:t>
      </w:r>
    </w:p>
    <w:p w14:paraId="641E4BC1" w14:textId="55B7B0F5" w:rsidR="000C1694" w:rsidRPr="00123044" w:rsidRDefault="000C1694" w:rsidP="00475B82">
      <w:pPr>
        <w:pStyle w:val="NormalWeb"/>
        <w:spacing w:before="120" w:after="120" w:line="360" w:lineRule="auto"/>
        <w:ind w:firstLine="720"/>
        <w:jc w:val="both"/>
        <w:rPr>
          <w:rFonts w:ascii="Book Antiqua" w:hAnsi="Book Antiqua"/>
          <w:lang w:val="es-PR"/>
        </w:rPr>
      </w:pPr>
      <w:r w:rsidRPr="00123044">
        <w:rPr>
          <w:rFonts w:ascii="Book Antiqua" w:hAnsi="Book Antiqua"/>
          <w:lang w:val="es-PR"/>
        </w:rPr>
        <w:t xml:space="preserve">Hacer </w:t>
      </w:r>
      <w:r w:rsidR="00B27172">
        <w:rPr>
          <w:rStyle w:val="Strong"/>
          <w:rFonts w:ascii="Book Antiqua" w:hAnsi="Book Antiqua"/>
          <w:b w:val="0"/>
          <w:bCs w:val="0"/>
          <w:lang w:val="es-PR"/>
        </w:rPr>
        <w:t xml:space="preserve">compulsoria </w:t>
      </w:r>
      <w:r w:rsidRPr="00123044">
        <w:rPr>
          <w:rFonts w:ascii="Book Antiqua" w:hAnsi="Book Antiqua"/>
          <w:lang w:val="es-PR"/>
        </w:rPr>
        <w:t xml:space="preserve">la creación de estos Bancos de Tierra Comunitarios eliminará cualquier ápice de excusa para la inacción, asegurando una respuesta proactiva y uniforme en todos los municipios. Los CLB permiten adquisición eficiente de propiedades (por compra, donación, expropiación forzosa municipal o transferencia de entidades federales como HUD o FDIC), rehabilitación financiada mediante bonos, donativos y programas federales (como CDBG o Neighborhood Stabilization Program), y disposición prioritaria para fines comunitarios (vivienda asequible, espacios verdes o </w:t>
      </w:r>
      <w:r w:rsidRPr="00123044">
        <w:rPr>
          <w:rFonts w:ascii="Book Antiqua" w:hAnsi="Book Antiqua"/>
          <w:lang w:val="es-PR"/>
        </w:rPr>
        <w:lastRenderedPageBreak/>
        <w:t>desarrollo económico). Esta obligatoriedad no solo neutralizará el deterioro urbano, sino que generará beneficios fiscales al retornar propiedades al rol contributivo, reducirá costos reactivos en demoliciones y fomentará la participación comunitaria mediante consejos asesores.</w:t>
      </w:r>
    </w:p>
    <w:p w14:paraId="794D26BE" w14:textId="77777777" w:rsidR="000C1694" w:rsidRPr="00123044" w:rsidRDefault="000C1694" w:rsidP="00475B82">
      <w:pPr>
        <w:pStyle w:val="NormalWeb"/>
        <w:spacing w:before="120" w:after="120" w:line="360" w:lineRule="auto"/>
        <w:ind w:firstLine="720"/>
        <w:jc w:val="both"/>
        <w:rPr>
          <w:rFonts w:ascii="Book Antiqua" w:hAnsi="Book Antiqua"/>
          <w:lang w:val="es-PR"/>
        </w:rPr>
      </w:pPr>
      <w:r w:rsidRPr="00123044">
        <w:rPr>
          <w:rFonts w:ascii="Book Antiqua" w:hAnsi="Book Antiqua"/>
          <w:lang w:val="es-PR"/>
        </w:rPr>
        <w:t>Esta medida no impone una carga fiscal significativa, ya que los CLB operan como entidades sin fines de lucro con autonomía financiera, capitalizables mediante fondos municipales existentes, donativos privados, estatales o federales, y emisión de bonos no constitutivos de deuda municipal. La estructura de gobernanza (Junta directiva con representación municipal y comunitaria) utiliza recursos humanos ya disponibles, y los municipios pueden escalar operaciones según su capacidad.</w:t>
      </w:r>
    </w:p>
    <w:p w14:paraId="2D8AAA23" w14:textId="119AE608" w:rsidR="00373EDF" w:rsidRPr="00123044" w:rsidRDefault="0094269F" w:rsidP="00475B82">
      <w:pPr>
        <w:pStyle w:val="NormalWeb"/>
        <w:spacing w:before="120" w:after="120" w:line="360" w:lineRule="auto"/>
        <w:ind w:firstLine="720"/>
        <w:jc w:val="both"/>
        <w:rPr>
          <w:rFonts w:ascii="Book Antiqua" w:hAnsi="Book Antiqua"/>
          <w:lang w:val="es-PR"/>
        </w:rPr>
      </w:pPr>
      <w:r w:rsidRPr="00123044">
        <w:rPr>
          <w:rFonts w:ascii="Book Antiqua" w:hAnsi="Book Antiqua"/>
          <w:lang w:val="es-PR"/>
        </w:rPr>
        <w:t>Al tornar mandatoria esta herramienta, se fortalecerá la autonomía municipal responsable, se promoverá equidad territorial y se contribuirá a la recuperación socioeconómica de Puerto Rico, particularmente en áreas afectadas por despoblación, huracanes y crisis económicas recurrentes.</w:t>
      </w:r>
      <w:r w:rsidR="00B27172">
        <w:rPr>
          <w:rFonts w:ascii="Book Antiqua" w:hAnsi="Book Antiqua"/>
          <w:lang w:val="es-PR"/>
        </w:rPr>
        <w:t xml:space="preserve">  Es decir, al </w:t>
      </w:r>
      <w:r w:rsidR="002133ED" w:rsidRPr="00123044">
        <w:rPr>
          <w:rFonts w:ascii="Book Antiqua" w:hAnsi="Book Antiqua"/>
          <w:lang w:val="es-PR"/>
        </w:rPr>
        <w:t>implementar esta enmienda, se fortalecerá la rendición de cuentas, la eficiencia institucional y la protección integral del sistema educativo puertorriqueño, en beneficio de estudiantes, empleados y comunidades.</w:t>
      </w:r>
    </w:p>
    <w:p w14:paraId="412AEB4A" w14:textId="77777777" w:rsidR="00A37DBE" w:rsidRPr="00B05E6F" w:rsidRDefault="00A37DBE" w:rsidP="00915ED5">
      <w:pPr>
        <w:spacing w:line="480" w:lineRule="auto"/>
        <w:jc w:val="both"/>
        <w:rPr>
          <w:rFonts w:ascii="Book Antiqua" w:hAnsi="Book Antiqua"/>
          <w:b/>
          <w:bCs/>
          <w:iCs/>
          <w:szCs w:val="24"/>
          <w:lang w:val="es-PR"/>
        </w:rPr>
      </w:pPr>
      <w:r w:rsidRPr="00B05E6F">
        <w:rPr>
          <w:rFonts w:ascii="Book Antiqua" w:hAnsi="Book Antiqua"/>
          <w:b/>
          <w:bCs/>
          <w:iCs/>
          <w:szCs w:val="24"/>
          <w:lang w:val="es-PR"/>
        </w:rPr>
        <w:t>DECR</w:t>
      </w:r>
      <w:r w:rsidR="0025618A" w:rsidRPr="00B05E6F">
        <w:rPr>
          <w:rFonts w:ascii="Book Antiqua" w:hAnsi="Book Antiqua"/>
          <w:b/>
          <w:bCs/>
          <w:iCs/>
          <w:szCs w:val="24"/>
          <w:lang w:val="es-PR"/>
        </w:rPr>
        <w:t>É</w:t>
      </w:r>
      <w:r w:rsidRPr="00B05E6F">
        <w:rPr>
          <w:rFonts w:ascii="Book Antiqua" w:hAnsi="Book Antiqua"/>
          <w:b/>
          <w:bCs/>
          <w:iCs/>
          <w:szCs w:val="24"/>
          <w:lang w:val="es-PR"/>
        </w:rPr>
        <w:t>TASE POR LA ASAMBLEA LEGISLATIVA DE PUERTO RICO:</w:t>
      </w:r>
    </w:p>
    <w:p w14:paraId="26914EAD" w14:textId="77777777" w:rsidR="00A37DBE" w:rsidRPr="00B05E6F" w:rsidRDefault="00A37DBE" w:rsidP="00915ED5">
      <w:pPr>
        <w:spacing w:line="480" w:lineRule="auto"/>
        <w:jc w:val="both"/>
        <w:rPr>
          <w:rFonts w:ascii="Book Antiqua" w:hAnsi="Book Antiqua"/>
          <w:i/>
          <w:szCs w:val="24"/>
          <w:lang w:val="es-PR"/>
        </w:rPr>
        <w:sectPr w:rsidR="00A37DBE" w:rsidRPr="00B05E6F">
          <w:headerReference w:type="default" r:id="rId12"/>
          <w:type w:val="continuous"/>
          <w:pgSz w:w="12240" w:h="15840" w:code="1"/>
          <w:pgMar w:top="1440" w:right="1440" w:bottom="1440" w:left="1440" w:header="720" w:footer="720" w:gutter="0"/>
          <w:cols w:space="720"/>
          <w:titlePg/>
        </w:sectPr>
      </w:pPr>
    </w:p>
    <w:p w14:paraId="0287BBE9" w14:textId="7D5672AC" w:rsidR="00856D22" w:rsidRPr="00B15D97" w:rsidRDefault="0037333C" w:rsidP="00B15D97">
      <w:pPr>
        <w:pStyle w:val="NormalWeb"/>
        <w:spacing w:line="480" w:lineRule="auto"/>
        <w:ind w:firstLine="720"/>
        <w:jc w:val="both"/>
        <w:rPr>
          <w:rFonts w:ascii="Book Antiqua" w:hAnsi="Book Antiqua"/>
          <w:lang w:val="es-PR"/>
        </w:rPr>
      </w:pPr>
      <w:r w:rsidRPr="00BE74DD">
        <w:rPr>
          <w:rFonts w:ascii="Book Antiqua" w:hAnsi="Book Antiqua"/>
          <w:lang w:val="es-PR"/>
        </w:rPr>
        <w:t>Sección</w:t>
      </w:r>
      <w:r w:rsidR="000C6A13" w:rsidRPr="00BE74DD">
        <w:rPr>
          <w:rFonts w:ascii="Book Antiqua" w:hAnsi="Book Antiqua"/>
          <w:lang w:val="es-PR"/>
        </w:rPr>
        <w:t xml:space="preserve"> 1.</w:t>
      </w:r>
      <w:r w:rsidR="00475B82">
        <w:rPr>
          <w:rFonts w:ascii="Book Antiqua" w:hAnsi="Book Antiqua"/>
          <w:lang w:val="es-PR"/>
        </w:rPr>
        <w:t>-</w:t>
      </w:r>
      <w:r w:rsidR="000C6A13" w:rsidRPr="00BE74DD">
        <w:rPr>
          <w:rFonts w:ascii="Book Antiqua" w:hAnsi="Book Antiqua"/>
          <w:lang w:val="es-PR"/>
        </w:rPr>
        <w:t xml:space="preserve"> </w:t>
      </w:r>
      <w:r w:rsidR="00856D22" w:rsidRPr="00B15D97">
        <w:rPr>
          <w:rFonts w:ascii="Book Antiqua" w:hAnsi="Book Antiqua"/>
          <w:lang w:val="es-PR"/>
        </w:rPr>
        <w:t xml:space="preserve">Se enmienda el </w:t>
      </w:r>
      <w:r w:rsidR="00856D22" w:rsidRPr="00B15D97">
        <w:rPr>
          <w:rStyle w:val="Strong"/>
          <w:rFonts w:ascii="Book Antiqua" w:hAnsi="Book Antiqua"/>
          <w:b w:val="0"/>
          <w:bCs w:val="0"/>
          <w:lang w:val="es-PR"/>
        </w:rPr>
        <w:t>Artículo 4.005</w:t>
      </w:r>
      <w:r w:rsidR="00856D22" w:rsidRPr="00B15D97">
        <w:rPr>
          <w:rFonts w:ascii="Book Antiqua" w:hAnsi="Book Antiqua"/>
          <w:lang w:val="es-PR"/>
        </w:rPr>
        <w:t xml:space="preserve"> de la Ley Núm. 107-2020, según enmendada:</w:t>
      </w:r>
    </w:p>
    <w:p w14:paraId="2C40870D" w14:textId="77777777" w:rsidR="00856D22" w:rsidRPr="00B15D97" w:rsidRDefault="00856D22" w:rsidP="00B15D97">
      <w:pPr>
        <w:pStyle w:val="NormalWeb"/>
        <w:spacing w:line="480" w:lineRule="auto"/>
        <w:ind w:firstLine="720"/>
        <w:jc w:val="both"/>
        <w:rPr>
          <w:rFonts w:ascii="Book Antiqua" w:hAnsi="Book Antiqua"/>
          <w:lang w:val="es-PR"/>
        </w:rPr>
      </w:pPr>
      <w:r w:rsidRPr="00B15D97">
        <w:rPr>
          <w:rFonts w:ascii="Book Antiqua" w:hAnsi="Book Antiqua"/>
          <w:lang w:val="es-PR"/>
        </w:rPr>
        <w:t>“Artículo 4.005.- Bancos de Tierra Comunitarios (Community Land Banks).</w:t>
      </w:r>
    </w:p>
    <w:p w14:paraId="4289DA69" w14:textId="6FDA3B04" w:rsidR="00856D22" w:rsidRPr="00B15D97" w:rsidRDefault="00D4187A" w:rsidP="00B15D97">
      <w:pPr>
        <w:pStyle w:val="NormalWeb"/>
        <w:spacing w:line="480" w:lineRule="auto"/>
        <w:ind w:firstLine="720"/>
        <w:jc w:val="both"/>
        <w:rPr>
          <w:rFonts w:ascii="Book Antiqua" w:hAnsi="Book Antiqua"/>
          <w:lang w:val="es-PR"/>
        </w:rPr>
      </w:pPr>
      <w:r w:rsidRPr="007A27D5">
        <w:rPr>
          <w:rFonts w:ascii="Book Antiqua" w:hAnsi="Book Antiqua"/>
          <w:b/>
          <w:bCs/>
          <w:lang w:val="es-PR"/>
        </w:rPr>
        <w:t>[Se faculta a los municipios, que voluntariamente así lo decidan, a crear</w:t>
      </w:r>
      <w:r w:rsidR="00881EB1" w:rsidRPr="007A27D5">
        <w:rPr>
          <w:rFonts w:ascii="Book Antiqua" w:hAnsi="Book Antiqua"/>
          <w:b/>
          <w:bCs/>
          <w:lang w:val="es-PR"/>
        </w:rPr>
        <w:t>]</w:t>
      </w:r>
      <w:r w:rsidR="00881EB1">
        <w:rPr>
          <w:rFonts w:ascii="Book Antiqua" w:hAnsi="Book Antiqua"/>
          <w:b/>
          <w:bCs/>
          <w:lang w:val="es-PR"/>
        </w:rPr>
        <w:t xml:space="preserve"> </w:t>
      </w:r>
      <w:r w:rsidR="00C86565" w:rsidRPr="00881EB1">
        <w:rPr>
          <w:rStyle w:val="Strong"/>
          <w:rFonts w:ascii="Book Antiqua" w:hAnsi="Book Antiqua"/>
          <w:b w:val="0"/>
          <w:bCs w:val="0"/>
          <w:i/>
          <w:iCs/>
          <w:lang w:val="es-PR"/>
        </w:rPr>
        <w:t>Todo</w:t>
      </w:r>
      <w:r w:rsidR="00C86565" w:rsidRPr="00C86565">
        <w:rPr>
          <w:rStyle w:val="Strong"/>
          <w:rFonts w:ascii="Book Antiqua" w:hAnsi="Book Antiqua"/>
          <w:b w:val="0"/>
          <w:bCs w:val="0"/>
          <w:i/>
          <w:iCs/>
          <w:lang w:val="es-PR"/>
        </w:rPr>
        <w:t xml:space="preserve"> municipio deberá crear</w:t>
      </w:r>
      <w:r w:rsidR="00C86565" w:rsidRPr="00B15D97">
        <w:rPr>
          <w:rFonts w:ascii="Book Antiqua" w:hAnsi="Book Antiqua"/>
          <w:lang w:val="es-PR"/>
        </w:rPr>
        <w:t xml:space="preserve"> </w:t>
      </w:r>
      <w:r w:rsidR="00856D22" w:rsidRPr="00B15D97">
        <w:rPr>
          <w:rFonts w:ascii="Book Antiqua" w:hAnsi="Book Antiqua"/>
          <w:lang w:val="es-PR"/>
        </w:rPr>
        <w:t xml:space="preserve">mediante Ordenanza, una entidad corporativa sin fines de lucro, que se conocerá como </w:t>
      </w:r>
      <w:r w:rsidR="00856D22" w:rsidRPr="00B15D97">
        <w:rPr>
          <w:rStyle w:val="Emphasis"/>
          <w:rFonts w:ascii="Book Antiqua" w:hAnsi="Book Antiqua"/>
          <w:lang w:val="es-PR"/>
        </w:rPr>
        <w:t>Community Land Bank</w:t>
      </w:r>
      <w:r w:rsidR="00856D22" w:rsidRPr="00B15D97">
        <w:rPr>
          <w:rFonts w:ascii="Book Antiqua" w:hAnsi="Book Antiqua"/>
          <w:lang w:val="es-PR"/>
        </w:rPr>
        <w:t xml:space="preserve"> (CLB), de conformidad con la Ley 164-2009, según enmendada, conocida como “Ley General de Corporaciones”, o sus sucesoras.</w:t>
      </w:r>
    </w:p>
    <w:p w14:paraId="3D8CD313" w14:textId="1386F822" w:rsidR="00856D22" w:rsidRPr="00B15D97" w:rsidRDefault="00856D22" w:rsidP="005D25D8">
      <w:pPr>
        <w:pStyle w:val="NormalWeb"/>
        <w:spacing w:line="480" w:lineRule="auto"/>
        <w:ind w:firstLine="720"/>
        <w:jc w:val="both"/>
        <w:rPr>
          <w:rFonts w:ascii="Book Antiqua" w:hAnsi="Book Antiqua"/>
          <w:lang w:val="es-PR"/>
        </w:rPr>
      </w:pPr>
      <w:r w:rsidRPr="00B15D97">
        <w:rPr>
          <w:rFonts w:ascii="Book Antiqua" w:hAnsi="Book Antiqua"/>
          <w:lang w:val="es-PR"/>
        </w:rPr>
        <w:lastRenderedPageBreak/>
        <w:t xml:space="preserve">Los CLB </w:t>
      </w:r>
      <w:r w:rsidR="007A27D5" w:rsidRPr="007A27D5">
        <w:rPr>
          <w:rFonts w:ascii="Book Antiqua" w:hAnsi="Book Antiqua"/>
          <w:b/>
          <w:bCs/>
          <w:lang w:val="es-PR"/>
        </w:rPr>
        <w:t>[</w:t>
      </w:r>
      <w:r w:rsidRPr="007A27D5">
        <w:rPr>
          <w:rFonts w:ascii="Book Antiqua" w:hAnsi="Book Antiqua"/>
          <w:b/>
          <w:bCs/>
          <w:lang w:val="es-PR"/>
        </w:rPr>
        <w:t>podrán ser</w:t>
      </w:r>
      <w:r w:rsidR="007A27D5" w:rsidRPr="007A27D5">
        <w:rPr>
          <w:rFonts w:ascii="Book Antiqua" w:hAnsi="Book Antiqua"/>
          <w:b/>
          <w:bCs/>
          <w:lang w:val="es-PR"/>
        </w:rPr>
        <w:t>]</w:t>
      </w:r>
      <w:r w:rsidRPr="007A27D5">
        <w:rPr>
          <w:rFonts w:ascii="Book Antiqua" w:hAnsi="Book Antiqua"/>
          <w:lang w:val="es-PR"/>
        </w:rPr>
        <w:t xml:space="preserve"> </w:t>
      </w:r>
      <w:r w:rsidR="005D25D8">
        <w:rPr>
          <w:rFonts w:ascii="Book Antiqua" w:hAnsi="Book Antiqua"/>
          <w:lang w:val="es-PR"/>
        </w:rPr>
        <w:t xml:space="preserve"> </w:t>
      </w:r>
      <w:r w:rsidR="005D25D8">
        <w:rPr>
          <w:rFonts w:ascii="Book Antiqua" w:hAnsi="Book Antiqua"/>
          <w:i/>
          <w:iCs/>
          <w:lang w:val="es-PR"/>
        </w:rPr>
        <w:t xml:space="preserve">serán </w:t>
      </w:r>
      <w:r w:rsidR="005D25D8">
        <w:rPr>
          <w:rFonts w:ascii="Book Antiqua" w:hAnsi="Book Antiqua"/>
          <w:lang w:val="es-PR"/>
        </w:rPr>
        <w:t>c</w:t>
      </w:r>
      <w:r w:rsidRPr="00B15D97">
        <w:rPr>
          <w:rFonts w:ascii="Book Antiqua" w:hAnsi="Book Antiqua"/>
          <w:lang w:val="es-PR"/>
        </w:rPr>
        <w:t>reados por los municipios con el fin de adquirir propiedades abandonadas, vacantes o en ruinas para rehabilitarlas y así retornarlas a un uso productivo. El CLB tendrá como principios primarios: regresar las propiedades a un estado contributivo productivo para el beneficio de los entes gubernamentales de recaudación (tax coffers); adelantar las causas de las comunidades en la creación de más espacios verdes o espacios públicos de uso común; y aumentar la existencia local de viviendas asequibles (affordable homes) y el desarrollo de viviendas para personas de edad avanzada o egresadas.</w:t>
      </w:r>
    </w:p>
    <w:p w14:paraId="1CD81628" w14:textId="77777777" w:rsidR="00CA3D07" w:rsidRPr="00B15D97" w:rsidRDefault="00CA3D07" w:rsidP="006D3AA8">
      <w:pPr>
        <w:pStyle w:val="NormalWeb"/>
        <w:spacing w:line="480" w:lineRule="auto"/>
        <w:ind w:firstLine="720"/>
        <w:jc w:val="both"/>
        <w:rPr>
          <w:rFonts w:ascii="Book Antiqua" w:hAnsi="Book Antiqua"/>
          <w:lang w:val="es-PR"/>
        </w:rPr>
      </w:pPr>
      <w:r w:rsidRPr="00B15D97">
        <w:rPr>
          <w:rFonts w:ascii="Book Antiqua" w:hAnsi="Book Antiqua"/>
          <w:lang w:val="es-PR"/>
        </w:rPr>
        <w:t>El CLB será un instrumento de desarrollo financiero, económico, social y cultural para neutralizar y detener el deterioro urbano en los municipios.</w:t>
      </w:r>
    </w:p>
    <w:p w14:paraId="28D6AEBC" w14:textId="77777777" w:rsidR="00CA3D07" w:rsidRPr="00B15D97" w:rsidRDefault="00CA3D07" w:rsidP="006D3AA8">
      <w:pPr>
        <w:pStyle w:val="NormalWeb"/>
        <w:spacing w:line="480" w:lineRule="auto"/>
        <w:ind w:firstLine="720"/>
        <w:jc w:val="both"/>
        <w:rPr>
          <w:rFonts w:ascii="Book Antiqua" w:hAnsi="Book Antiqua"/>
          <w:lang w:val="es-PR"/>
        </w:rPr>
      </w:pPr>
      <w:r w:rsidRPr="00B15D97">
        <w:rPr>
          <w:rFonts w:ascii="Book Antiqua" w:hAnsi="Book Antiqua"/>
          <w:lang w:val="es-PR"/>
        </w:rPr>
        <w:t>La dirección del CLB la ejercerá la Junta de la Corporación, la cual tendrá los siguientes requisitos, deberes, funciones y responsabilidades:</w:t>
      </w:r>
    </w:p>
    <w:p w14:paraId="4EFA3099" w14:textId="77777777" w:rsidR="00CA3D07" w:rsidRPr="007A27D5" w:rsidRDefault="00CA3D07" w:rsidP="00EE05AF">
      <w:pPr>
        <w:pStyle w:val="NormalWeb"/>
        <w:spacing w:line="480" w:lineRule="auto"/>
        <w:ind w:firstLine="720"/>
        <w:jc w:val="both"/>
        <w:rPr>
          <w:rFonts w:ascii="Book Antiqua" w:hAnsi="Book Antiqua"/>
          <w:b/>
          <w:bCs/>
          <w:lang w:val="es-PR"/>
        </w:rPr>
      </w:pPr>
      <w:r w:rsidRPr="007A27D5">
        <w:rPr>
          <w:rFonts w:ascii="Book Antiqua" w:hAnsi="Book Antiqua"/>
          <w:b/>
          <w:bCs/>
          <w:lang w:val="es-PR"/>
        </w:rPr>
        <w:t>[Se mantiene íntegro el resto del artículo, incluyendo todos los incisos (a) al (j), la lista de poderes (i) al (xxxii), y las disposiciones finales sobre contratos, bonos, capitalización, etc.]</w:t>
      </w:r>
    </w:p>
    <w:p w14:paraId="6F27304D" w14:textId="77777777" w:rsidR="00CA3D07" w:rsidRPr="006D3AA8" w:rsidRDefault="00CA3D07" w:rsidP="006D3AA8">
      <w:pPr>
        <w:pStyle w:val="NormalWeb"/>
        <w:spacing w:line="480" w:lineRule="auto"/>
        <w:ind w:firstLine="720"/>
        <w:jc w:val="both"/>
        <w:rPr>
          <w:rFonts w:ascii="Book Antiqua" w:hAnsi="Book Antiqua"/>
          <w:b/>
          <w:bCs/>
          <w:i/>
          <w:iCs/>
          <w:lang w:val="es-PR"/>
        </w:rPr>
      </w:pPr>
      <w:r w:rsidRPr="006D3AA8">
        <w:rPr>
          <w:rStyle w:val="Strong"/>
          <w:rFonts w:ascii="Book Antiqua" w:hAnsi="Book Antiqua"/>
          <w:b w:val="0"/>
          <w:bCs w:val="0"/>
          <w:i/>
          <w:iCs/>
          <w:lang w:val="es-PR"/>
        </w:rPr>
        <w:t>Los municipios dispondrán de un plazo de dos (2) años a partir de la vigencia de esta enmienda para aprobar la ordenanza correspondiente y constituir el Banco de Tierra Comunitario. Transcurrido dicho plazo sin cumplimiento, el Departamento de la Vivienda o la entidad sucesora podrá intervenir para asistir en su establecimiento, sin perjuicio de las responsabilidades municipales.</w:t>
      </w:r>
      <w:r w:rsidRPr="006D3AA8">
        <w:rPr>
          <w:rFonts w:ascii="Book Antiqua" w:hAnsi="Book Antiqua"/>
          <w:b/>
          <w:bCs/>
          <w:i/>
          <w:iCs/>
          <w:lang w:val="es-PR"/>
        </w:rPr>
        <w:t>”</w:t>
      </w:r>
    </w:p>
    <w:p w14:paraId="70BA6A8A" w14:textId="77777777" w:rsidR="00221414" w:rsidRPr="00B15D97" w:rsidRDefault="00AB572C" w:rsidP="00317AF5">
      <w:pPr>
        <w:pStyle w:val="NormalWeb"/>
        <w:spacing w:line="480" w:lineRule="auto"/>
        <w:ind w:firstLine="720"/>
        <w:jc w:val="both"/>
        <w:rPr>
          <w:rFonts w:ascii="Book Antiqua" w:hAnsi="Book Antiqua"/>
          <w:lang w:val="es-PR"/>
        </w:rPr>
      </w:pPr>
      <w:r w:rsidRPr="00B15D97">
        <w:rPr>
          <w:rStyle w:val="Strong"/>
          <w:rFonts w:ascii="Book Antiqua" w:hAnsi="Book Antiqua"/>
          <w:b w:val="0"/>
          <w:bCs w:val="0"/>
          <w:lang w:val="es-PR"/>
        </w:rPr>
        <w:t>Sección</w:t>
      </w:r>
      <w:r w:rsidR="00956587" w:rsidRPr="00B15D97">
        <w:rPr>
          <w:rStyle w:val="Strong"/>
          <w:rFonts w:ascii="Book Antiqua" w:hAnsi="Book Antiqua"/>
          <w:b w:val="0"/>
          <w:bCs w:val="0"/>
          <w:lang w:val="es-PR"/>
        </w:rPr>
        <w:t xml:space="preserve"> </w:t>
      </w:r>
      <w:r w:rsidR="00B44802" w:rsidRPr="00B15D97">
        <w:rPr>
          <w:rStyle w:val="Strong"/>
          <w:rFonts w:ascii="Book Antiqua" w:hAnsi="Book Antiqua"/>
          <w:b w:val="0"/>
          <w:bCs w:val="0"/>
          <w:lang w:val="es-PR"/>
        </w:rPr>
        <w:t>2</w:t>
      </w:r>
      <w:r w:rsidR="00956587" w:rsidRPr="00B15D97">
        <w:rPr>
          <w:rStyle w:val="Strong"/>
          <w:rFonts w:ascii="Book Antiqua" w:hAnsi="Book Antiqua"/>
          <w:b w:val="0"/>
          <w:bCs w:val="0"/>
          <w:lang w:val="es-PR"/>
        </w:rPr>
        <w:t>.</w:t>
      </w:r>
      <w:r w:rsidR="00956587" w:rsidRPr="00B15D97">
        <w:rPr>
          <w:rFonts w:ascii="Book Antiqua" w:hAnsi="Book Antiqua"/>
          <w:lang w:val="es-PR"/>
        </w:rPr>
        <w:t xml:space="preserve"> </w:t>
      </w:r>
      <w:r w:rsidR="00221414" w:rsidRPr="00B15D97">
        <w:rPr>
          <w:rFonts w:ascii="Book Antiqua" w:hAnsi="Book Antiqua"/>
          <w:lang w:val="es-PR"/>
        </w:rPr>
        <w:t>Los municipios adoptarán las ordenanzas y reglamentos necesarios para implementar las disposiciones de esta Ley dentro del plazo establecido en la Sección 1.</w:t>
      </w:r>
    </w:p>
    <w:p w14:paraId="3FFD889E" w14:textId="75506DFF" w:rsidR="00C3679E" w:rsidRPr="00B15D97" w:rsidRDefault="002D6A1F" w:rsidP="00123044">
      <w:pPr>
        <w:pStyle w:val="NormalWeb"/>
        <w:spacing w:line="480" w:lineRule="auto"/>
        <w:ind w:firstLine="720"/>
        <w:jc w:val="both"/>
        <w:rPr>
          <w:rFonts w:ascii="Book Antiqua" w:hAnsi="Book Antiqua"/>
          <w:lang w:val="es-PR"/>
        </w:rPr>
      </w:pPr>
      <w:r w:rsidRPr="00B15D97">
        <w:rPr>
          <w:rFonts w:ascii="Book Antiqua" w:hAnsi="Book Antiqua"/>
          <w:lang w:val="es-PR"/>
        </w:rPr>
        <w:lastRenderedPageBreak/>
        <w:t>Sección</w:t>
      </w:r>
      <w:r w:rsidR="001F5E31" w:rsidRPr="00B15D97">
        <w:rPr>
          <w:rFonts w:ascii="Book Antiqua" w:hAnsi="Book Antiqua"/>
          <w:lang w:val="es-PR"/>
        </w:rPr>
        <w:t xml:space="preserve"> 3. </w:t>
      </w:r>
      <w:r w:rsidR="00C3679E" w:rsidRPr="00B15D97">
        <w:rPr>
          <w:rFonts w:ascii="Book Antiqua" w:hAnsi="Book Antiqua"/>
          <w:lang w:val="es-PR"/>
        </w:rPr>
        <w:t>Se declara que esta Ley no conlleva impacto fiscal adicional significativo para los municipios, toda vez que los Bancos de Tierra Comunitarios operan con autonomía financiera mediante fuentes no presupuestarias primarias y generan beneficios fiscales a mediano plazo.</w:t>
      </w:r>
    </w:p>
    <w:p w14:paraId="003701F8" w14:textId="1ACA81D2" w:rsidR="006C24FC" w:rsidRPr="00BE74DD" w:rsidRDefault="002D6A1F" w:rsidP="00BE74DD">
      <w:pPr>
        <w:pStyle w:val="NormalWeb"/>
        <w:spacing w:line="480" w:lineRule="auto"/>
        <w:ind w:firstLine="720"/>
        <w:jc w:val="both"/>
        <w:rPr>
          <w:rFonts w:ascii="Book Antiqua" w:hAnsi="Book Antiqua"/>
          <w:lang w:val="es-PR"/>
        </w:rPr>
      </w:pPr>
      <w:r w:rsidRPr="00BE74DD">
        <w:rPr>
          <w:rFonts w:ascii="Book Antiqua" w:hAnsi="Book Antiqua"/>
          <w:lang w:val="es-PR"/>
        </w:rPr>
        <w:t>Sección</w:t>
      </w:r>
      <w:r w:rsidR="008A7397" w:rsidRPr="00BE74DD">
        <w:rPr>
          <w:rFonts w:ascii="Book Antiqua" w:hAnsi="Book Antiqua"/>
          <w:lang w:val="es-PR"/>
        </w:rPr>
        <w:t xml:space="preserve"> 4. - </w:t>
      </w:r>
      <w:r w:rsidR="006C24FC" w:rsidRPr="00BE74DD">
        <w:rPr>
          <w:rFonts w:ascii="Book Antiqua" w:hAnsi="Book Antiqua"/>
          <w:lang w:val="es-PR"/>
        </w:rPr>
        <w:t xml:space="preserve">Clausula de Separabilidad. </w:t>
      </w:r>
    </w:p>
    <w:p w14:paraId="311527A3" w14:textId="4469B261" w:rsidR="001369AB" w:rsidRPr="00BE74DD" w:rsidRDefault="006C24FC" w:rsidP="00BE74DD">
      <w:pPr>
        <w:pStyle w:val="NormalWeb"/>
        <w:spacing w:line="480" w:lineRule="auto"/>
        <w:ind w:firstLine="720"/>
        <w:jc w:val="both"/>
        <w:rPr>
          <w:rFonts w:ascii="Book Antiqua" w:hAnsi="Book Antiqua"/>
          <w:lang w:val="es-PR"/>
        </w:rPr>
      </w:pPr>
      <w:r w:rsidRPr="00BE74DD">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406D960D" w14:textId="22D27CA1" w:rsidR="004440CB" w:rsidRPr="00BE74DD" w:rsidRDefault="00AB572C" w:rsidP="00BE74DD">
      <w:pPr>
        <w:spacing w:line="480" w:lineRule="auto"/>
        <w:ind w:firstLine="720"/>
        <w:jc w:val="both"/>
        <w:rPr>
          <w:rFonts w:ascii="Book Antiqua" w:hAnsi="Book Antiqua"/>
          <w:spacing w:val="-3"/>
          <w:szCs w:val="24"/>
          <w:lang w:val="es-PR"/>
        </w:rPr>
      </w:pPr>
      <w:r w:rsidRPr="00BE74DD">
        <w:rPr>
          <w:rStyle w:val="Strong"/>
          <w:rFonts w:ascii="Book Antiqua" w:hAnsi="Book Antiqua"/>
          <w:b w:val="0"/>
          <w:bCs w:val="0"/>
          <w:lang w:val="es-PR"/>
        </w:rPr>
        <w:t>Sección</w:t>
      </w:r>
      <w:r w:rsidR="006C24FC" w:rsidRPr="00BE74DD">
        <w:rPr>
          <w:rStyle w:val="Strong"/>
          <w:rFonts w:ascii="Book Antiqua" w:hAnsi="Book Antiqua"/>
          <w:b w:val="0"/>
          <w:bCs w:val="0"/>
          <w:lang w:val="es-PR"/>
        </w:rPr>
        <w:t xml:space="preserve"> </w:t>
      </w:r>
      <w:r w:rsidR="008A7397" w:rsidRPr="00BE74DD">
        <w:rPr>
          <w:rStyle w:val="Strong"/>
          <w:rFonts w:ascii="Book Antiqua" w:hAnsi="Book Antiqua"/>
          <w:b w:val="0"/>
          <w:bCs w:val="0"/>
          <w:lang w:val="es-PR"/>
        </w:rPr>
        <w:t>5</w:t>
      </w:r>
      <w:r w:rsidR="002206E3" w:rsidRPr="00BE74DD">
        <w:rPr>
          <w:rFonts w:ascii="Book Antiqua" w:hAnsi="Book Antiqua"/>
          <w:b/>
          <w:bCs/>
          <w:spacing w:val="-3"/>
          <w:szCs w:val="24"/>
          <w:lang w:val="es-PR"/>
        </w:rPr>
        <w:t>.</w:t>
      </w:r>
      <w:r w:rsidR="002206E3" w:rsidRPr="00BE74DD">
        <w:rPr>
          <w:rFonts w:ascii="Book Antiqua" w:hAnsi="Book Antiqua"/>
          <w:spacing w:val="-3"/>
          <w:szCs w:val="24"/>
          <w:lang w:val="es-PR"/>
        </w:rPr>
        <w:t xml:space="preserve">- Esta Ley </w:t>
      </w:r>
      <w:r w:rsidR="002B6A73" w:rsidRPr="00BE74DD">
        <w:rPr>
          <w:rFonts w:ascii="Book Antiqua" w:hAnsi="Book Antiqua"/>
          <w:spacing w:val="-3"/>
          <w:szCs w:val="24"/>
          <w:lang w:val="es-PR"/>
        </w:rPr>
        <w:t xml:space="preserve">entrará en vigor </w:t>
      </w:r>
      <w:r w:rsidR="002206E3" w:rsidRPr="00BE74DD">
        <w:rPr>
          <w:rFonts w:ascii="Book Antiqua" w:hAnsi="Book Antiqua"/>
          <w:spacing w:val="-3"/>
          <w:szCs w:val="24"/>
          <w:lang w:val="es-PR"/>
        </w:rPr>
        <w:t>inmediatamente después de su aprobación.</w:t>
      </w:r>
    </w:p>
    <w:sectPr w:rsidR="004440CB" w:rsidRPr="00BE74DD"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D89B" w14:textId="77777777" w:rsidR="006716EA" w:rsidRDefault="006716EA">
      <w:r>
        <w:separator/>
      </w:r>
    </w:p>
  </w:endnote>
  <w:endnote w:type="continuationSeparator" w:id="0">
    <w:p w14:paraId="1746FCF7" w14:textId="77777777" w:rsidR="006716EA" w:rsidRDefault="00671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20616" w14:textId="77777777" w:rsidR="006716EA" w:rsidRDefault="006716EA">
      <w:r>
        <w:separator/>
      </w:r>
    </w:p>
  </w:footnote>
  <w:footnote w:type="continuationSeparator" w:id="0">
    <w:p w14:paraId="07B9D8AD" w14:textId="77777777" w:rsidR="006716EA" w:rsidRDefault="00671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0D74"/>
    <w:rsid w:val="0002397F"/>
    <w:rsid w:val="00025FD8"/>
    <w:rsid w:val="0002682C"/>
    <w:rsid w:val="00026FEA"/>
    <w:rsid w:val="00031EC6"/>
    <w:rsid w:val="00032717"/>
    <w:rsid w:val="000359C4"/>
    <w:rsid w:val="000445DE"/>
    <w:rsid w:val="00062686"/>
    <w:rsid w:val="00062C15"/>
    <w:rsid w:val="00063522"/>
    <w:rsid w:val="00070CD3"/>
    <w:rsid w:val="00070EC7"/>
    <w:rsid w:val="0007463C"/>
    <w:rsid w:val="00074AD5"/>
    <w:rsid w:val="000845DE"/>
    <w:rsid w:val="000852C9"/>
    <w:rsid w:val="00086E41"/>
    <w:rsid w:val="00091032"/>
    <w:rsid w:val="00092A91"/>
    <w:rsid w:val="0009309C"/>
    <w:rsid w:val="0009350A"/>
    <w:rsid w:val="000964AF"/>
    <w:rsid w:val="00096F44"/>
    <w:rsid w:val="000A0DF0"/>
    <w:rsid w:val="000A15BC"/>
    <w:rsid w:val="000A589B"/>
    <w:rsid w:val="000A5B23"/>
    <w:rsid w:val="000A6686"/>
    <w:rsid w:val="000C1292"/>
    <w:rsid w:val="000C1694"/>
    <w:rsid w:val="000C23BC"/>
    <w:rsid w:val="000C39C1"/>
    <w:rsid w:val="000C66D0"/>
    <w:rsid w:val="000C6A13"/>
    <w:rsid w:val="000D018D"/>
    <w:rsid w:val="000D076A"/>
    <w:rsid w:val="000D0BD6"/>
    <w:rsid w:val="000D2DD5"/>
    <w:rsid w:val="000D749B"/>
    <w:rsid w:val="000E19C2"/>
    <w:rsid w:val="000E2356"/>
    <w:rsid w:val="000E2A02"/>
    <w:rsid w:val="000E3604"/>
    <w:rsid w:val="000E420C"/>
    <w:rsid w:val="000F0B31"/>
    <w:rsid w:val="000F24EE"/>
    <w:rsid w:val="000F2E75"/>
    <w:rsid w:val="000F2ED7"/>
    <w:rsid w:val="00102B7A"/>
    <w:rsid w:val="00112211"/>
    <w:rsid w:val="00112295"/>
    <w:rsid w:val="00113633"/>
    <w:rsid w:val="001213CC"/>
    <w:rsid w:val="00123044"/>
    <w:rsid w:val="00123389"/>
    <w:rsid w:val="00125A6B"/>
    <w:rsid w:val="00130ACF"/>
    <w:rsid w:val="001335BB"/>
    <w:rsid w:val="001369AB"/>
    <w:rsid w:val="00137429"/>
    <w:rsid w:val="00142521"/>
    <w:rsid w:val="00145C76"/>
    <w:rsid w:val="00146882"/>
    <w:rsid w:val="00154CC2"/>
    <w:rsid w:val="00162FD8"/>
    <w:rsid w:val="001633B3"/>
    <w:rsid w:val="0016412B"/>
    <w:rsid w:val="001656C7"/>
    <w:rsid w:val="00167557"/>
    <w:rsid w:val="001714CA"/>
    <w:rsid w:val="0017507C"/>
    <w:rsid w:val="00181955"/>
    <w:rsid w:val="001840BC"/>
    <w:rsid w:val="00184389"/>
    <w:rsid w:val="00197549"/>
    <w:rsid w:val="001B031F"/>
    <w:rsid w:val="001B0A8A"/>
    <w:rsid w:val="001B2CCC"/>
    <w:rsid w:val="001B3EF2"/>
    <w:rsid w:val="001B7DFE"/>
    <w:rsid w:val="001C1E7B"/>
    <w:rsid w:val="001C29F0"/>
    <w:rsid w:val="001D133A"/>
    <w:rsid w:val="001D350F"/>
    <w:rsid w:val="001D450C"/>
    <w:rsid w:val="001E0121"/>
    <w:rsid w:val="001E443E"/>
    <w:rsid w:val="001E4777"/>
    <w:rsid w:val="001F47A9"/>
    <w:rsid w:val="001F5E31"/>
    <w:rsid w:val="00201EF2"/>
    <w:rsid w:val="002033D2"/>
    <w:rsid w:val="00204818"/>
    <w:rsid w:val="00204992"/>
    <w:rsid w:val="002064DA"/>
    <w:rsid w:val="00210134"/>
    <w:rsid w:val="00210857"/>
    <w:rsid w:val="00211D85"/>
    <w:rsid w:val="00212920"/>
    <w:rsid w:val="002133ED"/>
    <w:rsid w:val="00216293"/>
    <w:rsid w:val="00216FC4"/>
    <w:rsid w:val="002206E3"/>
    <w:rsid w:val="00221414"/>
    <w:rsid w:val="00222749"/>
    <w:rsid w:val="002258F2"/>
    <w:rsid w:val="00226CD6"/>
    <w:rsid w:val="00230D46"/>
    <w:rsid w:val="00234E2E"/>
    <w:rsid w:val="002370A7"/>
    <w:rsid w:val="00241E66"/>
    <w:rsid w:val="00251906"/>
    <w:rsid w:val="0025618A"/>
    <w:rsid w:val="0026049B"/>
    <w:rsid w:val="002605F2"/>
    <w:rsid w:val="00260857"/>
    <w:rsid w:val="002628AD"/>
    <w:rsid w:val="002639FB"/>
    <w:rsid w:val="00266239"/>
    <w:rsid w:val="00273A10"/>
    <w:rsid w:val="002802AC"/>
    <w:rsid w:val="002804E9"/>
    <w:rsid w:val="00280A19"/>
    <w:rsid w:val="00280E92"/>
    <w:rsid w:val="00281004"/>
    <w:rsid w:val="0028281B"/>
    <w:rsid w:val="002835B3"/>
    <w:rsid w:val="0028653A"/>
    <w:rsid w:val="00292E61"/>
    <w:rsid w:val="002A1743"/>
    <w:rsid w:val="002A2699"/>
    <w:rsid w:val="002A4198"/>
    <w:rsid w:val="002A5A59"/>
    <w:rsid w:val="002A678A"/>
    <w:rsid w:val="002A741A"/>
    <w:rsid w:val="002A7CC6"/>
    <w:rsid w:val="002B5BC5"/>
    <w:rsid w:val="002B6A73"/>
    <w:rsid w:val="002C569D"/>
    <w:rsid w:val="002D1629"/>
    <w:rsid w:val="002D2BB3"/>
    <w:rsid w:val="002D33F8"/>
    <w:rsid w:val="002D35E5"/>
    <w:rsid w:val="002D4AC8"/>
    <w:rsid w:val="002D6777"/>
    <w:rsid w:val="002D6A1F"/>
    <w:rsid w:val="002E0D13"/>
    <w:rsid w:val="002E32DF"/>
    <w:rsid w:val="002F0CE0"/>
    <w:rsid w:val="002F323E"/>
    <w:rsid w:val="002F3741"/>
    <w:rsid w:val="002F6B02"/>
    <w:rsid w:val="002F6B32"/>
    <w:rsid w:val="002F70CC"/>
    <w:rsid w:val="002F7EFF"/>
    <w:rsid w:val="00300932"/>
    <w:rsid w:val="003054D0"/>
    <w:rsid w:val="00307743"/>
    <w:rsid w:val="003130B4"/>
    <w:rsid w:val="003131B8"/>
    <w:rsid w:val="003138E5"/>
    <w:rsid w:val="003148FA"/>
    <w:rsid w:val="00317390"/>
    <w:rsid w:val="00317AF5"/>
    <w:rsid w:val="00321146"/>
    <w:rsid w:val="00330FAF"/>
    <w:rsid w:val="00333FD2"/>
    <w:rsid w:val="0033533D"/>
    <w:rsid w:val="00341E54"/>
    <w:rsid w:val="00341E9D"/>
    <w:rsid w:val="00344670"/>
    <w:rsid w:val="00344FD6"/>
    <w:rsid w:val="0034543D"/>
    <w:rsid w:val="0034678D"/>
    <w:rsid w:val="00346C7B"/>
    <w:rsid w:val="00354DC7"/>
    <w:rsid w:val="00355743"/>
    <w:rsid w:val="00355C73"/>
    <w:rsid w:val="0036184D"/>
    <w:rsid w:val="003636D6"/>
    <w:rsid w:val="0036618E"/>
    <w:rsid w:val="00367AE3"/>
    <w:rsid w:val="0037333C"/>
    <w:rsid w:val="00373EDF"/>
    <w:rsid w:val="00376391"/>
    <w:rsid w:val="00377079"/>
    <w:rsid w:val="00384D2A"/>
    <w:rsid w:val="003856BA"/>
    <w:rsid w:val="003A1631"/>
    <w:rsid w:val="003A1B97"/>
    <w:rsid w:val="003A29CB"/>
    <w:rsid w:val="003A3162"/>
    <w:rsid w:val="003A35F7"/>
    <w:rsid w:val="003A5D76"/>
    <w:rsid w:val="003A6FB2"/>
    <w:rsid w:val="003B5302"/>
    <w:rsid w:val="003C0CA3"/>
    <w:rsid w:val="003C1E33"/>
    <w:rsid w:val="003C27DB"/>
    <w:rsid w:val="003C7DE4"/>
    <w:rsid w:val="003D45E3"/>
    <w:rsid w:val="003E44FE"/>
    <w:rsid w:val="003F1E51"/>
    <w:rsid w:val="003F1EF2"/>
    <w:rsid w:val="003F2148"/>
    <w:rsid w:val="003F7667"/>
    <w:rsid w:val="00402A01"/>
    <w:rsid w:val="00402B6E"/>
    <w:rsid w:val="00407231"/>
    <w:rsid w:val="004117FC"/>
    <w:rsid w:val="0041514E"/>
    <w:rsid w:val="004168B0"/>
    <w:rsid w:val="00420D23"/>
    <w:rsid w:val="004216D0"/>
    <w:rsid w:val="00436E12"/>
    <w:rsid w:val="00443447"/>
    <w:rsid w:val="004440CB"/>
    <w:rsid w:val="00444622"/>
    <w:rsid w:val="004448B3"/>
    <w:rsid w:val="004531BE"/>
    <w:rsid w:val="00454063"/>
    <w:rsid w:val="00455257"/>
    <w:rsid w:val="00460D58"/>
    <w:rsid w:val="00470887"/>
    <w:rsid w:val="00470CC1"/>
    <w:rsid w:val="00471EE2"/>
    <w:rsid w:val="0047561F"/>
    <w:rsid w:val="00475B82"/>
    <w:rsid w:val="00476E3F"/>
    <w:rsid w:val="00477811"/>
    <w:rsid w:val="00482B16"/>
    <w:rsid w:val="004867B6"/>
    <w:rsid w:val="00487B48"/>
    <w:rsid w:val="00490BB4"/>
    <w:rsid w:val="00493FAB"/>
    <w:rsid w:val="004959A3"/>
    <w:rsid w:val="004969A9"/>
    <w:rsid w:val="00497809"/>
    <w:rsid w:val="004A1508"/>
    <w:rsid w:val="004B19C4"/>
    <w:rsid w:val="004B1B5B"/>
    <w:rsid w:val="004B2EDE"/>
    <w:rsid w:val="004B47E7"/>
    <w:rsid w:val="004B7800"/>
    <w:rsid w:val="004C7560"/>
    <w:rsid w:val="004C78BB"/>
    <w:rsid w:val="004D469B"/>
    <w:rsid w:val="004D4A2C"/>
    <w:rsid w:val="004D7889"/>
    <w:rsid w:val="004D7AD3"/>
    <w:rsid w:val="004E1F83"/>
    <w:rsid w:val="004E1FCC"/>
    <w:rsid w:val="004E6CA4"/>
    <w:rsid w:val="004F0411"/>
    <w:rsid w:val="004F0692"/>
    <w:rsid w:val="004F20BC"/>
    <w:rsid w:val="004F55C0"/>
    <w:rsid w:val="004F5601"/>
    <w:rsid w:val="00500C20"/>
    <w:rsid w:val="00502835"/>
    <w:rsid w:val="00503108"/>
    <w:rsid w:val="00514ED6"/>
    <w:rsid w:val="00524799"/>
    <w:rsid w:val="0052740C"/>
    <w:rsid w:val="00530C0A"/>
    <w:rsid w:val="0053702D"/>
    <w:rsid w:val="005370B8"/>
    <w:rsid w:val="005430BE"/>
    <w:rsid w:val="005451C7"/>
    <w:rsid w:val="00546038"/>
    <w:rsid w:val="00551999"/>
    <w:rsid w:val="005613C3"/>
    <w:rsid w:val="00561E4B"/>
    <w:rsid w:val="0057108C"/>
    <w:rsid w:val="005722DF"/>
    <w:rsid w:val="00577DC5"/>
    <w:rsid w:val="005837A7"/>
    <w:rsid w:val="00584EE7"/>
    <w:rsid w:val="0059022D"/>
    <w:rsid w:val="005A16E7"/>
    <w:rsid w:val="005A24EB"/>
    <w:rsid w:val="005A2735"/>
    <w:rsid w:val="005A2D37"/>
    <w:rsid w:val="005A56D2"/>
    <w:rsid w:val="005A67F9"/>
    <w:rsid w:val="005B0143"/>
    <w:rsid w:val="005B081F"/>
    <w:rsid w:val="005B3218"/>
    <w:rsid w:val="005C2578"/>
    <w:rsid w:val="005C58F6"/>
    <w:rsid w:val="005D25D8"/>
    <w:rsid w:val="005D69DF"/>
    <w:rsid w:val="005D73DB"/>
    <w:rsid w:val="005E0228"/>
    <w:rsid w:val="005F5980"/>
    <w:rsid w:val="006042AF"/>
    <w:rsid w:val="006110C8"/>
    <w:rsid w:val="006121C8"/>
    <w:rsid w:val="0061467D"/>
    <w:rsid w:val="00615365"/>
    <w:rsid w:val="00623B9E"/>
    <w:rsid w:val="00625A54"/>
    <w:rsid w:val="00632282"/>
    <w:rsid w:val="00640513"/>
    <w:rsid w:val="00641ECD"/>
    <w:rsid w:val="00643702"/>
    <w:rsid w:val="00643F6A"/>
    <w:rsid w:val="00645B05"/>
    <w:rsid w:val="006476F7"/>
    <w:rsid w:val="006525B9"/>
    <w:rsid w:val="00654906"/>
    <w:rsid w:val="00654A03"/>
    <w:rsid w:val="00657938"/>
    <w:rsid w:val="00662228"/>
    <w:rsid w:val="006716EA"/>
    <w:rsid w:val="00674D19"/>
    <w:rsid w:val="00676813"/>
    <w:rsid w:val="0067722A"/>
    <w:rsid w:val="006870A3"/>
    <w:rsid w:val="00692870"/>
    <w:rsid w:val="00695180"/>
    <w:rsid w:val="006A1C7E"/>
    <w:rsid w:val="006B08BA"/>
    <w:rsid w:val="006B599D"/>
    <w:rsid w:val="006B7DB2"/>
    <w:rsid w:val="006C24FC"/>
    <w:rsid w:val="006C3143"/>
    <w:rsid w:val="006C36D8"/>
    <w:rsid w:val="006D3AA8"/>
    <w:rsid w:val="006D79D6"/>
    <w:rsid w:val="006E4375"/>
    <w:rsid w:val="006E612A"/>
    <w:rsid w:val="006F182F"/>
    <w:rsid w:val="006F40A5"/>
    <w:rsid w:val="007008F6"/>
    <w:rsid w:val="00701DBC"/>
    <w:rsid w:val="00703A5A"/>
    <w:rsid w:val="007125BF"/>
    <w:rsid w:val="00712C7F"/>
    <w:rsid w:val="00714B70"/>
    <w:rsid w:val="00716DD5"/>
    <w:rsid w:val="007176C5"/>
    <w:rsid w:val="00727672"/>
    <w:rsid w:val="007308D3"/>
    <w:rsid w:val="00730F03"/>
    <w:rsid w:val="007348BB"/>
    <w:rsid w:val="007401E6"/>
    <w:rsid w:val="007428E0"/>
    <w:rsid w:val="00750930"/>
    <w:rsid w:val="00754FC4"/>
    <w:rsid w:val="00756D06"/>
    <w:rsid w:val="00762497"/>
    <w:rsid w:val="0076671A"/>
    <w:rsid w:val="00770BF9"/>
    <w:rsid w:val="007720F8"/>
    <w:rsid w:val="007735CB"/>
    <w:rsid w:val="00773C78"/>
    <w:rsid w:val="00780723"/>
    <w:rsid w:val="00783709"/>
    <w:rsid w:val="00784B6C"/>
    <w:rsid w:val="007851EC"/>
    <w:rsid w:val="007857E4"/>
    <w:rsid w:val="00785CB3"/>
    <w:rsid w:val="007921E4"/>
    <w:rsid w:val="00792B6C"/>
    <w:rsid w:val="00793362"/>
    <w:rsid w:val="0079383A"/>
    <w:rsid w:val="007941CB"/>
    <w:rsid w:val="00797FC2"/>
    <w:rsid w:val="007A1063"/>
    <w:rsid w:val="007A27D5"/>
    <w:rsid w:val="007A2D02"/>
    <w:rsid w:val="007A3587"/>
    <w:rsid w:val="007A3E3E"/>
    <w:rsid w:val="007B0478"/>
    <w:rsid w:val="007B0E4F"/>
    <w:rsid w:val="007B2319"/>
    <w:rsid w:val="007C118E"/>
    <w:rsid w:val="007D7267"/>
    <w:rsid w:val="007D75B0"/>
    <w:rsid w:val="007E4E29"/>
    <w:rsid w:val="007E66B2"/>
    <w:rsid w:val="007E6CF2"/>
    <w:rsid w:val="007F50C6"/>
    <w:rsid w:val="007F7D23"/>
    <w:rsid w:val="00802CEF"/>
    <w:rsid w:val="0080348D"/>
    <w:rsid w:val="00806401"/>
    <w:rsid w:val="00812B46"/>
    <w:rsid w:val="00815436"/>
    <w:rsid w:val="00815813"/>
    <w:rsid w:val="00823396"/>
    <w:rsid w:val="00825BC8"/>
    <w:rsid w:val="00826899"/>
    <w:rsid w:val="00836B8C"/>
    <w:rsid w:val="0084380E"/>
    <w:rsid w:val="00843BB4"/>
    <w:rsid w:val="00844FA3"/>
    <w:rsid w:val="008509BB"/>
    <w:rsid w:val="008543AC"/>
    <w:rsid w:val="00854E7F"/>
    <w:rsid w:val="00856D22"/>
    <w:rsid w:val="00857B83"/>
    <w:rsid w:val="00862031"/>
    <w:rsid w:val="008624F6"/>
    <w:rsid w:val="00864D81"/>
    <w:rsid w:val="008671F2"/>
    <w:rsid w:val="00874990"/>
    <w:rsid w:val="00874E82"/>
    <w:rsid w:val="0087523A"/>
    <w:rsid w:val="00877914"/>
    <w:rsid w:val="0088076C"/>
    <w:rsid w:val="00880988"/>
    <w:rsid w:val="00881499"/>
    <w:rsid w:val="00881EB1"/>
    <w:rsid w:val="00882FE8"/>
    <w:rsid w:val="008914B1"/>
    <w:rsid w:val="00895040"/>
    <w:rsid w:val="008A08E6"/>
    <w:rsid w:val="008A12D4"/>
    <w:rsid w:val="008A242E"/>
    <w:rsid w:val="008A40E9"/>
    <w:rsid w:val="008A472F"/>
    <w:rsid w:val="008A5768"/>
    <w:rsid w:val="008A7397"/>
    <w:rsid w:val="008A73C3"/>
    <w:rsid w:val="008A788C"/>
    <w:rsid w:val="008B596A"/>
    <w:rsid w:val="008B68EF"/>
    <w:rsid w:val="008B7F9A"/>
    <w:rsid w:val="008D3FBF"/>
    <w:rsid w:val="008D419D"/>
    <w:rsid w:val="008D5697"/>
    <w:rsid w:val="008D7E7D"/>
    <w:rsid w:val="008E5DAD"/>
    <w:rsid w:val="008E77E7"/>
    <w:rsid w:val="008F4CA0"/>
    <w:rsid w:val="008F6290"/>
    <w:rsid w:val="0090529B"/>
    <w:rsid w:val="00907C97"/>
    <w:rsid w:val="00911355"/>
    <w:rsid w:val="00915ED5"/>
    <w:rsid w:val="00917E5A"/>
    <w:rsid w:val="009252FE"/>
    <w:rsid w:val="009258AD"/>
    <w:rsid w:val="00925C6A"/>
    <w:rsid w:val="0093093B"/>
    <w:rsid w:val="0094269F"/>
    <w:rsid w:val="00943F1B"/>
    <w:rsid w:val="00944448"/>
    <w:rsid w:val="00947A9D"/>
    <w:rsid w:val="00951328"/>
    <w:rsid w:val="00955ABD"/>
    <w:rsid w:val="00956587"/>
    <w:rsid w:val="009575E0"/>
    <w:rsid w:val="00962DC1"/>
    <w:rsid w:val="00967089"/>
    <w:rsid w:val="009710F3"/>
    <w:rsid w:val="0097214D"/>
    <w:rsid w:val="0097481B"/>
    <w:rsid w:val="00977911"/>
    <w:rsid w:val="00980072"/>
    <w:rsid w:val="00984FAD"/>
    <w:rsid w:val="00990670"/>
    <w:rsid w:val="0099155E"/>
    <w:rsid w:val="00992043"/>
    <w:rsid w:val="00995008"/>
    <w:rsid w:val="00995DBA"/>
    <w:rsid w:val="009969AA"/>
    <w:rsid w:val="00997796"/>
    <w:rsid w:val="009A3607"/>
    <w:rsid w:val="009B04D3"/>
    <w:rsid w:val="009B0576"/>
    <w:rsid w:val="009B3606"/>
    <w:rsid w:val="009C0EFE"/>
    <w:rsid w:val="009C3219"/>
    <w:rsid w:val="009D02DB"/>
    <w:rsid w:val="009D1251"/>
    <w:rsid w:val="009D4E5B"/>
    <w:rsid w:val="009E07DB"/>
    <w:rsid w:val="009E428E"/>
    <w:rsid w:val="009E57CC"/>
    <w:rsid w:val="009E5FCE"/>
    <w:rsid w:val="009E6DAA"/>
    <w:rsid w:val="009E78D1"/>
    <w:rsid w:val="009F17BE"/>
    <w:rsid w:val="00A0263F"/>
    <w:rsid w:val="00A0576C"/>
    <w:rsid w:val="00A10F07"/>
    <w:rsid w:val="00A10F52"/>
    <w:rsid w:val="00A11068"/>
    <w:rsid w:val="00A12BB1"/>
    <w:rsid w:val="00A157F8"/>
    <w:rsid w:val="00A202B7"/>
    <w:rsid w:val="00A20413"/>
    <w:rsid w:val="00A23A5F"/>
    <w:rsid w:val="00A2456B"/>
    <w:rsid w:val="00A26B79"/>
    <w:rsid w:val="00A275C3"/>
    <w:rsid w:val="00A333DE"/>
    <w:rsid w:val="00A36B6A"/>
    <w:rsid w:val="00A37DBE"/>
    <w:rsid w:val="00A41339"/>
    <w:rsid w:val="00A460D6"/>
    <w:rsid w:val="00A54F2F"/>
    <w:rsid w:val="00A72859"/>
    <w:rsid w:val="00A82E85"/>
    <w:rsid w:val="00A95F68"/>
    <w:rsid w:val="00AA042C"/>
    <w:rsid w:val="00AA0590"/>
    <w:rsid w:val="00AA1911"/>
    <w:rsid w:val="00AA69E8"/>
    <w:rsid w:val="00AB572C"/>
    <w:rsid w:val="00AB7756"/>
    <w:rsid w:val="00AC189F"/>
    <w:rsid w:val="00AC2A18"/>
    <w:rsid w:val="00AD0937"/>
    <w:rsid w:val="00AD0BF4"/>
    <w:rsid w:val="00AD3847"/>
    <w:rsid w:val="00AE01AB"/>
    <w:rsid w:val="00AE6D1D"/>
    <w:rsid w:val="00AE7B2A"/>
    <w:rsid w:val="00B00F6C"/>
    <w:rsid w:val="00B05E6F"/>
    <w:rsid w:val="00B073FB"/>
    <w:rsid w:val="00B1119F"/>
    <w:rsid w:val="00B12744"/>
    <w:rsid w:val="00B12ED7"/>
    <w:rsid w:val="00B15C86"/>
    <w:rsid w:val="00B15D97"/>
    <w:rsid w:val="00B20463"/>
    <w:rsid w:val="00B21D2E"/>
    <w:rsid w:val="00B22945"/>
    <w:rsid w:val="00B25771"/>
    <w:rsid w:val="00B26487"/>
    <w:rsid w:val="00B27172"/>
    <w:rsid w:val="00B30A0E"/>
    <w:rsid w:val="00B31295"/>
    <w:rsid w:val="00B31738"/>
    <w:rsid w:val="00B346D4"/>
    <w:rsid w:val="00B43931"/>
    <w:rsid w:val="00B44802"/>
    <w:rsid w:val="00B45612"/>
    <w:rsid w:val="00B513B1"/>
    <w:rsid w:val="00B57C91"/>
    <w:rsid w:val="00B61ED4"/>
    <w:rsid w:val="00B65256"/>
    <w:rsid w:val="00B6781D"/>
    <w:rsid w:val="00B718CE"/>
    <w:rsid w:val="00B71A87"/>
    <w:rsid w:val="00B72425"/>
    <w:rsid w:val="00B76636"/>
    <w:rsid w:val="00B80368"/>
    <w:rsid w:val="00B825F5"/>
    <w:rsid w:val="00B91D21"/>
    <w:rsid w:val="00BA56B8"/>
    <w:rsid w:val="00BB0EC9"/>
    <w:rsid w:val="00BB32FF"/>
    <w:rsid w:val="00BB55CC"/>
    <w:rsid w:val="00BB59F1"/>
    <w:rsid w:val="00BC2D8C"/>
    <w:rsid w:val="00BC38E1"/>
    <w:rsid w:val="00BD545D"/>
    <w:rsid w:val="00BD753C"/>
    <w:rsid w:val="00BE0F1A"/>
    <w:rsid w:val="00BE3884"/>
    <w:rsid w:val="00BE74DD"/>
    <w:rsid w:val="00BF2436"/>
    <w:rsid w:val="00BF307C"/>
    <w:rsid w:val="00C015E5"/>
    <w:rsid w:val="00C03A03"/>
    <w:rsid w:val="00C03B36"/>
    <w:rsid w:val="00C03C50"/>
    <w:rsid w:val="00C06432"/>
    <w:rsid w:val="00C10652"/>
    <w:rsid w:val="00C156E8"/>
    <w:rsid w:val="00C21480"/>
    <w:rsid w:val="00C26694"/>
    <w:rsid w:val="00C31980"/>
    <w:rsid w:val="00C32362"/>
    <w:rsid w:val="00C328A8"/>
    <w:rsid w:val="00C32E26"/>
    <w:rsid w:val="00C3679E"/>
    <w:rsid w:val="00C423AB"/>
    <w:rsid w:val="00C448EC"/>
    <w:rsid w:val="00C46A3C"/>
    <w:rsid w:val="00C5251E"/>
    <w:rsid w:val="00C53B63"/>
    <w:rsid w:val="00C6363A"/>
    <w:rsid w:val="00C644C0"/>
    <w:rsid w:val="00C74179"/>
    <w:rsid w:val="00C82DF1"/>
    <w:rsid w:val="00C84887"/>
    <w:rsid w:val="00C86565"/>
    <w:rsid w:val="00C93816"/>
    <w:rsid w:val="00CA3D07"/>
    <w:rsid w:val="00CA5570"/>
    <w:rsid w:val="00CA687F"/>
    <w:rsid w:val="00CA7FD0"/>
    <w:rsid w:val="00CB1C7C"/>
    <w:rsid w:val="00CC163E"/>
    <w:rsid w:val="00CC43E3"/>
    <w:rsid w:val="00CC5791"/>
    <w:rsid w:val="00CE045B"/>
    <w:rsid w:val="00CE1A05"/>
    <w:rsid w:val="00CE2B50"/>
    <w:rsid w:val="00CE5B2E"/>
    <w:rsid w:val="00CE7958"/>
    <w:rsid w:val="00CF007A"/>
    <w:rsid w:val="00CF0FC7"/>
    <w:rsid w:val="00CF11F2"/>
    <w:rsid w:val="00CF1CD6"/>
    <w:rsid w:val="00CF3AEC"/>
    <w:rsid w:val="00CF5B9C"/>
    <w:rsid w:val="00CF6A0A"/>
    <w:rsid w:val="00CF72A0"/>
    <w:rsid w:val="00D008E3"/>
    <w:rsid w:val="00D04D26"/>
    <w:rsid w:val="00D064A3"/>
    <w:rsid w:val="00D072AC"/>
    <w:rsid w:val="00D12ABE"/>
    <w:rsid w:val="00D170F5"/>
    <w:rsid w:val="00D20B4F"/>
    <w:rsid w:val="00D21B7D"/>
    <w:rsid w:val="00D22301"/>
    <w:rsid w:val="00D22879"/>
    <w:rsid w:val="00D26772"/>
    <w:rsid w:val="00D31A83"/>
    <w:rsid w:val="00D3313C"/>
    <w:rsid w:val="00D40E3C"/>
    <w:rsid w:val="00D4187A"/>
    <w:rsid w:val="00D41DE6"/>
    <w:rsid w:val="00D45DEB"/>
    <w:rsid w:val="00D45DF5"/>
    <w:rsid w:val="00D51AEE"/>
    <w:rsid w:val="00D52C2D"/>
    <w:rsid w:val="00D5333A"/>
    <w:rsid w:val="00D53D0A"/>
    <w:rsid w:val="00D72AF2"/>
    <w:rsid w:val="00D73B23"/>
    <w:rsid w:val="00D74E86"/>
    <w:rsid w:val="00D8156A"/>
    <w:rsid w:val="00D83BC9"/>
    <w:rsid w:val="00D86CE1"/>
    <w:rsid w:val="00D91BA3"/>
    <w:rsid w:val="00D91BE0"/>
    <w:rsid w:val="00D9617F"/>
    <w:rsid w:val="00DA0428"/>
    <w:rsid w:val="00DA1997"/>
    <w:rsid w:val="00DA4333"/>
    <w:rsid w:val="00DA5154"/>
    <w:rsid w:val="00DA670C"/>
    <w:rsid w:val="00DB61A2"/>
    <w:rsid w:val="00DB6691"/>
    <w:rsid w:val="00DC0EF9"/>
    <w:rsid w:val="00DC2E72"/>
    <w:rsid w:val="00DC4D2E"/>
    <w:rsid w:val="00DC4D7D"/>
    <w:rsid w:val="00DC6C3F"/>
    <w:rsid w:val="00DD4F06"/>
    <w:rsid w:val="00DE1D23"/>
    <w:rsid w:val="00DE21AA"/>
    <w:rsid w:val="00DE4BA9"/>
    <w:rsid w:val="00DF5113"/>
    <w:rsid w:val="00DF53D7"/>
    <w:rsid w:val="00E00379"/>
    <w:rsid w:val="00E01775"/>
    <w:rsid w:val="00E1061C"/>
    <w:rsid w:val="00E11CAC"/>
    <w:rsid w:val="00E144E3"/>
    <w:rsid w:val="00E21EF1"/>
    <w:rsid w:val="00E2470D"/>
    <w:rsid w:val="00E26FCA"/>
    <w:rsid w:val="00E309B3"/>
    <w:rsid w:val="00E35C2F"/>
    <w:rsid w:val="00E404CB"/>
    <w:rsid w:val="00E43449"/>
    <w:rsid w:val="00E54169"/>
    <w:rsid w:val="00E54625"/>
    <w:rsid w:val="00E77823"/>
    <w:rsid w:val="00E81C08"/>
    <w:rsid w:val="00E83166"/>
    <w:rsid w:val="00E8405E"/>
    <w:rsid w:val="00E858D8"/>
    <w:rsid w:val="00E86C27"/>
    <w:rsid w:val="00E877F8"/>
    <w:rsid w:val="00E9314A"/>
    <w:rsid w:val="00E931C8"/>
    <w:rsid w:val="00E93FCE"/>
    <w:rsid w:val="00E94778"/>
    <w:rsid w:val="00EA4A03"/>
    <w:rsid w:val="00EA67C2"/>
    <w:rsid w:val="00EB0735"/>
    <w:rsid w:val="00EB0FB2"/>
    <w:rsid w:val="00EB357A"/>
    <w:rsid w:val="00EB6C13"/>
    <w:rsid w:val="00EC01DF"/>
    <w:rsid w:val="00EC0A21"/>
    <w:rsid w:val="00EC23C9"/>
    <w:rsid w:val="00EC2DE4"/>
    <w:rsid w:val="00EC58B2"/>
    <w:rsid w:val="00EC5B06"/>
    <w:rsid w:val="00EC5DC6"/>
    <w:rsid w:val="00EC6B42"/>
    <w:rsid w:val="00ED55F8"/>
    <w:rsid w:val="00ED5BCB"/>
    <w:rsid w:val="00ED6D95"/>
    <w:rsid w:val="00EE0250"/>
    <w:rsid w:val="00EE05AF"/>
    <w:rsid w:val="00EF3841"/>
    <w:rsid w:val="00F04267"/>
    <w:rsid w:val="00F10CF1"/>
    <w:rsid w:val="00F12F69"/>
    <w:rsid w:val="00F15E20"/>
    <w:rsid w:val="00F22D17"/>
    <w:rsid w:val="00F25F9E"/>
    <w:rsid w:val="00F265A1"/>
    <w:rsid w:val="00F27B2B"/>
    <w:rsid w:val="00F35844"/>
    <w:rsid w:val="00F35C79"/>
    <w:rsid w:val="00F4030B"/>
    <w:rsid w:val="00F41C03"/>
    <w:rsid w:val="00F41FF9"/>
    <w:rsid w:val="00F47517"/>
    <w:rsid w:val="00F507CD"/>
    <w:rsid w:val="00F51232"/>
    <w:rsid w:val="00F55627"/>
    <w:rsid w:val="00F559F6"/>
    <w:rsid w:val="00F579A1"/>
    <w:rsid w:val="00F62046"/>
    <w:rsid w:val="00F62CDB"/>
    <w:rsid w:val="00F660B4"/>
    <w:rsid w:val="00F679A8"/>
    <w:rsid w:val="00F67D90"/>
    <w:rsid w:val="00F75DDA"/>
    <w:rsid w:val="00F94E52"/>
    <w:rsid w:val="00F974DF"/>
    <w:rsid w:val="00FA0722"/>
    <w:rsid w:val="00FA29E1"/>
    <w:rsid w:val="00FB210F"/>
    <w:rsid w:val="00FB4A97"/>
    <w:rsid w:val="00FB788A"/>
    <w:rsid w:val="00FC2051"/>
    <w:rsid w:val="00FC5DD3"/>
    <w:rsid w:val="00FC614E"/>
    <w:rsid w:val="00FC72BB"/>
    <w:rsid w:val="00FC7723"/>
    <w:rsid w:val="00FD010D"/>
    <w:rsid w:val="00FD0D36"/>
    <w:rsid w:val="00FD11D7"/>
    <w:rsid w:val="00FD615F"/>
    <w:rsid w:val="00FE2983"/>
    <w:rsid w:val="00FE43FB"/>
    <w:rsid w:val="00FF0A81"/>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 w:type="character" w:styleId="Emphasis">
    <w:name w:val="Emphasis"/>
    <w:basedOn w:val="DefaultParagraphFont"/>
    <w:uiPriority w:val="20"/>
    <w:qFormat/>
    <w:rsid w:val="00856D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4SQX5P7U7WPY-958212181-822510</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https://senpr.sharepoint.com/sites/obralegislativa/_layouts/15/DocIdRedir.aspx?ID=4SQX5P7U7WPY-958212181-822510</Url>
      <Description>4SQX5P7U7WPY-958212181-822510</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2FCE6979-7F74-420E-8E2E-8F2FA51C383E}"/>
</file>

<file path=customXml/itemProps5.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6.xml><?xml version="1.0" encoding="utf-8"?>
<ds:datastoreItem xmlns:ds="http://schemas.openxmlformats.org/officeDocument/2006/customXml" ds:itemID="{3791207A-3C0A-4299-AA82-AEF468F58139}"/>
</file>

<file path=docProps/app.xml><?xml version="1.0" encoding="utf-8"?>
<Properties xmlns="http://schemas.openxmlformats.org/officeDocument/2006/extended-properties" xmlns:vt="http://schemas.openxmlformats.org/officeDocument/2006/docPropsVTypes">
  <Template>Medida-V2005</Template>
  <TotalTime>3</TotalTime>
  <Pages>5</Pages>
  <Words>1103</Words>
  <Characters>6765</Characters>
  <Application>Microsoft Office Word</Application>
  <DocSecurity>0</DocSecurity>
  <Lines>123</Lines>
  <Paragraphs>40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4</cp:revision>
  <cp:lastPrinted>2021-05-04T12:09:00Z</cp:lastPrinted>
  <dcterms:created xsi:type="dcterms:W3CDTF">2026-01-14T14:23:00Z</dcterms:created>
  <dcterms:modified xsi:type="dcterms:W3CDTF">2026-01-14T20:02:00Z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875fc7bd-f5e4-4ff3-aa8e-0c20dcfa4f6a</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