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4BA5" w14:textId="02F7B2E8" w:rsidR="0000702B" w:rsidRPr="00B05E6F" w:rsidRDefault="0000702B" w:rsidP="00355743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PR"/>
        </w:rPr>
      </w:pPr>
      <w:bookmarkStart w:id="0" w:name="_Hlk183042642"/>
      <w:bookmarkStart w:id="1" w:name="_Hlk183037667"/>
      <w:bookmarkStart w:id="2" w:name="_Hlk183038391"/>
      <w:r w:rsidRPr="00B05E6F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566EE669" w14:textId="6D9970E3" w:rsidR="0000702B" w:rsidRPr="00B05E6F" w:rsidRDefault="0000702B" w:rsidP="00915ED5">
      <w:pPr>
        <w:jc w:val="both"/>
        <w:rPr>
          <w:rFonts w:ascii="Book Antiqua" w:hAnsi="Book Antiqua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B05E6F" w14:paraId="68BF0108" w14:textId="77777777" w:rsidTr="00B26487">
        <w:trPr>
          <w:trHeight w:val="900"/>
        </w:trPr>
        <w:tc>
          <w:tcPr>
            <w:tcW w:w="3170" w:type="dxa"/>
          </w:tcPr>
          <w:p w14:paraId="778A3271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>20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ma.</w:t>
            </w:r>
            <w:r w:rsidRPr="00B05E6F">
              <w:rPr>
                <w:rFonts w:ascii="Book Antiqua" w:hAnsi="Book Antiqua"/>
                <w:lang w:val="es-PR"/>
              </w:rPr>
              <w:tab/>
              <w:t>Asamblea</w:t>
            </w:r>
          </w:p>
          <w:p w14:paraId="0BBE1343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 xml:space="preserve">  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15F5AEB6" w14:textId="075A8BFD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0D3C2688" w14:textId="0EC64CCE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</w:r>
            <w:r w:rsidRPr="00B05E6F">
              <w:rPr>
                <w:rFonts w:ascii="Book Antiqua" w:hAnsi="Book Antiqua"/>
                <w:lang w:val="es-PR"/>
              </w:rPr>
              <w:tab/>
            </w:r>
            <w:r w:rsidR="00754FC4">
              <w:rPr>
                <w:rFonts w:ascii="Book Antiqua" w:hAnsi="Book Antiqua"/>
                <w:lang w:val="es-PR"/>
              </w:rPr>
              <w:t>3</w:t>
            </w:r>
            <w:r w:rsidR="00280A19" w:rsidRPr="00B05E6F">
              <w:rPr>
                <w:rFonts w:ascii="Book Antiqua" w:hAnsi="Book Antiqua"/>
                <w:lang w:val="es-PR"/>
              </w:rPr>
              <w:t xml:space="preserve"> </w:t>
            </w:r>
            <w:proofErr w:type="spellStart"/>
            <w:r w:rsidR="00754FC4">
              <w:rPr>
                <w:rFonts w:ascii="Book Antiqua" w:hAnsi="Book Antiqua"/>
                <w:vertAlign w:val="superscript"/>
                <w:lang w:val="es-PR"/>
              </w:rPr>
              <w:t>ra</w:t>
            </w:r>
            <w:proofErr w:type="spellEnd"/>
            <w:r w:rsidRPr="00B05E6F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Pr="00B05E6F">
              <w:rPr>
                <w:rFonts w:ascii="Book Antiqua" w:hAnsi="Book Antiqua"/>
                <w:lang w:val="es-PR"/>
              </w:rPr>
              <w:t xml:space="preserve"> Sesión</w:t>
            </w:r>
          </w:p>
          <w:p w14:paraId="579EDB8A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  <w:t xml:space="preserve">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      Ordinaria</w:t>
            </w:r>
          </w:p>
          <w:p w14:paraId="04591674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</w:tr>
    </w:tbl>
    <w:bookmarkEnd w:id="0"/>
    <w:p w14:paraId="02978626" w14:textId="77777777" w:rsidR="0000702B" w:rsidRPr="00B05E6F" w:rsidRDefault="0000702B" w:rsidP="00355743">
      <w:pPr>
        <w:jc w:val="center"/>
        <w:rPr>
          <w:rFonts w:ascii="Book Antiqua" w:hAnsi="Book Antiqua"/>
          <w:b/>
          <w:sz w:val="36"/>
          <w:lang w:val="es-PR"/>
        </w:rPr>
      </w:pPr>
      <w:r w:rsidRPr="00B05E6F">
        <w:rPr>
          <w:rFonts w:ascii="Book Antiqua" w:hAnsi="Book Antiqua"/>
          <w:b/>
          <w:sz w:val="36"/>
          <w:lang w:val="es-PR"/>
        </w:rPr>
        <w:t>SENADO DE PUERTO RICO</w:t>
      </w:r>
      <w:bookmarkEnd w:id="1"/>
    </w:p>
    <w:p w14:paraId="0A02050C" w14:textId="23D3082C" w:rsidR="0000702B" w:rsidRPr="00B05E6F" w:rsidRDefault="0011177A" w:rsidP="00355743">
      <w:pPr>
        <w:spacing w:before="240"/>
        <w:jc w:val="center"/>
        <w:rPr>
          <w:rFonts w:ascii="Book Antiqua" w:hAnsi="Book Antiqua"/>
          <w:b/>
          <w:sz w:val="52"/>
          <w:lang w:val="es-PR"/>
        </w:rPr>
      </w:pPr>
      <w:r>
        <w:rPr>
          <w:rFonts w:ascii="Book Antiqua" w:hAnsi="Book Antiqua"/>
          <w:b/>
          <w:sz w:val="52"/>
          <w:lang w:val="es-PR"/>
        </w:rPr>
        <w:t>R</w:t>
      </w:r>
      <w:r w:rsidR="0000702B" w:rsidRPr="00B05E6F">
        <w:rPr>
          <w:rFonts w:ascii="Book Antiqua" w:hAnsi="Book Antiqua"/>
          <w:b/>
          <w:sz w:val="52"/>
          <w:lang w:val="es-PR"/>
        </w:rPr>
        <w:t>. del S.</w:t>
      </w:r>
      <w:r w:rsidR="00280A19" w:rsidRPr="00B05E6F">
        <w:rPr>
          <w:rFonts w:ascii="Book Antiqua" w:hAnsi="Book Antiqua"/>
          <w:b/>
          <w:sz w:val="52"/>
          <w:lang w:val="es-PR"/>
        </w:rPr>
        <w:t xml:space="preserve"> </w:t>
      </w:r>
      <w:r w:rsidR="0082610C">
        <w:rPr>
          <w:rFonts w:ascii="Book Antiqua" w:hAnsi="Book Antiqua"/>
          <w:b/>
          <w:sz w:val="52"/>
          <w:lang w:val="es-PR"/>
        </w:rPr>
        <w:t>395</w:t>
      </w:r>
    </w:p>
    <w:p w14:paraId="0A885B68" w14:textId="5786786B" w:rsidR="0000702B" w:rsidRPr="00B05E6F" w:rsidRDefault="0082610C" w:rsidP="00355743">
      <w:pPr>
        <w:spacing w:line="360" w:lineRule="auto"/>
        <w:jc w:val="center"/>
        <w:rPr>
          <w:rFonts w:ascii="Book Antiqua" w:hAnsi="Book Antiqua"/>
          <w:lang w:val="es-PR"/>
        </w:rPr>
      </w:pPr>
      <w:bookmarkStart w:id="3" w:name="_Hlk183037684"/>
      <w:r>
        <w:rPr>
          <w:rFonts w:ascii="Book Antiqua" w:hAnsi="Book Antiqua"/>
          <w:lang w:val="es-PR"/>
        </w:rPr>
        <w:t>14</w:t>
      </w:r>
      <w:r w:rsidR="0000702B" w:rsidRPr="00B05E6F">
        <w:rPr>
          <w:rFonts w:ascii="Book Antiqua" w:hAnsi="Book Antiqua"/>
          <w:lang w:val="es-PR"/>
        </w:rPr>
        <w:t xml:space="preserve"> de </w:t>
      </w:r>
      <w:r w:rsidR="00A70F05">
        <w:rPr>
          <w:rFonts w:ascii="Book Antiqua" w:hAnsi="Book Antiqua"/>
          <w:lang w:val="es-PR"/>
        </w:rPr>
        <w:t>enero</w:t>
      </w:r>
      <w:r w:rsidR="0000702B" w:rsidRPr="00B05E6F">
        <w:rPr>
          <w:rFonts w:ascii="Book Antiqua" w:hAnsi="Book Antiqua"/>
          <w:lang w:val="es-PR"/>
        </w:rPr>
        <w:t xml:space="preserve"> de 202</w:t>
      </w:r>
      <w:r w:rsidR="00A70F05">
        <w:rPr>
          <w:rFonts w:ascii="Book Antiqua" w:hAnsi="Book Antiqua"/>
          <w:lang w:val="es-PR"/>
        </w:rPr>
        <w:t>6</w:t>
      </w:r>
    </w:p>
    <w:p w14:paraId="593BAC57" w14:textId="77777777" w:rsidR="00754FC4" w:rsidRDefault="00754FC4" w:rsidP="00355743">
      <w:pPr>
        <w:spacing w:line="360" w:lineRule="auto"/>
        <w:jc w:val="center"/>
        <w:rPr>
          <w:rFonts w:ascii="Book Antiqua" w:hAnsi="Book Antiqua"/>
          <w:lang w:val="es-PR"/>
        </w:rPr>
      </w:pPr>
    </w:p>
    <w:p w14:paraId="2C27582D" w14:textId="504DF1A2" w:rsidR="0000702B" w:rsidRPr="00E8405E" w:rsidRDefault="0000702B" w:rsidP="00355743">
      <w:pPr>
        <w:spacing w:line="360" w:lineRule="auto"/>
        <w:jc w:val="center"/>
        <w:rPr>
          <w:rFonts w:ascii="Book Antiqua" w:hAnsi="Book Antiqua"/>
          <w:i/>
          <w:iCs/>
          <w:lang w:val="es-PR"/>
        </w:rPr>
      </w:pPr>
      <w:r w:rsidRPr="00B05E6F">
        <w:rPr>
          <w:rFonts w:ascii="Book Antiqua" w:hAnsi="Book Antiqua"/>
          <w:lang w:val="es-PR"/>
        </w:rPr>
        <w:t xml:space="preserve">Presentado por </w:t>
      </w:r>
      <w:r w:rsidR="00551999" w:rsidRPr="00B05E6F">
        <w:rPr>
          <w:rFonts w:ascii="Book Antiqua" w:hAnsi="Book Antiqua"/>
          <w:lang w:val="es-PR"/>
        </w:rPr>
        <w:t xml:space="preserve">la señora </w:t>
      </w:r>
      <w:r w:rsidR="00551999" w:rsidRPr="00E8405E">
        <w:rPr>
          <w:rFonts w:ascii="Book Antiqua" w:hAnsi="Book Antiqua"/>
          <w:i/>
          <w:iCs/>
          <w:lang w:val="es-PR"/>
        </w:rPr>
        <w:t>Soto Aguilú</w:t>
      </w:r>
      <w:r w:rsidR="004A1508" w:rsidRPr="00E8405E">
        <w:rPr>
          <w:rFonts w:ascii="Book Antiqua" w:hAnsi="Book Antiqua"/>
          <w:i/>
          <w:iCs/>
          <w:lang w:val="es-PR"/>
        </w:rPr>
        <w:t xml:space="preserve"> </w:t>
      </w:r>
    </w:p>
    <w:p w14:paraId="34105B94" w14:textId="3075F598" w:rsidR="00A202B7" w:rsidRPr="00B05E6F" w:rsidRDefault="0000702B" w:rsidP="00355743">
      <w:pPr>
        <w:spacing w:line="360" w:lineRule="auto"/>
        <w:jc w:val="center"/>
        <w:rPr>
          <w:rFonts w:ascii="Book Antiqua" w:hAnsi="Book Antiqua"/>
          <w:i/>
          <w:iCs/>
          <w:szCs w:val="24"/>
          <w:lang w:val="es-PR"/>
        </w:rPr>
      </w:pPr>
      <w:r w:rsidRPr="00B05E6F">
        <w:rPr>
          <w:rFonts w:ascii="Book Antiqua" w:hAnsi="Book Antiqua"/>
          <w:i/>
          <w:lang w:val="es-PR"/>
        </w:rPr>
        <w:t>Referido a</w:t>
      </w:r>
    </w:p>
    <w:p w14:paraId="729606B8" w14:textId="558D639D" w:rsidR="00A202B7" w:rsidRPr="00B05E6F" w:rsidRDefault="00A202B7" w:rsidP="00915ED5">
      <w:pPr>
        <w:spacing w:line="360" w:lineRule="auto"/>
        <w:jc w:val="both"/>
        <w:rPr>
          <w:rFonts w:ascii="Book Antiqua" w:hAnsi="Book Antiqua"/>
          <w:i/>
          <w:iCs/>
          <w:sz w:val="4"/>
          <w:szCs w:val="4"/>
          <w:lang w:val="es-PR"/>
        </w:rPr>
      </w:pPr>
    </w:p>
    <w:bookmarkEnd w:id="2"/>
    <w:bookmarkEnd w:id="3"/>
    <w:p w14:paraId="008CA567" w14:textId="548FFA88" w:rsidR="00A37DBE" w:rsidRPr="00B05E6F" w:rsidRDefault="00D42132" w:rsidP="00B05E6F">
      <w:pPr>
        <w:jc w:val="center"/>
        <w:rPr>
          <w:rFonts w:ascii="Book Antiqua" w:hAnsi="Book Antiqua"/>
          <w:b/>
          <w:szCs w:val="24"/>
          <w:lang w:val="es-PR"/>
        </w:rPr>
      </w:pPr>
      <w:r>
        <w:rPr>
          <w:rFonts w:ascii="Book Antiqua" w:hAnsi="Book Antiqua"/>
          <w:b/>
          <w:szCs w:val="24"/>
          <w:lang w:val="es-PR"/>
        </w:rPr>
        <w:t>RESOLUCION</w:t>
      </w:r>
    </w:p>
    <w:p w14:paraId="2EB20AC1" w14:textId="77777777" w:rsidR="002206E3" w:rsidRPr="00B05E6F" w:rsidRDefault="002206E3" w:rsidP="00915ED5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bCs/>
          <w:sz w:val="16"/>
          <w:szCs w:val="16"/>
          <w:lang w:val="es-PR"/>
        </w:rPr>
      </w:pPr>
    </w:p>
    <w:p w14:paraId="1830EF25" w14:textId="77777777" w:rsidR="00E2119C" w:rsidRPr="00155083" w:rsidRDefault="00E2119C" w:rsidP="00155083">
      <w:pPr>
        <w:pStyle w:val="NormalWeb"/>
        <w:ind w:firstLine="720"/>
        <w:jc w:val="both"/>
        <w:rPr>
          <w:rFonts w:ascii="Book Antiqua" w:hAnsi="Book Antiqua"/>
          <w:lang w:val="es-PR"/>
        </w:rPr>
      </w:pPr>
      <w:r w:rsidRPr="00155083">
        <w:rPr>
          <w:rFonts w:ascii="Book Antiqua" w:hAnsi="Book Antiqua"/>
          <w:lang w:val="es-PR"/>
        </w:rPr>
        <w:t>Para ordenar a la Administración de Vivienda Pública (AVP) a realizar una revisión exhaustiva y modificación del Reglamento y Políticas de Selección, Admisión y Ocupación Continuada (ACOP), con participación activa y obligatoria de los residentes de vivienda pública y sus consejos de residentes; establecer mecanismos para incluir amonestaciones claras y sanciones específicas para los agentes administradores y sus empleados que violen la reglamentación o los derechos de los residentes; requerir la entrega de copias actualizadas del ACOP y reglamentos relacionados a los residentes durante el proceso de reexamen anual; garantizar que el proceso de revisión cumpla con los requisitos de participación pública y debido proceso establecidos en la Ley de Procedimiento Administrativo Uniforme del Gobierno de Puerto Rico (Ley Núm. 38-2017, según enmendada); incorporar las protecciones federales de participación de residentes bajo 24 CFR Parte 964; y para otros fines relacionados.</w:t>
      </w:r>
    </w:p>
    <w:p w14:paraId="5A030C57" w14:textId="77777777" w:rsidR="00183482" w:rsidRDefault="00183482" w:rsidP="00B05E6F">
      <w:pPr>
        <w:jc w:val="center"/>
        <w:rPr>
          <w:rFonts w:ascii="Book Antiqua" w:hAnsi="Book Antiqua"/>
          <w:b/>
          <w:bCs/>
          <w:lang w:val="es-PR"/>
        </w:rPr>
      </w:pPr>
    </w:p>
    <w:p w14:paraId="704C8A72" w14:textId="1B2E4B14" w:rsidR="00A37DBE" w:rsidRPr="00B05E6F" w:rsidRDefault="0025618A" w:rsidP="00B05E6F">
      <w:pPr>
        <w:jc w:val="center"/>
        <w:rPr>
          <w:rFonts w:ascii="Book Antiqua" w:hAnsi="Book Antiqua"/>
          <w:b/>
          <w:bCs/>
          <w:lang w:val="es-PR"/>
        </w:rPr>
      </w:pPr>
      <w:r w:rsidRPr="00B05E6F">
        <w:rPr>
          <w:rFonts w:ascii="Book Antiqua" w:hAnsi="Book Antiqua"/>
          <w:b/>
          <w:bCs/>
          <w:lang w:val="es-PR"/>
        </w:rPr>
        <w:t>EXPOSICIÓ</w:t>
      </w:r>
      <w:r w:rsidR="00A37DBE" w:rsidRPr="00B05E6F">
        <w:rPr>
          <w:rFonts w:ascii="Book Antiqua" w:hAnsi="Book Antiqua"/>
          <w:b/>
          <w:bCs/>
          <w:lang w:val="es-PR"/>
        </w:rPr>
        <w:t>N DE MOTIVOS</w:t>
      </w:r>
    </w:p>
    <w:p w14:paraId="43681AEB" w14:textId="77777777" w:rsidR="0025618A" w:rsidRPr="000715A1" w:rsidRDefault="0025618A" w:rsidP="000715A1">
      <w:pPr>
        <w:spacing w:line="360" w:lineRule="auto"/>
        <w:jc w:val="both"/>
        <w:rPr>
          <w:rFonts w:ascii="Book Antiqua" w:hAnsi="Book Antiqua"/>
          <w:lang w:val="es-PR"/>
        </w:rPr>
      </w:pPr>
    </w:p>
    <w:p w14:paraId="56A7BCA6" w14:textId="77777777" w:rsidR="0085357C" w:rsidRPr="00155083" w:rsidRDefault="0085357C" w:rsidP="00C202DF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155083">
        <w:rPr>
          <w:rFonts w:ascii="Book Antiqua" w:hAnsi="Book Antiqua"/>
          <w:lang w:val="es-PR"/>
        </w:rPr>
        <w:t xml:space="preserve">El Reglamento y Políticas de Selección, Admisión y Ocupación Continuada (ACOP, por sus siglas en inglés: </w:t>
      </w:r>
      <w:proofErr w:type="spellStart"/>
      <w:r w:rsidRPr="00155083">
        <w:rPr>
          <w:rFonts w:ascii="Book Antiqua" w:hAnsi="Book Antiqua"/>
          <w:lang w:val="es-PR"/>
        </w:rPr>
        <w:t>Admissions</w:t>
      </w:r>
      <w:proofErr w:type="spellEnd"/>
      <w:r w:rsidRPr="00155083">
        <w:rPr>
          <w:rFonts w:ascii="Book Antiqua" w:hAnsi="Book Antiqua"/>
          <w:lang w:val="es-PR"/>
        </w:rPr>
        <w:t xml:space="preserve"> and </w:t>
      </w:r>
      <w:proofErr w:type="spellStart"/>
      <w:r w:rsidRPr="00155083">
        <w:rPr>
          <w:rFonts w:ascii="Book Antiqua" w:hAnsi="Book Antiqua"/>
          <w:lang w:val="es-PR"/>
        </w:rPr>
        <w:t>Continued</w:t>
      </w:r>
      <w:proofErr w:type="spellEnd"/>
      <w:r w:rsidRPr="00155083">
        <w:rPr>
          <w:rFonts w:ascii="Book Antiqua" w:hAnsi="Book Antiqua"/>
          <w:lang w:val="es-PR"/>
        </w:rPr>
        <w:t xml:space="preserve"> </w:t>
      </w:r>
      <w:proofErr w:type="spellStart"/>
      <w:r w:rsidRPr="00155083">
        <w:rPr>
          <w:rFonts w:ascii="Book Antiqua" w:hAnsi="Book Antiqua"/>
          <w:lang w:val="es-PR"/>
        </w:rPr>
        <w:t>Occupancy</w:t>
      </w:r>
      <w:proofErr w:type="spellEnd"/>
      <w:r w:rsidRPr="00155083">
        <w:rPr>
          <w:rFonts w:ascii="Book Antiqua" w:hAnsi="Book Antiqua"/>
          <w:lang w:val="es-PR"/>
        </w:rPr>
        <w:t xml:space="preserve"> </w:t>
      </w:r>
      <w:proofErr w:type="spellStart"/>
      <w:r w:rsidRPr="00155083">
        <w:rPr>
          <w:rFonts w:ascii="Book Antiqua" w:hAnsi="Book Antiqua"/>
          <w:lang w:val="es-PR"/>
        </w:rPr>
        <w:t>Policy</w:t>
      </w:r>
      <w:proofErr w:type="spellEnd"/>
      <w:r w:rsidRPr="00155083">
        <w:rPr>
          <w:rFonts w:ascii="Book Antiqua" w:hAnsi="Book Antiqua"/>
          <w:lang w:val="es-PR"/>
        </w:rPr>
        <w:t xml:space="preserve">) de la Administración de Vivienda Pública (AVP) constituye el marco normativo principal que rige la admisión, ocupación y terminación de contratos de arrendamiento en los residenciales públicos de Puerto Rico. Este documento, adoptado como reglamento administrativo por la AVP y publicado en su sitio oficial, ha sido criticado por residentes, </w:t>
      </w:r>
      <w:r w:rsidRPr="00155083">
        <w:rPr>
          <w:rFonts w:ascii="Book Antiqua" w:hAnsi="Book Antiqua"/>
          <w:lang w:val="es-PR"/>
        </w:rPr>
        <w:lastRenderedPageBreak/>
        <w:t>abogados, tribunales y organizaciones comunitarias por ser excesivamente extenso, unilateral en su adopción y redacción, y por no reflejar adecuadamente las necesidades reales ni los derechos de los residentes de vivienda pública.</w:t>
      </w:r>
    </w:p>
    <w:p w14:paraId="7BFD0757" w14:textId="77777777" w:rsidR="0085357C" w:rsidRPr="00155083" w:rsidRDefault="0085357C" w:rsidP="00543DEB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155083">
        <w:rPr>
          <w:rFonts w:ascii="Book Antiqua" w:hAnsi="Book Antiqua"/>
          <w:lang w:val="es-PR"/>
        </w:rPr>
        <w:t>Entre las deficiencias identificadas se encuentran:</w:t>
      </w:r>
    </w:p>
    <w:p w14:paraId="0815F09D" w14:textId="77777777" w:rsidR="00543DEB" w:rsidRPr="00543DEB" w:rsidRDefault="00C46140" w:rsidP="00C202DF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543DEB">
        <w:rPr>
          <w:rFonts w:ascii="Book Antiqua" w:hAnsi="Book Antiqua"/>
          <w:sz w:val="24"/>
          <w:szCs w:val="24"/>
          <w:lang w:val="es-PR"/>
        </w:rPr>
        <w:t xml:space="preserve">La derogación de reglamentos individuales previos (como el Reglamento Núm. 6393, Núm. 6391 y otros) y su incorporación en un solo documento centralizado (el ACOP), lo que dificulta su comprensión, acceso y aplicación por parte de residentes, abogados y jueces. </w:t>
      </w:r>
    </w:p>
    <w:p w14:paraId="7F7BE4C4" w14:textId="77777777" w:rsidR="00543DEB" w:rsidRPr="00543DEB" w:rsidRDefault="00C46140" w:rsidP="00C202DF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543DEB">
        <w:rPr>
          <w:rFonts w:ascii="Book Antiqua" w:hAnsi="Book Antiqua"/>
          <w:sz w:val="24"/>
          <w:szCs w:val="24"/>
          <w:lang w:val="es-PR"/>
        </w:rPr>
        <w:t xml:space="preserve">La ausencia de mecanismos claros de sanciones y amonestaciones para agentes administradores y sus empleados en casos de incumplimiento de la reglamentación, violaciones a los derechos humanos y civiles de los residentes, o fallas en procedimientos administrativos como la "Intención de Cancelación de Contrato de Arrendamiento". </w:t>
      </w:r>
    </w:p>
    <w:p w14:paraId="457DCD9E" w14:textId="77777777" w:rsidR="00543DEB" w:rsidRPr="00543DEB" w:rsidRDefault="00C46140" w:rsidP="00543DEB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543DEB">
        <w:rPr>
          <w:rFonts w:ascii="Book Antiqua" w:hAnsi="Book Antiqua"/>
          <w:sz w:val="24"/>
          <w:szCs w:val="24"/>
          <w:lang w:val="es-PR"/>
        </w:rPr>
        <w:t xml:space="preserve">La falta de entrega sistemática de copias actualizadas del ACOP a los residentes durante el reexamen anual, lo que genera desinformación y vulnerabilidad ante procesos unilaterales. </w:t>
      </w:r>
    </w:p>
    <w:p w14:paraId="113DE0B5" w14:textId="11C173A2" w:rsidR="00093188" w:rsidRPr="00543DEB" w:rsidRDefault="00C46140" w:rsidP="00543DEB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543DEB">
        <w:rPr>
          <w:rFonts w:ascii="Book Antiqua" w:hAnsi="Book Antiqua"/>
          <w:sz w:val="24"/>
          <w:szCs w:val="24"/>
          <w:lang w:val="es-PR"/>
        </w:rPr>
        <w:t>La percepción de unilateralidad en su adopción, sin participación suficiente de los residentes, contraviniendo principios de transparencia y equidad.</w:t>
      </w:r>
    </w:p>
    <w:p w14:paraId="13F0164E" w14:textId="77777777" w:rsidR="00093188" w:rsidRPr="00155083" w:rsidRDefault="00093188" w:rsidP="00C202DF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155083">
        <w:rPr>
          <w:rFonts w:ascii="Book Antiqua" w:hAnsi="Book Antiqua"/>
          <w:lang w:val="es-PR"/>
        </w:rPr>
        <w:t>Estos problemas afectan directamente la calidad de vida de miles de residentes de bajos ingresos en Puerto Rico, perpetuando ciclos de desconfianza, inseguridad habitacional y abusos administrativos, como se documenta en quejas recurrentes y en el contexto de proyectos como los aprobados bajo el programa 5(h) del HUD.</w:t>
      </w:r>
    </w:p>
    <w:p w14:paraId="41C2AB6D" w14:textId="77777777" w:rsidR="00D27708" w:rsidRDefault="00F85DC1" w:rsidP="00D27708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155083">
        <w:rPr>
          <w:rFonts w:ascii="Book Antiqua" w:hAnsi="Book Antiqua"/>
          <w:lang w:val="es-PR"/>
        </w:rPr>
        <w:t xml:space="preserve">La AVP, como agencia adscrita al Departamento de la Vivienda, está sujeta a la Ley de Procedimiento Administrativo Uniforme del Gobierno de Puerto Rico (Ley Núm. 38-2017, según enmendada), que establece requisitos obligatorios para la adopción, enmienda o derogación de reglamentos, incluyendo notificación pública, vistas públicas y oportunidad para comentarios de personas afectadas (Secciones 2.1 a 2.20, entre otras). </w:t>
      </w:r>
    </w:p>
    <w:p w14:paraId="6970A501" w14:textId="2EBDC887" w:rsidR="00F85DC1" w:rsidRPr="00155083" w:rsidRDefault="00F85DC1" w:rsidP="00D27708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155083">
        <w:rPr>
          <w:rFonts w:ascii="Book Antiqua" w:hAnsi="Book Antiqua"/>
          <w:lang w:val="es-PR"/>
        </w:rPr>
        <w:lastRenderedPageBreak/>
        <w:t xml:space="preserve">Además, las normativas federales del Departamento de Vivienda y Desarrollo Urbano de los Estados Unidos (HUD) exigen la </w:t>
      </w:r>
      <w:proofErr w:type="gramStart"/>
      <w:r w:rsidRPr="00155083">
        <w:rPr>
          <w:rFonts w:ascii="Book Antiqua" w:hAnsi="Book Antiqua"/>
          <w:lang w:val="es-PR"/>
        </w:rPr>
        <w:t>participación activa</w:t>
      </w:r>
      <w:proofErr w:type="gramEnd"/>
      <w:r w:rsidRPr="00155083">
        <w:rPr>
          <w:rFonts w:ascii="Book Antiqua" w:hAnsi="Book Antiqua"/>
          <w:lang w:val="es-PR"/>
        </w:rPr>
        <w:t xml:space="preserve"> de residentes en la gestión de viviendas públicas, conforme a 24 CFR Parte 964 (</w:t>
      </w:r>
      <w:proofErr w:type="spellStart"/>
      <w:r w:rsidRPr="00155083">
        <w:rPr>
          <w:rFonts w:ascii="Book Antiqua" w:hAnsi="Book Antiqua"/>
          <w:lang w:val="es-PR"/>
        </w:rPr>
        <w:t>Tenant</w:t>
      </w:r>
      <w:proofErr w:type="spellEnd"/>
      <w:r w:rsidRPr="00155083">
        <w:rPr>
          <w:rFonts w:ascii="Book Antiqua" w:hAnsi="Book Antiqua"/>
          <w:lang w:val="es-PR"/>
        </w:rPr>
        <w:t xml:space="preserve"> </w:t>
      </w:r>
      <w:proofErr w:type="spellStart"/>
      <w:r w:rsidRPr="00155083">
        <w:rPr>
          <w:rFonts w:ascii="Book Antiqua" w:hAnsi="Book Antiqua"/>
          <w:lang w:val="es-PR"/>
        </w:rPr>
        <w:t>Participation</w:t>
      </w:r>
      <w:proofErr w:type="spellEnd"/>
      <w:r w:rsidRPr="00155083">
        <w:rPr>
          <w:rFonts w:ascii="Book Antiqua" w:hAnsi="Book Antiqua"/>
          <w:lang w:val="es-PR"/>
        </w:rPr>
        <w:t xml:space="preserve"> and </w:t>
      </w:r>
      <w:proofErr w:type="spellStart"/>
      <w:r w:rsidRPr="00155083">
        <w:rPr>
          <w:rFonts w:ascii="Book Antiqua" w:hAnsi="Book Antiqua"/>
          <w:lang w:val="es-PR"/>
        </w:rPr>
        <w:t>Tenant</w:t>
      </w:r>
      <w:proofErr w:type="spellEnd"/>
      <w:r w:rsidRPr="00155083">
        <w:rPr>
          <w:rFonts w:ascii="Book Antiqua" w:hAnsi="Book Antiqua"/>
          <w:lang w:val="es-PR"/>
        </w:rPr>
        <w:t xml:space="preserve"> </w:t>
      </w:r>
      <w:proofErr w:type="spellStart"/>
      <w:r w:rsidRPr="00155083">
        <w:rPr>
          <w:rFonts w:ascii="Book Antiqua" w:hAnsi="Book Antiqua"/>
          <w:lang w:val="es-PR"/>
        </w:rPr>
        <w:t>Opportunities</w:t>
      </w:r>
      <w:proofErr w:type="spellEnd"/>
      <w:r w:rsidRPr="00155083">
        <w:rPr>
          <w:rFonts w:ascii="Book Antiqua" w:hAnsi="Book Antiqua"/>
          <w:lang w:val="es-PR"/>
        </w:rPr>
        <w:t xml:space="preserve"> in </w:t>
      </w:r>
      <w:proofErr w:type="spellStart"/>
      <w:r w:rsidRPr="00155083">
        <w:rPr>
          <w:rFonts w:ascii="Book Antiqua" w:hAnsi="Book Antiqua"/>
          <w:lang w:val="es-PR"/>
        </w:rPr>
        <w:t>Public</w:t>
      </w:r>
      <w:proofErr w:type="spellEnd"/>
      <w:r w:rsidRPr="00155083">
        <w:rPr>
          <w:rFonts w:ascii="Book Antiqua" w:hAnsi="Book Antiqua"/>
          <w:lang w:val="es-PR"/>
        </w:rPr>
        <w:t xml:space="preserve"> </w:t>
      </w:r>
      <w:proofErr w:type="spellStart"/>
      <w:r w:rsidRPr="00155083">
        <w:rPr>
          <w:rFonts w:ascii="Book Antiqua" w:hAnsi="Book Antiqua"/>
          <w:lang w:val="es-PR"/>
        </w:rPr>
        <w:t>Housing</w:t>
      </w:r>
      <w:proofErr w:type="spellEnd"/>
      <w:r w:rsidRPr="00155083">
        <w:rPr>
          <w:rFonts w:ascii="Book Antiqua" w:hAnsi="Book Antiqua"/>
          <w:lang w:val="es-PR"/>
        </w:rPr>
        <w:t>), que reconoce el derecho de los residentes a organizar consejos, participar en decisiones y ser consultados en políticas que les afectan.</w:t>
      </w:r>
    </w:p>
    <w:p w14:paraId="0EBB992F" w14:textId="1238B8DE" w:rsidR="00756329" w:rsidRPr="00155083" w:rsidRDefault="00104DB2" w:rsidP="00104DB2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</w:t>
      </w:r>
      <w:r w:rsidR="00756329" w:rsidRPr="00155083">
        <w:rPr>
          <w:rFonts w:ascii="Book Antiqua" w:hAnsi="Book Antiqua"/>
          <w:lang w:val="es-PR"/>
        </w:rPr>
        <w:t>sta resolución busca corregir estas deficiencias mediante una orden directa a la AVP para revisar y modificar el ACOP con participación obligatoria de residentes y consejos de residentes, incorporando sanciones claras para agentes administradores, garantizando la entrega de copias y alineándose con los procedimientos de la Ley Núm. 38-2017 y 24 CFR Parte 964. La revisión debe incluir vistas públicas específicas en residenciales afectados, consultas con organizaciones comunitarias y expertos, y un informe público de los cambios propuestos antes de su adopción final.</w:t>
      </w:r>
    </w:p>
    <w:p w14:paraId="0B11E768" w14:textId="0B38D1E6" w:rsidR="005B0E1F" w:rsidRDefault="00756329" w:rsidP="00104DB2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155083">
        <w:rPr>
          <w:rFonts w:ascii="Book Antiqua" w:hAnsi="Book Antiqua"/>
          <w:lang w:val="es-PR"/>
        </w:rPr>
        <w:t>La implementación de estas disposiciones fortalecerá la rendición de cuentas, promoverá la equidad y protegerá los derechos de los residentes vulnerables, alineándose con la política pública del Gobierno de Puerto Rico de mejorar la calidad de vida en la vivienda pública y fomentar la participación comunitaria.</w:t>
      </w:r>
    </w:p>
    <w:p w14:paraId="2634CADE" w14:textId="77777777" w:rsidR="00D1510B" w:rsidRPr="00183000" w:rsidRDefault="00D1510B" w:rsidP="00104DB2">
      <w:pPr>
        <w:pStyle w:val="NormalWeb"/>
        <w:spacing w:line="360" w:lineRule="auto"/>
        <w:jc w:val="both"/>
        <w:rPr>
          <w:rFonts w:ascii="Book Antiqua" w:hAnsi="Book Antiqua"/>
          <w:lang w:val="es-PR"/>
        </w:rPr>
      </w:pPr>
    </w:p>
    <w:p w14:paraId="412AEB4A" w14:textId="77777777" w:rsidR="00A37DBE" w:rsidRPr="00183000" w:rsidRDefault="00A37DBE" w:rsidP="00183000">
      <w:pPr>
        <w:spacing w:line="480" w:lineRule="auto"/>
        <w:jc w:val="both"/>
        <w:rPr>
          <w:rFonts w:ascii="Book Antiqua" w:hAnsi="Book Antiqua"/>
          <w:b/>
          <w:bCs/>
          <w:iCs/>
          <w:szCs w:val="24"/>
          <w:lang w:val="es-PR"/>
        </w:rPr>
      </w:pPr>
      <w:r w:rsidRPr="00183000">
        <w:rPr>
          <w:rFonts w:ascii="Book Antiqua" w:hAnsi="Book Antiqua"/>
          <w:b/>
          <w:bCs/>
          <w:iCs/>
          <w:szCs w:val="24"/>
          <w:lang w:val="es-PR"/>
        </w:rPr>
        <w:t>DECR</w:t>
      </w:r>
      <w:r w:rsidR="0025618A" w:rsidRPr="00183000">
        <w:rPr>
          <w:rFonts w:ascii="Book Antiqua" w:hAnsi="Book Antiqua"/>
          <w:b/>
          <w:bCs/>
          <w:iCs/>
          <w:szCs w:val="24"/>
          <w:lang w:val="es-PR"/>
        </w:rPr>
        <w:t>É</w:t>
      </w:r>
      <w:r w:rsidRPr="00183000">
        <w:rPr>
          <w:rFonts w:ascii="Book Antiqua" w:hAnsi="Book Antiqua"/>
          <w:b/>
          <w:bCs/>
          <w:iCs/>
          <w:szCs w:val="24"/>
          <w:lang w:val="es-PR"/>
        </w:rPr>
        <w:t>TASE POR LA ASAMBLEA LEGISLATIVA DE PUERTO RICO:</w:t>
      </w:r>
    </w:p>
    <w:p w14:paraId="26914EAD" w14:textId="77777777" w:rsidR="00A37DBE" w:rsidRPr="00183000" w:rsidRDefault="00A37DBE" w:rsidP="00183000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  <w:sectPr w:rsidR="00A37DBE" w:rsidRPr="00183000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2180C29" w14:textId="77777777" w:rsidR="00515BF4" w:rsidRPr="00CF223D" w:rsidRDefault="00515BF4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Style w:val="Strong"/>
          <w:rFonts w:ascii="Book Antiqua" w:hAnsi="Book Antiqua"/>
          <w:b w:val="0"/>
          <w:bCs w:val="0"/>
          <w:lang w:val="es-PR"/>
        </w:rPr>
        <w:t>Artículo 1.-</w:t>
      </w:r>
      <w:r w:rsidRPr="00CF223D">
        <w:rPr>
          <w:rFonts w:ascii="Book Antiqua" w:hAnsi="Book Antiqua"/>
          <w:lang w:val="es-PR"/>
        </w:rPr>
        <w:t xml:space="preserve"> Se ordena a la Administración de Vivienda Pública (AVP) a iniciar, dentro de los noventa (90) días siguientes a la aprobación de esta Resolución, un proceso de revisión exhaustiva y modificación del Reglamento y Políticas de Selección, Admisión y Ocupación Continuada (ACOP), con los siguientes objetivos obligatorios:</w:t>
      </w:r>
    </w:p>
    <w:p w14:paraId="2F974C20" w14:textId="77777777" w:rsidR="00515BF4" w:rsidRPr="00CF223D" w:rsidRDefault="00515BF4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t xml:space="preserve">(a) Incluir la </w:t>
      </w:r>
      <w:proofErr w:type="gramStart"/>
      <w:r w:rsidRPr="00CF223D">
        <w:rPr>
          <w:rFonts w:ascii="Book Antiqua" w:hAnsi="Book Antiqua"/>
          <w:lang w:val="es-PR"/>
        </w:rPr>
        <w:t>participación activa</w:t>
      </w:r>
      <w:proofErr w:type="gramEnd"/>
      <w:r w:rsidRPr="00CF223D">
        <w:rPr>
          <w:rFonts w:ascii="Book Antiqua" w:hAnsi="Book Antiqua"/>
          <w:lang w:val="es-PR"/>
        </w:rPr>
        <w:t xml:space="preserve"> y vinculante de los residentes de vivienda pública, a través de sus consejos de residentes debidamente reconocidos conforme a 24 CFR Parte 964, y de organizaciones comunitarias representativas.</w:t>
      </w:r>
    </w:p>
    <w:p w14:paraId="5A502930" w14:textId="77777777" w:rsidR="00515BF4" w:rsidRPr="00CF223D" w:rsidRDefault="00515BF4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lastRenderedPageBreak/>
        <w:t>(b) Establecer amonestaciones claras, progresivas y sanciones específicas (incluyendo multas, suspensiones, terminación de contratos y otras medidas disciplinarias) para agentes administradores y sus empleados que incumplan la reglamentación del ACOP, violen derechos humanos o civiles de los residentes, o fallen en procedimientos administrativos como la "Intención de Cancelación de Contrato de Arrendamiento".</w:t>
      </w:r>
    </w:p>
    <w:p w14:paraId="6C1EA769" w14:textId="77777777" w:rsidR="00F21C05" w:rsidRPr="00CF223D" w:rsidRDefault="00F21C05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t>(c) Garantizar la entrega obligatoria de copias actualizadas y accesibles del ACOP (en formato impreso, digital y, cuando proceda, en braille o audio) a cada residente durante el proceso de reexamen anual de ingresos y ocupación.</w:t>
      </w:r>
    </w:p>
    <w:p w14:paraId="6F094D7E" w14:textId="77777777" w:rsidR="00F21C05" w:rsidRPr="00CF223D" w:rsidRDefault="00F21C05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t>(d) Reducir la complejidad y extensión del documento para facilitar su comprensión y aplicación judicial.</w:t>
      </w:r>
    </w:p>
    <w:p w14:paraId="52EEDF9F" w14:textId="77777777" w:rsidR="00F21C05" w:rsidRPr="00CF223D" w:rsidRDefault="00F21C05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Style w:val="Strong"/>
          <w:rFonts w:ascii="Book Antiqua" w:hAnsi="Book Antiqua"/>
          <w:b w:val="0"/>
          <w:bCs w:val="0"/>
          <w:lang w:val="es-PR"/>
        </w:rPr>
        <w:t>Artículo 2.-</w:t>
      </w:r>
      <w:r w:rsidRPr="00CF223D">
        <w:rPr>
          <w:rFonts w:ascii="Book Antiqua" w:hAnsi="Book Antiqua"/>
          <w:b/>
          <w:bCs/>
          <w:lang w:val="es-PR"/>
        </w:rPr>
        <w:t xml:space="preserve"> </w:t>
      </w:r>
      <w:r w:rsidRPr="00CF223D">
        <w:rPr>
          <w:rFonts w:ascii="Book Antiqua" w:hAnsi="Book Antiqua"/>
          <w:lang w:val="es-PR"/>
        </w:rPr>
        <w:t>El proceso de revisión y modificación del ACOP deberá cumplir estrictamente con los requisitos de la Ley de Procedimiento Administrativo Uniforme del Gobierno de Puerto Rico (Ley Núm. 38-2017, según enmendada), incluyendo:</w:t>
      </w:r>
    </w:p>
    <w:p w14:paraId="3105B28D" w14:textId="77777777" w:rsidR="00F21C05" w:rsidRPr="00CF223D" w:rsidRDefault="00F21C05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t>(a) Publicación de aviso de propuesta de enmienda en periódicos de circulación general, en la página web de la AVP y mediante notificación directa a consejos de residentes.</w:t>
      </w:r>
    </w:p>
    <w:p w14:paraId="429F9241" w14:textId="77777777" w:rsidR="00F21C05" w:rsidRPr="00CF223D" w:rsidRDefault="00F21C05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t>(b) Celebración de vistas públicas en al menos cinco (5) residenciales públicos representativos, con facilidades para participación virtual y presencia de intérpretes cuando sea necesario.</w:t>
      </w:r>
    </w:p>
    <w:p w14:paraId="116E0BCF" w14:textId="77777777" w:rsidR="00D97507" w:rsidRPr="00CF223D" w:rsidRDefault="00D97507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t>(c) Período mínimo de sesenta (60) días para recepción de comentarios escritos y orales de residentes, consejos, abogados y organizaciones.</w:t>
      </w:r>
    </w:p>
    <w:p w14:paraId="45C7CF21" w14:textId="77777777" w:rsidR="00D97507" w:rsidRPr="00CF223D" w:rsidRDefault="00D97507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lastRenderedPageBreak/>
        <w:t>(d) Incorporación explícita de las protecciones federales de participación de residentes bajo 24 CFR Parte 964, reconociendo a los consejos de residentes como representantes oficiales y apoyando sus actividades de participación.</w:t>
      </w:r>
    </w:p>
    <w:p w14:paraId="1D61F10B" w14:textId="77777777" w:rsidR="00D97507" w:rsidRPr="00CF223D" w:rsidRDefault="00D97507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Style w:val="Strong"/>
          <w:rFonts w:ascii="Book Antiqua" w:hAnsi="Book Antiqua"/>
          <w:b w:val="0"/>
          <w:bCs w:val="0"/>
          <w:lang w:val="es-PR"/>
        </w:rPr>
        <w:t>Artículo 3.-</w:t>
      </w:r>
      <w:r w:rsidRPr="00CF223D">
        <w:rPr>
          <w:rFonts w:ascii="Book Antiqua" w:hAnsi="Book Antiqua"/>
          <w:lang w:val="es-PR"/>
        </w:rPr>
        <w:t xml:space="preserve"> La AVP someterá un informe detallado a la Asamblea Legislativa y al público, dentro de los ciento ochenta (180) días siguientes al inicio del proceso, que incluya:</w:t>
      </w:r>
    </w:p>
    <w:p w14:paraId="5168F47C" w14:textId="77777777" w:rsidR="00D97507" w:rsidRPr="00CF223D" w:rsidRDefault="00D97507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t>(a) Los cambios propuestos al ACOP.</w:t>
      </w:r>
    </w:p>
    <w:p w14:paraId="42780972" w14:textId="77777777" w:rsidR="00D97507" w:rsidRPr="00CF223D" w:rsidRDefault="00D97507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t>(b) Resumen de comentarios recibidos y cómo se incorporaron.</w:t>
      </w:r>
    </w:p>
    <w:p w14:paraId="120F306F" w14:textId="77777777" w:rsidR="00D97507" w:rsidRPr="00CF223D" w:rsidRDefault="00D97507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t>(c) Evidencia de cumplimiento con la Ley Núm. 38-2017 y 24 CFR Parte 964.</w:t>
      </w:r>
    </w:p>
    <w:p w14:paraId="0387AA3A" w14:textId="36ACC4F9" w:rsidR="006767C2" w:rsidRPr="00CF223D" w:rsidRDefault="00D97507" w:rsidP="00CF223D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CF223D">
        <w:rPr>
          <w:rFonts w:ascii="Book Antiqua" w:hAnsi="Book Antiqua"/>
          <w:lang w:val="es-PR"/>
        </w:rPr>
        <w:t>(d) Cronograma para adopción final y distribución de copias actualizadas.</w:t>
      </w:r>
    </w:p>
    <w:p w14:paraId="003701F8" w14:textId="221A2C2E" w:rsidR="006C24FC" w:rsidRPr="00183000" w:rsidRDefault="00E10C20" w:rsidP="00EB5784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183000">
        <w:rPr>
          <w:rFonts w:ascii="Book Antiqua" w:hAnsi="Book Antiqua"/>
          <w:lang w:val="es-PR"/>
        </w:rPr>
        <w:t>Artículo</w:t>
      </w:r>
      <w:r w:rsidR="00183000" w:rsidRPr="00183000">
        <w:rPr>
          <w:rFonts w:ascii="Book Antiqua" w:hAnsi="Book Antiqua"/>
          <w:lang w:val="es-PR"/>
        </w:rPr>
        <w:t xml:space="preserve"> </w:t>
      </w:r>
      <w:r w:rsidR="00EB5784">
        <w:rPr>
          <w:rFonts w:ascii="Book Antiqua" w:hAnsi="Book Antiqua"/>
          <w:lang w:val="es-PR"/>
        </w:rPr>
        <w:t>4</w:t>
      </w:r>
      <w:r w:rsidR="008A7397" w:rsidRPr="00183000">
        <w:rPr>
          <w:rFonts w:ascii="Book Antiqua" w:hAnsi="Book Antiqua"/>
          <w:lang w:val="es-PR"/>
        </w:rPr>
        <w:t xml:space="preserve">.  - </w:t>
      </w:r>
      <w:r w:rsidR="006C24FC" w:rsidRPr="00183000">
        <w:rPr>
          <w:rFonts w:ascii="Book Antiqua" w:hAnsi="Book Antiqua"/>
          <w:lang w:val="es-PR"/>
        </w:rPr>
        <w:t xml:space="preserve">Clausula de Separabilidad. </w:t>
      </w:r>
    </w:p>
    <w:p w14:paraId="010D431E" w14:textId="1C828DF7" w:rsidR="00183000" w:rsidRPr="00183000" w:rsidRDefault="006C24FC" w:rsidP="00EB5784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183000">
        <w:rPr>
          <w:rFonts w:ascii="Book Antiqua" w:hAnsi="Book Antiqua"/>
          <w:lang w:val="es-PR"/>
        </w:rPr>
        <w:t xml:space="preserve">Si cualquier disposición de esta </w:t>
      </w:r>
      <w:r w:rsidR="00155083">
        <w:rPr>
          <w:rFonts w:ascii="Book Antiqua" w:hAnsi="Book Antiqua"/>
          <w:lang w:val="es-PR"/>
        </w:rPr>
        <w:t xml:space="preserve">Resolución </w:t>
      </w:r>
      <w:r w:rsidRPr="00183000">
        <w:rPr>
          <w:rFonts w:ascii="Book Antiqua" w:hAnsi="Book Antiqua"/>
          <w:lang w:val="es-PR"/>
        </w:rPr>
        <w:t xml:space="preserve">fuera declarada inconstitucional, nula o inválida por un tribunal competente, dicha declaración no afectará las demás disposiciones </w:t>
      </w:r>
      <w:r w:rsidR="00155083">
        <w:rPr>
          <w:rFonts w:ascii="Book Antiqua" w:hAnsi="Book Antiqua"/>
          <w:lang w:val="es-PR"/>
        </w:rPr>
        <w:t>en ella contenida</w:t>
      </w:r>
      <w:r w:rsidRPr="00183000">
        <w:rPr>
          <w:rFonts w:ascii="Book Antiqua" w:hAnsi="Book Antiqua"/>
          <w:lang w:val="es-PR"/>
        </w:rPr>
        <w:t>, las cuales continuarán en pleno vigor y efecto.</w:t>
      </w:r>
    </w:p>
    <w:p w14:paraId="406D960D" w14:textId="4C5B67FD" w:rsidR="004440CB" w:rsidRPr="00A2403A" w:rsidRDefault="009D6D52" w:rsidP="00E10C20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183000">
        <w:rPr>
          <w:rFonts w:ascii="Book Antiqua" w:hAnsi="Book Antiqua"/>
          <w:lang w:val="es-PR"/>
        </w:rPr>
        <w:t xml:space="preserve">Artículo </w:t>
      </w:r>
      <w:r w:rsidR="00EB5784">
        <w:rPr>
          <w:rFonts w:ascii="Book Antiqua" w:hAnsi="Book Antiqua"/>
          <w:lang w:val="es-PR"/>
        </w:rPr>
        <w:t>5</w:t>
      </w:r>
      <w:r w:rsidRPr="00183000">
        <w:rPr>
          <w:rFonts w:ascii="Book Antiqua" w:hAnsi="Book Antiqua"/>
          <w:lang w:val="es-PR"/>
        </w:rPr>
        <w:t xml:space="preserve">.- Esta </w:t>
      </w:r>
      <w:r w:rsidR="00155083">
        <w:rPr>
          <w:rFonts w:ascii="Book Antiqua" w:hAnsi="Book Antiqua"/>
          <w:lang w:val="es-PR"/>
        </w:rPr>
        <w:t xml:space="preserve">Resolución </w:t>
      </w:r>
      <w:r w:rsidRPr="00183000">
        <w:rPr>
          <w:rFonts w:ascii="Book Antiqua" w:hAnsi="Book Antiqua"/>
          <w:lang w:val="es-PR"/>
        </w:rPr>
        <w:t>comenzará a regir inmediatamente después de su aprobación</w:t>
      </w:r>
      <w:r w:rsidR="00155083">
        <w:rPr>
          <w:rFonts w:ascii="Book Antiqua" w:hAnsi="Book Antiqua"/>
          <w:lang w:val="es-PR"/>
        </w:rPr>
        <w:t>.</w:t>
      </w:r>
    </w:p>
    <w:sectPr w:rsidR="004440CB" w:rsidRPr="00A2403A" w:rsidSect="002561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3CD55" w14:textId="77777777" w:rsidR="00414FB6" w:rsidRDefault="00414FB6">
      <w:r>
        <w:separator/>
      </w:r>
    </w:p>
  </w:endnote>
  <w:endnote w:type="continuationSeparator" w:id="0">
    <w:p w14:paraId="22349D94" w14:textId="77777777" w:rsidR="00414FB6" w:rsidRDefault="00414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F18E3" w14:textId="77777777" w:rsidR="00414FB6" w:rsidRDefault="00414FB6">
      <w:r>
        <w:separator/>
      </w:r>
    </w:p>
  </w:footnote>
  <w:footnote w:type="continuationSeparator" w:id="0">
    <w:p w14:paraId="604188CD" w14:textId="77777777" w:rsidR="00414FB6" w:rsidRDefault="00414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8FF8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271F4"/>
    <w:multiLevelType w:val="hybridMultilevel"/>
    <w:tmpl w:val="C916E8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F42B5A"/>
    <w:multiLevelType w:val="hybridMultilevel"/>
    <w:tmpl w:val="A61E42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CF7308"/>
    <w:multiLevelType w:val="hybridMultilevel"/>
    <w:tmpl w:val="1AE2AE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107C1"/>
    <w:multiLevelType w:val="hybridMultilevel"/>
    <w:tmpl w:val="196EFAC0"/>
    <w:lvl w:ilvl="0" w:tplc="05D28C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F449FB"/>
    <w:multiLevelType w:val="hybridMultilevel"/>
    <w:tmpl w:val="FF701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10F0F"/>
    <w:multiLevelType w:val="hybridMultilevel"/>
    <w:tmpl w:val="B86C7B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7A447A"/>
    <w:multiLevelType w:val="hybridMultilevel"/>
    <w:tmpl w:val="55B8CBD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875F2E"/>
    <w:multiLevelType w:val="hybridMultilevel"/>
    <w:tmpl w:val="5FCCAF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9A61BF"/>
    <w:multiLevelType w:val="hybridMultilevel"/>
    <w:tmpl w:val="70D8996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606EAB"/>
    <w:multiLevelType w:val="hybridMultilevel"/>
    <w:tmpl w:val="C8AE46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257824"/>
    <w:multiLevelType w:val="hybridMultilevel"/>
    <w:tmpl w:val="B2EEC7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56506AE"/>
    <w:multiLevelType w:val="hybridMultilevel"/>
    <w:tmpl w:val="4F2E0B7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E73DA4"/>
    <w:multiLevelType w:val="hybridMultilevel"/>
    <w:tmpl w:val="410A746C"/>
    <w:lvl w:ilvl="0" w:tplc="352095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462F1C"/>
    <w:multiLevelType w:val="hybridMultilevel"/>
    <w:tmpl w:val="84F095A6"/>
    <w:lvl w:ilvl="0" w:tplc="D4984A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93424B"/>
    <w:multiLevelType w:val="hybridMultilevel"/>
    <w:tmpl w:val="14FAFF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E293512"/>
    <w:multiLevelType w:val="hybridMultilevel"/>
    <w:tmpl w:val="51A81D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3F6967"/>
    <w:multiLevelType w:val="hybridMultilevel"/>
    <w:tmpl w:val="9B628D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E4665"/>
    <w:multiLevelType w:val="hybridMultilevel"/>
    <w:tmpl w:val="52F860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86786"/>
    <w:multiLevelType w:val="hybridMultilevel"/>
    <w:tmpl w:val="9AD6927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970C9A"/>
    <w:multiLevelType w:val="hybridMultilevel"/>
    <w:tmpl w:val="1F5C77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5572B2"/>
    <w:multiLevelType w:val="hybridMultilevel"/>
    <w:tmpl w:val="6404541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684564"/>
    <w:multiLevelType w:val="hybridMultilevel"/>
    <w:tmpl w:val="C24EB6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49727A"/>
    <w:multiLevelType w:val="hybridMultilevel"/>
    <w:tmpl w:val="FA7AB4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1D3B05"/>
    <w:multiLevelType w:val="hybridMultilevel"/>
    <w:tmpl w:val="C934608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1441E7"/>
    <w:multiLevelType w:val="hybridMultilevel"/>
    <w:tmpl w:val="1512D7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265150"/>
    <w:multiLevelType w:val="hybridMultilevel"/>
    <w:tmpl w:val="FB162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0D3206"/>
    <w:multiLevelType w:val="hybridMultilevel"/>
    <w:tmpl w:val="87B81B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B03F83"/>
    <w:multiLevelType w:val="hybridMultilevel"/>
    <w:tmpl w:val="719863E6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EB135D"/>
    <w:multiLevelType w:val="hybridMultilevel"/>
    <w:tmpl w:val="6FF2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904F9B"/>
    <w:multiLevelType w:val="hybridMultilevel"/>
    <w:tmpl w:val="55AABD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2343ED"/>
    <w:multiLevelType w:val="hybridMultilevel"/>
    <w:tmpl w:val="07A0D7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BF5C23"/>
    <w:multiLevelType w:val="hybridMultilevel"/>
    <w:tmpl w:val="431AC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40F04"/>
    <w:multiLevelType w:val="hybridMultilevel"/>
    <w:tmpl w:val="94F275E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355E3F"/>
    <w:multiLevelType w:val="hybridMultilevel"/>
    <w:tmpl w:val="CFD49E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F8F3AC7"/>
    <w:multiLevelType w:val="hybridMultilevel"/>
    <w:tmpl w:val="5CC0B3E6"/>
    <w:lvl w:ilvl="0" w:tplc="FFFFFFFF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0A5640A"/>
    <w:multiLevelType w:val="hybridMultilevel"/>
    <w:tmpl w:val="1C6CCF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0CF25D1"/>
    <w:multiLevelType w:val="hybridMultilevel"/>
    <w:tmpl w:val="0422F1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6213FA"/>
    <w:multiLevelType w:val="hybridMultilevel"/>
    <w:tmpl w:val="FF889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0C027E"/>
    <w:multiLevelType w:val="hybridMultilevel"/>
    <w:tmpl w:val="F8B4C9A6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225CCA"/>
    <w:multiLevelType w:val="hybridMultilevel"/>
    <w:tmpl w:val="D70EEE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34804A6"/>
    <w:multiLevelType w:val="hybridMultilevel"/>
    <w:tmpl w:val="E3CEED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7A608B0"/>
    <w:multiLevelType w:val="hybridMultilevel"/>
    <w:tmpl w:val="DDAE058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012DE4"/>
    <w:multiLevelType w:val="hybridMultilevel"/>
    <w:tmpl w:val="8166A81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D6B6D9D"/>
    <w:multiLevelType w:val="hybridMultilevel"/>
    <w:tmpl w:val="D4FC4F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4A3598B"/>
    <w:multiLevelType w:val="hybridMultilevel"/>
    <w:tmpl w:val="EC9CE1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5731D70"/>
    <w:multiLevelType w:val="hybridMultilevel"/>
    <w:tmpl w:val="05A85B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DEA54A8"/>
    <w:multiLevelType w:val="hybridMultilevel"/>
    <w:tmpl w:val="F5FEB8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966249">
    <w:abstractNumId w:val="8"/>
  </w:num>
  <w:num w:numId="2" w16cid:durableId="1414276131">
    <w:abstractNumId w:val="12"/>
  </w:num>
  <w:num w:numId="3" w16cid:durableId="295333388">
    <w:abstractNumId w:val="3"/>
  </w:num>
  <w:num w:numId="4" w16cid:durableId="1035276381">
    <w:abstractNumId w:val="40"/>
  </w:num>
  <w:num w:numId="5" w16cid:durableId="577401605">
    <w:abstractNumId w:val="32"/>
  </w:num>
  <w:num w:numId="6" w16cid:durableId="690423038">
    <w:abstractNumId w:val="22"/>
  </w:num>
  <w:num w:numId="7" w16cid:durableId="354580874">
    <w:abstractNumId w:val="42"/>
  </w:num>
  <w:num w:numId="8" w16cid:durableId="782530432">
    <w:abstractNumId w:val="21"/>
  </w:num>
  <w:num w:numId="9" w16cid:durableId="1636059236">
    <w:abstractNumId w:val="39"/>
  </w:num>
  <w:num w:numId="10" w16cid:durableId="1924996564">
    <w:abstractNumId w:val="45"/>
  </w:num>
  <w:num w:numId="11" w16cid:durableId="1423254503">
    <w:abstractNumId w:val="14"/>
  </w:num>
  <w:num w:numId="12" w16cid:durableId="1372459587">
    <w:abstractNumId w:val="23"/>
  </w:num>
  <w:num w:numId="13" w16cid:durableId="1745495407">
    <w:abstractNumId w:val="33"/>
  </w:num>
  <w:num w:numId="14" w16cid:durableId="2125994539">
    <w:abstractNumId w:val="15"/>
  </w:num>
  <w:num w:numId="15" w16cid:durableId="1301962837">
    <w:abstractNumId w:val="35"/>
  </w:num>
  <w:num w:numId="16" w16cid:durableId="1277714500">
    <w:abstractNumId w:val="29"/>
  </w:num>
  <w:num w:numId="17" w16cid:durableId="165676928">
    <w:abstractNumId w:val="43"/>
  </w:num>
  <w:num w:numId="18" w16cid:durableId="1198471232">
    <w:abstractNumId w:val="19"/>
  </w:num>
  <w:num w:numId="19" w16cid:durableId="608318521">
    <w:abstractNumId w:val="24"/>
  </w:num>
  <w:num w:numId="20" w16cid:durableId="390351189">
    <w:abstractNumId w:val="7"/>
  </w:num>
  <w:num w:numId="21" w16cid:durableId="1755662874">
    <w:abstractNumId w:val="1"/>
  </w:num>
  <w:num w:numId="22" w16cid:durableId="1725446384">
    <w:abstractNumId w:val="5"/>
  </w:num>
  <w:num w:numId="23" w16cid:durableId="1903249987">
    <w:abstractNumId w:val="11"/>
  </w:num>
  <w:num w:numId="24" w16cid:durableId="1322928102">
    <w:abstractNumId w:val="38"/>
  </w:num>
  <w:num w:numId="25" w16cid:durableId="182980968">
    <w:abstractNumId w:val="41"/>
  </w:num>
  <w:num w:numId="26" w16cid:durableId="438991848">
    <w:abstractNumId w:val="28"/>
  </w:num>
  <w:num w:numId="27" w16cid:durableId="984700002">
    <w:abstractNumId w:val="2"/>
  </w:num>
  <w:num w:numId="28" w16cid:durableId="122968854">
    <w:abstractNumId w:val="31"/>
  </w:num>
  <w:num w:numId="29" w16cid:durableId="2116631758">
    <w:abstractNumId w:val="46"/>
  </w:num>
  <w:num w:numId="30" w16cid:durableId="1030305821">
    <w:abstractNumId w:val="25"/>
  </w:num>
  <w:num w:numId="31" w16cid:durableId="250897778">
    <w:abstractNumId w:val="36"/>
  </w:num>
  <w:num w:numId="32" w16cid:durableId="1231694464">
    <w:abstractNumId w:val="17"/>
  </w:num>
  <w:num w:numId="33" w16cid:durableId="1630669016">
    <w:abstractNumId w:val="9"/>
  </w:num>
  <w:num w:numId="34" w16cid:durableId="411703063">
    <w:abstractNumId w:val="30"/>
  </w:num>
  <w:num w:numId="35" w16cid:durableId="1220701045">
    <w:abstractNumId w:val="26"/>
  </w:num>
  <w:num w:numId="36" w16cid:durableId="1760373807">
    <w:abstractNumId w:val="20"/>
  </w:num>
  <w:num w:numId="37" w16cid:durableId="1565137492">
    <w:abstractNumId w:val="18"/>
  </w:num>
  <w:num w:numId="38" w16cid:durableId="1455783447">
    <w:abstractNumId w:val="10"/>
  </w:num>
  <w:num w:numId="39" w16cid:durableId="1510833509">
    <w:abstractNumId w:val="16"/>
  </w:num>
  <w:num w:numId="40" w16cid:durableId="1642540911">
    <w:abstractNumId w:val="4"/>
  </w:num>
  <w:num w:numId="41" w16cid:durableId="1202476375">
    <w:abstractNumId w:val="6"/>
  </w:num>
  <w:num w:numId="42" w16cid:durableId="1247959002">
    <w:abstractNumId w:val="0"/>
  </w:num>
  <w:num w:numId="43" w16cid:durableId="1326056317">
    <w:abstractNumId w:val="44"/>
  </w:num>
  <w:num w:numId="44" w16cid:durableId="121388338">
    <w:abstractNumId w:val="13"/>
  </w:num>
  <w:num w:numId="45" w16cid:durableId="1464498208">
    <w:abstractNumId w:val="27"/>
  </w:num>
  <w:num w:numId="46" w16cid:durableId="772358419">
    <w:abstractNumId w:val="34"/>
  </w:num>
  <w:num w:numId="47" w16cid:durableId="47318146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2AB8"/>
    <w:rsid w:val="000069DE"/>
    <w:rsid w:val="0000702B"/>
    <w:rsid w:val="00007D7C"/>
    <w:rsid w:val="00014CF3"/>
    <w:rsid w:val="00015708"/>
    <w:rsid w:val="00016153"/>
    <w:rsid w:val="00016585"/>
    <w:rsid w:val="00017811"/>
    <w:rsid w:val="00017D36"/>
    <w:rsid w:val="00020902"/>
    <w:rsid w:val="00020D74"/>
    <w:rsid w:val="0002397F"/>
    <w:rsid w:val="00025FD8"/>
    <w:rsid w:val="0002682C"/>
    <w:rsid w:val="00031EC6"/>
    <w:rsid w:val="00032717"/>
    <w:rsid w:val="000340B4"/>
    <w:rsid w:val="000359C4"/>
    <w:rsid w:val="000402D2"/>
    <w:rsid w:val="000445DE"/>
    <w:rsid w:val="0004525A"/>
    <w:rsid w:val="00045D84"/>
    <w:rsid w:val="00053F6B"/>
    <w:rsid w:val="00062686"/>
    <w:rsid w:val="00063522"/>
    <w:rsid w:val="00063B5B"/>
    <w:rsid w:val="00070CD3"/>
    <w:rsid w:val="00070EC7"/>
    <w:rsid w:val="000715A1"/>
    <w:rsid w:val="000718FC"/>
    <w:rsid w:val="0007463C"/>
    <w:rsid w:val="00074AD5"/>
    <w:rsid w:val="000845DE"/>
    <w:rsid w:val="000852C9"/>
    <w:rsid w:val="00086E41"/>
    <w:rsid w:val="00087C28"/>
    <w:rsid w:val="00091032"/>
    <w:rsid w:val="00092A91"/>
    <w:rsid w:val="0009309C"/>
    <w:rsid w:val="00093188"/>
    <w:rsid w:val="0009350A"/>
    <w:rsid w:val="000944BF"/>
    <w:rsid w:val="000964AF"/>
    <w:rsid w:val="00096F44"/>
    <w:rsid w:val="00097165"/>
    <w:rsid w:val="000A08A9"/>
    <w:rsid w:val="000A0DF0"/>
    <w:rsid w:val="000A15BC"/>
    <w:rsid w:val="000A589B"/>
    <w:rsid w:val="000A5B23"/>
    <w:rsid w:val="000A6686"/>
    <w:rsid w:val="000B5A1A"/>
    <w:rsid w:val="000B6837"/>
    <w:rsid w:val="000C1292"/>
    <w:rsid w:val="000C23BC"/>
    <w:rsid w:val="000C39C1"/>
    <w:rsid w:val="000C66D0"/>
    <w:rsid w:val="000C6A13"/>
    <w:rsid w:val="000C6D67"/>
    <w:rsid w:val="000D018D"/>
    <w:rsid w:val="000D076A"/>
    <w:rsid w:val="000D0BD6"/>
    <w:rsid w:val="000D2DD5"/>
    <w:rsid w:val="000D749B"/>
    <w:rsid w:val="000E19C2"/>
    <w:rsid w:val="000E2356"/>
    <w:rsid w:val="000E2A02"/>
    <w:rsid w:val="000E3604"/>
    <w:rsid w:val="000E3614"/>
    <w:rsid w:val="000E420C"/>
    <w:rsid w:val="000E4281"/>
    <w:rsid w:val="000F0B31"/>
    <w:rsid w:val="000F0E3E"/>
    <w:rsid w:val="000F24EE"/>
    <w:rsid w:val="000F2E75"/>
    <w:rsid w:val="000F2ED7"/>
    <w:rsid w:val="000F3F2A"/>
    <w:rsid w:val="001007BF"/>
    <w:rsid w:val="00102B7A"/>
    <w:rsid w:val="001047D6"/>
    <w:rsid w:val="00104DB2"/>
    <w:rsid w:val="0011177A"/>
    <w:rsid w:val="0011182F"/>
    <w:rsid w:val="00112211"/>
    <w:rsid w:val="00112295"/>
    <w:rsid w:val="00112AB0"/>
    <w:rsid w:val="00113633"/>
    <w:rsid w:val="00117DBB"/>
    <w:rsid w:val="001213CC"/>
    <w:rsid w:val="00123389"/>
    <w:rsid w:val="00125A6B"/>
    <w:rsid w:val="00130ACF"/>
    <w:rsid w:val="001335BB"/>
    <w:rsid w:val="00134916"/>
    <w:rsid w:val="001351B1"/>
    <w:rsid w:val="001369AB"/>
    <w:rsid w:val="00137429"/>
    <w:rsid w:val="00142521"/>
    <w:rsid w:val="00145C76"/>
    <w:rsid w:val="00146882"/>
    <w:rsid w:val="00154CC2"/>
    <w:rsid w:val="00155083"/>
    <w:rsid w:val="00162FD8"/>
    <w:rsid w:val="001633B3"/>
    <w:rsid w:val="0016412B"/>
    <w:rsid w:val="001656C7"/>
    <w:rsid w:val="00167557"/>
    <w:rsid w:val="00167C14"/>
    <w:rsid w:val="001714CA"/>
    <w:rsid w:val="0017507C"/>
    <w:rsid w:val="00181955"/>
    <w:rsid w:val="001822A8"/>
    <w:rsid w:val="00183000"/>
    <w:rsid w:val="00183482"/>
    <w:rsid w:val="00183558"/>
    <w:rsid w:val="001840BC"/>
    <w:rsid w:val="00184389"/>
    <w:rsid w:val="001855CF"/>
    <w:rsid w:val="00192316"/>
    <w:rsid w:val="001923DF"/>
    <w:rsid w:val="0019253F"/>
    <w:rsid w:val="00197549"/>
    <w:rsid w:val="001B031F"/>
    <w:rsid w:val="001B0A8A"/>
    <w:rsid w:val="001B2CCC"/>
    <w:rsid w:val="001B3EF2"/>
    <w:rsid w:val="001B7DFE"/>
    <w:rsid w:val="001C1E7B"/>
    <w:rsid w:val="001C29F0"/>
    <w:rsid w:val="001D133A"/>
    <w:rsid w:val="001D350F"/>
    <w:rsid w:val="001E0121"/>
    <w:rsid w:val="001E0E8A"/>
    <w:rsid w:val="001E2596"/>
    <w:rsid w:val="001E41C6"/>
    <w:rsid w:val="001E443E"/>
    <w:rsid w:val="001E4777"/>
    <w:rsid w:val="001E72BA"/>
    <w:rsid w:val="001F47A9"/>
    <w:rsid w:val="001F5E31"/>
    <w:rsid w:val="00201EF2"/>
    <w:rsid w:val="002033D2"/>
    <w:rsid w:val="00204818"/>
    <w:rsid w:val="00204992"/>
    <w:rsid w:val="002064DA"/>
    <w:rsid w:val="00210134"/>
    <w:rsid w:val="00210744"/>
    <w:rsid w:val="00210857"/>
    <w:rsid w:val="00211D85"/>
    <w:rsid w:val="00212920"/>
    <w:rsid w:val="002133ED"/>
    <w:rsid w:val="00216293"/>
    <w:rsid w:val="00216FC4"/>
    <w:rsid w:val="002206E3"/>
    <w:rsid w:val="00221E36"/>
    <w:rsid w:val="00222749"/>
    <w:rsid w:val="002258F2"/>
    <w:rsid w:val="002266AA"/>
    <w:rsid w:val="00226CD6"/>
    <w:rsid w:val="00230D46"/>
    <w:rsid w:val="00234E2E"/>
    <w:rsid w:val="00235B5F"/>
    <w:rsid w:val="002370A7"/>
    <w:rsid w:val="00241498"/>
    <w:rsid w:val="00251830"/>
    <w:rsid w:val="00251906"/>
    <w:rsid w:val="0025618A"/>
    <w:rsid w:val="0026049B"/>
    <w:rsid w:val="002605F2"/>
    <w:rsid w:val="00260857"/>
    <w:rsid w:val="002628AD"/>
    <w:rsid w:val="002639FB"/>
    <w:rsid w:val="00264DD2"/>
    <w:rsid w:val="00264FE6"/>
    <w:rsid w:val="00266239"/>
    <w:rsid w:val="00273A10"/>
    <w:rsid w:val="002802AC"/>
    <w:rsid w:val="002804E9"/>
    <w:rsid w:val="00280A19"/>
    <w:rsid w:val="00280E92"/>
    <w:rsid w:val="00281004"/>
    <w:rsid w:val="0028281B"/>
    <w:rsid w:val="002835B3"/>
    <w:rsid w:val="0028653A"/>
    <w:rsid w:val="00292E61"/>
    <w:rsid w:val="002A0CB6"/>
    <w:rsid w:val="002A1743"/>
    <w:rsid w:val="002A2699"/>
    <w:rsid w:val="002A4198"/>
    <w:rsid w:val="002A5A59"/>
    <w:rsid w:val="002A678A"/>
    <w:rsid w:val="002A741A"/>
    <w:rsid w:val="002A7CC6"/>
    <w:rsid w:val="002B542D"/>
    <w:rsid w:val="002B5BC5"/>
    <w:rsid w:val="002B6A73"/>
    <w:rsid w:val="002C569D"/>
    <w:rsid w:val="002D1629"/>
    <w:rsid w:val="002D1C39"/>
    <w:rsid w:val="002D2BB3"/>
    <w:rsid w:val="002D33F8"/>
    <w:rsid w:val="002D35E5"/>
    <w:rsid w:val="002D3DE9"/>
    <w:rsid w:val="002D46D3"/>
    <w:rsid w:val="002D4AC8"/>
    <w:rsid w:val="002D553E"/>
    <w:rsid w:val="002D6777"/>
    <w:rsid w:val="002D6A1F"/>
    <w:rsid w:val="002E0D13"/>
    <w:rsid w:val="002E32DF"/>
    <w:rsid w:val="002E4DA0"/>
    <w:rsid w:val="002E6311"/>
    <w:rsid w:val="002E7D69"/>
    <w:rsid w:val="002F0CE0"/>
    <w:rsid w:val="002F323E"/>
    <w:rsid w:val="002F3741"/>
    <w:rsid w:val="002F6B02"/>
    <w:rsid w:val="002F6B32"/>
    <w:rsid w:val="002F70CC"/>
    <w:rsid w:val="002F7EFF"/>
    <w:rsid w:val="00300932"/>
    <w:rsid w:val="003022F3"/>
    <w:rsid w:val="003054D0"/>
    <w:rsid w:val="00307743"/>
    <w:rsid w:val="00312AF4"/>
    <w:rsid w:val="003130B4"/>
    <w:rsid w:val="003131B8"/>
    <w:rsid w:val="00313459"/>
    <w:rsid w:val="003138E5"/>
    <w:rsid w:val="003148FA"/>
    <w:rsid w:val="00316163"/>
    <w:rsid w:val="00317390"/>
    <w:rsid w:val="00321146"/>
    <w:rsid w:val="003308A7"/>
    <w:rsid w:val="00330FAF"/>
    <w:rsid w:val="00333FD2"/>
    <w:rsid w:val="0033533D"/>
    <w:rsid w:val="00341CE0"/>
    <w:rsid w:val="00341E54"/>
    <w:rsid w:val="00341E9D"/>
    <w:rsid w:val="00344670"/>
    <w:rsid w:val="003446A6"/>
    <w:rsid w:val="0034543D"/>
    <w:rsid w:val="0034678D"/>
    <w:rsid w:val="00346C7B"/>
    <w:rsid w:val="00354DC7"/>
    <w:rsid w:val="00355743"/>
    <w:rsid w:val="00355C73"/>
    <w:rsid w:val="0036184D"/>
    <w:rsid w:val="003636D6"/>
    <w:rsid w:val="0036618E"/>
    <w:rsid w:val="00367AE3"/>
    <w:rsid w:val="0037167A"/>
    <w:rsid w:val="00372BEC"/>
    <w:rsid w:val="0037333C"/>
    <w:rsid w:val="00373EDF"/>
    <w:rsid w:val="00376391"/>
    <w:rsid w:val="00377079"/>
    <w:rsid w:val="00382C67"/>
    <w:rsid w:val="003841E4"/>
    <w:rsid w:val="00384D2A"/>
    <w:rsid w:val="003856BA"/>
    <w:rsid w:val="00385ABA"/>
    <w:rsid w:val="00396239"/>
    <w:rsid w:val="003A1631"/>
    <w:rsid w:val="003A1B97"/>
    <w:rsid w:val="003A29CB"/>
    <w:rsid w:val="003A3162"/>
    <w:rsid w:val="003A3419"/>
    <w:rsid w:val="003A35F7"/>
    <w:rsid w:val="003A5D76"/>
    <w:rsid w:val="003A6FB2"/>
    <w:rsid w:val="003A7168"/>
    <w:rsid w:val="003B5302"/>
    <w:rsid w:val="003C0CA3"/>
    <w:rsid w:val="003C1E33"/>
    <w:rsid w:val="003C27DB"/>
    <w:rsid w:val="003C7DE4"/>
    <w:rsid w:val="003D2AB8"/>
    <w:rsid w:val="003D45E3"/>
    <w:rsid w:val="003E1B1B"/>
    <w:rsid w:val="003E35A9"/>
    <w:rsid w:val="003E44FE"/>
    <w:rsid w:val="003E5F5E"/>
    <w:rsid w:val="003F1E51"/>
    <w:rsid w:val="003F1EF2"/>
    <w:rsid w:val="003F2148"/>
    <w:rsid w:val="003F3E0F"/>
    <w:rsid w:val="003F7667"/>
    <w:rsid w:val="00402A01"/>
    <w:rsid w:val="00402B6E"/>
    <w:rsid w:val="004035B3"/>
    <w:rsid w:val="004068C5"/>
    <w:rsid w:val="00407231"/>
    <w:rsid w:val="00410EF7"/>
    <w:rsid w:val="004117FC"/>
    <w:rsid w:val="00414FB6"/>
    <w:rsid w:val="0041514E"/>
    <w:rsid w:val="004168B0"/>
    <w:rsid w:val="00417EF6"/>
    <w:rsid w:val="00420D23"/>
    <w:rsid w:val="004216D0"/>
    <w:rsid w:val="004261DF"/>
    <w:rsid w:val="004335FA"/>
    <w:rsid w:val="00436E12"/>
    <w:rsid w:val="0044259F"/>
    <w:rsid w:val="00442961"/>
    <w:rsid w:val="00443447"/>
    <w:rsid w:val="004440CB"/>
    <w:rsid w:val="00444622"/>
    <w:rsid w:val="004448B3"/>
    <w:rsid w:val="00447CE3"/>
    <w:rsid w:val="004528C2"/>
    <w:rsid w:val="004531BE"/>
    <w:rsid w:val="00454063"/>
    <w:rsid w:val="00455257"/>
    <w:rsid w:val="00460D58"/>
    <w:rsid w:val="00470887"/>
    <w:rsid w:val="00470CC1"/>
    <w:rsid w:val="00471EE2"/>
    <w:rsid w:val="00473257"/>
    <w:rsid w:val="0047561F"/>
    <w:rsid w:val="00476E3F"/>
    <w:rsid w:val="00477457"/>
    <w:rsid w:val="00477811"/>
    <w:rsid w:val="00482B16"/>
    <w:rsid w:val="004867B6"/>
    <w:rsid w:val="00487B48"/>
    <w:rsid w:val="00490BB4"/>
    <w:rsid w:val="004929FF"/>
    <w:rsid w:val="00493FAB"/>
    <w:rsid w:val="004959A3"/>
    <w:rsid w:val="004969A9"/>
    <w:rsid w:val="00497809"/>
    <w:rsid w:val="004A0629"/>
    <w:rsid w:val="004A1508"/>
    <w:rsid w:val="004A32BC"/>
    <w:rsid w:val="004B19C4"/>
    <w:rsid w:val="004B1B5B"/>
    <w:rsid w:val="004B2EDE"/>
    <w:rsid w:val="004B47E7"/>
    <w:rsid w:val="004B7800"/>
    <w:rsid w:val="004C342A"/>
    <w:rsid w:val="004C7560"/>
    <w:rsid w:val="004C78BB"/>
    <w:rsid w:val="004D0B94"/>
    <w:rsid w:val="004D469B"/>
    <w:rsid w:val="004D7889"/>
    <w:rsid w:val="004D7AD3"/>
    <w:rsid w:val="004E03A3"/>
    <w:rsid w:val="004E1F83"/>
    <w:rsid w:val="004E1FCC"/>
    <w:rsid w:val="004E6CA4"/>
    <w:rsid w:val="004F00B5"/>
    <w:rsid w:val="004F0411"/>
    <w:rsid w:val="004F0692"/>
    <w:rsid w:val="004F20BC"/>
    <w:rsid w:val="004F55C0"/>
    <w:rsid w:val="004F5601"/>
    <w:rsid w:val="00500C20"/>
    <w:rsid w:val="00501D75"/>
    <w:rsid w:val="00502835"/>
    <w:rsid w:val="00503060"/>
    <w:rsid w:val="00503108"/>
    <w:rsid w:val="00505770"/>
    <w:rsid w:val="005075DE"/>
    <w:rsid w:val="005105B0"/>
    <w:rsid w:val="00515BF4"/>
    <w:rsid w:val="0052400A"/>
    <w:rsid w:val="00524799"/>
    <w:rsid w:val="0052740C"/>
    <w:rsid w:val="00530C0A"/>
    <w:rsid w:val="00532057"/>
    <w:rsid w:val="0053692D"/>
    <w:rsid w:val="0053702D"/>
    <w:rsid w:val="005370B8"/>
    <w:rsid w:val="005373BB"/>
    <w:rsid w:val="005430BE"/>
    <w:rsid w:val="00543DEB"/>
    <w:rsid w:val="005451C7"/>
    <w:rsid w:val="00546038"/>
    <w:rsid w:val="00551699"/>
    <w:rsid w:val="00551999"/>
    <w:rsid w:val="00551E16"/>
    <w:rsid w:val="0056122B"/>
    <w:rsid w:val="005613C3"/>
    <w:rsid w:val="00561E4B"/>
    <w:rsid w:val="0057108C"/>
    <w:rsid w:val="005722DF"/>
    <w:rsid w:val="0057230F"/>
    <w:rsid w:val="00577DC5"/>
    <w:rsid w:val="005837A7"/>
    <w:rsid w:val="00585009"/>
    <w:rsid w:val="005857DE"/>
    <w:rsid w:val="0058581F"/>
    <w:rsid w:val="005876EF"/>
    <w:rsid w:val="0059022D"/>
    <w:rsid w:val="00595161"/>
    <w:rsid w:val="005A16E7"/>
    <w:rsid w:val="005A24EB"/>
    <w:rsid w:val="005A2735"/>
    <w:rsid w:val="005A2D37"/>
    <w:rsid w:val="005A56D2"/>
    <w:rsid w:val="005A67F9"/>
    <w:rsid w:val="005B0143"/>
    <w:rsid w:val="005B050B"/>
    <w:rsid w:val="005B081F"/>
    <w:rsid w:val="005B0E1F"/>
    <w:rsid w:val="005B3218"/>
    <w:rsid w:val="005B7E55"/>
    <w:rsid w:val="005C2578"/>
    <w:rsid w:val="005C58F6"/>
    <w:rsid w:val="005D69DF"/>
    <w:rsid w:val="005D73DB"/>
    <w:rsid w:val="005D7788"/>
    <w:rsid w:val="005E0228"/>
    <w:rsid w:val="005F1EE4"/>
    <w:rsid w:val="005F594B"/>
    <w:rsid w:val="005F5980"/>
    <w:rsid w:val="005F7F5B"/>
    <w:rsid w:val="006042AF"/>
    <w:rsid w:val="006110C8"/>
    <w:rsid w:val="00611572"/>
    <w:rsid w:val="006121C8"/>
    <w:rsid w:val="0061467D"/>
    <w:rsid w:val="00615365"/>
    <w:rsid w:val="00617083"/>
    <w:rsid w:val="00625A54"/>
    <w:rsid w:val="00632282"/>
    <w:rsid w:val="00640513"/>
    <w:rsid w:val="00641ECD"/>
    <w:rsid w:val="00643702"/>
    <w:rsid w:val="00643F6A"/>
    <w:rsid w:val="00645B05"/>
    <w:rsid w:val="006476F7"/>
    <w:rsid w:val="006525B9"/>
    <w:rsid w:val="00654906"/>
    <w:rsid w:val="00654A03"/>
    <w:rsid w:val="00657938"/>
    <w:rsid w:val="00661FB0"/>
    <w:rsid w:val="00662228"/>
    <w:rsid w:val="006716EA"/>
    <w:rsid w:val="00673B43"/>
    <w:rsid w:val="00674D19"/>
    <w:rsid w:val="006767C2"/>
    <w:rsid w:val="00676813"/>
    <w:rsid w:val="0067722A"/>
    <w:rsid w:val="006870A3"/>
    <w:rsid w:val="00692767"/>
    <w:rsid w:val="00692870"/>
    <w:rsid w:val="00692E2D"/>
    <w:rsid w:val="0069431B"/>
    <w:rsid w:val="00695180"/>
    <w:rsid w:val="006A1C7E"/>
    <w:rsid w:val="006A799D"/>
    <w:rsid w:val="006A7E84"/>
    <w:rsid w:val="006B08BA"/>
    <w:rsid w:val="006B599D"/>
    <w:rsid w:val="006B6816"/>
    <w:rsid w:val="006B7DB2"/>
    <w:rsid w:val="006C1181"/>
    <w:rsid w:val="006C24FC"/>
    <w:rsid w:val="006C3143"/>
    <w:rsid w:val="006C36D8"/>
    <w:rsid w:val="006C49A6"/>
    <w:rsid w:val="006C5828"/>
    <w:rsid w:val="006D514D"/>
    <w:rsid w:val="006D6D91"/>
    <w:rsid w:val="006D79D6"/>
    <w:rsid w:val="006E0040"/>
    <w:rsid w:val="006E0973"/>
    <w:rsid w:val="006E4375"/>
    <w:rsid w:val="006E5117"/>
    <w:rsid w:val="006E5F0F"/>
    <w:rsid w:val="006E612A"/>
    <w:rsid w:val="006F050B"/>
    <w:rsid w:val="006F182F"/>
    <w:rsid w:val="006F40A5"/>
    <w:rsid w:val="006F6807"/>
    <w:rsid w:val="007008F6"/>
    <w:rsid w:val="00701DBC"/>
    <w:rsid w:val="00703A5A"/>
    <w:rsid w:val="007045E0"/>
    <w:rsid w:val="007103DF"/>
    <w:rsid w:val="00712C7F"/>
    <w:rsid w:val="00713652"/>
    <w:rsid w:val="00714B70"/>
    <w:rsid w:val="00715A1A"/>
    <w:rsid w:val="00716DD5"/>
    <w:rsid w:val="007176AD"/>
    <w:rsid w:val="007176C5"/>
    <w:rsid w:val="00717D74"/>
    <w:rsid w:val="00727672"/>
    <w:rsid w:val="007308D3"/>
    <w:rsid w:val="00730F03"/>
    <w:rsid w:val="007348BB"/>
    <w:rsid w:val="007401E6"/>
    <w:rsid w:val="00750149"/>
    <w:rsid w:val="00750930"/>
    <w:rsid w:val="00754FC4"/>
    <w:rsid w:val="00755E26"/>
    <w:rsid w:val="00756329"/>
    <w:rsid w:val="00756D06"/>
    <w:rsid w:val="00762497"/>
    <w:rsid w:val="00764EDA"/>
    <w:rsid w:val="00765B7C"/>
    <w:rsid w:val="0076671A"/>
    <w:rsid w:val="00770A42"/>
    <w:rsid w:val="00770BF9"/>
    <w:rsid w:val="007720F8"/>
    <w:rsid w:val="00773C78"/>
    <w:rsid w:val="00780723"/>
    <w:rsid w:val="00783709"/>
    <w:rsid w:val="00784B6C"/>
    <w:rsid w:val="007851EC"/>
    <w:rsid w:val="007857E4"/>
    <w:rsid w:val="00785CB3"/>
    <w:rsid w:val="007921E4"/>
    <w:rsid w:val="00792B6C"/>
    <w:rsid w:val="00793362"/>
    <w:rsid w:val="0079383A"/>
    <w:rsid w:val="007941CB"/>
    <w:rsid w:val="00794A45"/>
    <w:rsid w:val="00794C8C"/>
    <w:rsid w:val="00797FC2"/>
    <w:rsid w:val="007A1063"/>
    <w:rsid w:val="007A2D02"/>
    <w:rsid w:val="007A3587"/>
    <w:rsid w:val="007A3E3E"/>
    <w:rsid w:val="007B0478"/>
    <w:rsid w:val="007B0E4F"/>
    <w:rsid w:val="007B2319"/>
    <w:rsid w:val="007B7B06"/>
    <w:rsid w:val="007C118E"/>
    <w:rsid w:val="007C6CF4"/>
    <w:rsid w:val="007D5155"/>
    <w:rsid w:val="007D7267"/>
    <w:rsid w:val="007D75B0"/>
    <w:rsid w:val="007E4E29"/>
    <w:rsid w:val="007E66B2"/>
    <w:rsid w:val="007E6CF2"/>
    <w:rsid w:val="007F0749"/>
    <w:rsid w:val="007F50C6"/>
    <w:rsid w:val="007F7D23"/>
    <w:rsid w:val="00802CEF"/>
    <w:rsid w:val="0080348D"/>
    <w:rsid w:val="00806401"/>
    <w:rsid w:val="0081120D"/>
    <w:rsid w:val="00812B46"/>
    <w:rsid w:val="00815436"/>
    <w:rsid w:val="00815813"/>
    <w:rsid w:val="00816C68"/>
    <w:rsid w:val="008212AB"/>
    <w:rsid w:val="00823396"/>
    <w:rsid w:val="00825BC8"/>
    <w:rsid w:val="0082610C"/>
    <w:rsid w:val="00826899"/>
    <w:rsid w:val="0083177E"/>
    <w:rsid w:val="00831F8C"/>
    <w:rsid w:val="00833573"/>
    <w:rsid w:val="00835A9D"/>
    <w:rsid w:val="00836B8C"/>
    <w:rsid w:val="0084380E"/>
    <w:rsid w:val="00843BB4"/>
    <w:rsid w:val="00844FA3"/>
    <w:rsid w:val="00845753"/>
    <w:rsid w:val="008509BB"/>
    <w:rsid w:val="0085357C"/>
    <w:rsid w:val="008543AC"/>
    <w:rsid w:val="00854E7F"/>
    <w:rsid w:val="008567CD"/>
    <w:rsid w:val="00857B83"/>
    <w:rsid w:val="008624F6"/>
    <w:rsid w:val="00864AB9"/>
    <w:rsid w:val="00864D81"/>
    <w:rsid w:val="008671F2"/>
    <w:rsid w:val="00874990"/>
    <w:rsid w:val="00874E82"/>
    <w:rsid w:val="0087523A"/>
    <w:rsid w:val="00876B16"/>
    <w:rsid w:val="00877914"/>
    <w:rsid w:val="0088076C"/>
    <w:rsid w:val="00880988"/>
    <w:rsid w:val="00881499"/>
    <w:rsid w:val="00882FE8"/>
    <w:rsid w:val="00884488"/>
    <w:rsid w:val="008914B1"/>
    <w:rsid w:val="00895040"/>
    <w:rsid w:val="008A08E6"/>
    <w:rsid w:val="008A12D4"/>
    <w:rsid w:val="008A242E"/>
    <w:rsid w:val="008A40E9"/>
    <w:rsid w:val="008A472F"/>
    <w:rsid w:val="008A5768"/>
    <w:rsid w:val="008A7397"/>
    <w:rsid w:val="008A73C3"/>
    <w:rsid w:val="008A788C"/>
    <w:rsid w:val="008B2B31"/>
    <w:rsid w:val="008B596A"/>
    <w:rsid w:val="008B68EF"/>
    <w:rsid w:val="008B7F9A"/>
    <w:rsid w:val="008D1E26"/>
    <w:rsid w:val="008D3E1F"/>
    <w:rsid w:val="008D3FBF"/>
    <w:rsid w:val="008D419D"/>
    <w:rsid w:val="008D5697"/>
    <w:rsid w:val="008D7E7D"/>
    <w:rsid w:val="008E5DAD"/>
    <w:rsid w:val="008E77E7"/>
    <w:rsid w:val="008F0803"/>
    <w:rsid w:val="008F4CA0"/>
    <w:rsid w:val="008F6290"/>
    <w:rsid w:val="00902942"/>
    <w:rsid w:val="00904089"/>
    <w:rsid w:val="0090529B"/>
    <w:rsid w:val="0090608E"/>
    <w:rsid w:val="009066A8"/>
    <w:rsid w:val="00907C97"/>
    <w:rsid w:val="00911355"/>
    <w:rsid w:val="00914599"/>
    <w:rsid w:val="00915ED5"/>
    <w:rsid w:val="0091676C"/>
    <w:rsid w:val="00917E5A"/>
    <w:rsid w:val="009252FE"/>
    <w:rsid w:val="009258AD"/>
    <w:rsid w:val="009258B2"/>
    <w:rsid w:val="00925C6A"/>
    <w:rsid w:val="0093093B"/>
    <w:rsid w:val="00936169"/>
    <w:rsid w:val="009366D7"/>
    <w:rsid w:val="00941428"/>
    <w:rsid w:val="00943F1B"/>
    <w:rsid w:val="00944448"/>
    <w:rsid w:val="00944ED0"/>
    <w:rsid w:val="00951328"/>
    <w:rsid w:val="00955ABD"/>
    <w:rsid w:val="00956587"/>
    <w:rsid w:val="009575E0"/>
    <w:rsid w:val="00962DC1"/>
    <w:rsid w:val="00967089"/>
    <w:rsid w:val="009710F3"/>
    <w:rsid w:val="00971B62"/>
    <w:rsid w:val="0097214D"/>
    <w:rsid w:val="0097481B"/>
    <w:rsid w:val="00977911"/>
    <w:rsid w:val="00980072"/>
    <w:rsid w:val="00984FAD"/>
    <w:rsid w:val="009905CF"/>
    <w:rsid w:val="00990670"/>
    <w:rsid w:val="0099155E"/>
    <w:rsid w:val="00992043"/>
    <w:rsid w:val="00995008"/>
    <w:rsid w:val="00995DBA"/>
    <w:rsid w:val="009969AA"/>
    <w:rsid w:val="00997796"/>
    <w:rsid w:val="009A3607"/>
    <w:rsid w:val="009A5D09"/>
    <w:rsid w:val="009B04D3"/>
    <w:rsid w:val="009B0576"/>
    <w:rsid w:val="009B1B8B"/>
    <w:rsid w:val="009B3606"/>
    <w:rsid w:val="009B6AEA"/>
    <w:rsid w:val="009C07F2"/>
    <w:rsid w:val="009C0EFE"/>
    <w:rsid w:val="009C3219"/>
    <w:rsid w:val="009C3C59"/>
    <w:rsid w:val="009D1251"/>
    <w:rsid w:val="009D4E5B"/>
    <w:rsid w:val="009D6D52"/>
    <w:rsid w:val="009D79FE"/>
    <w:rsid w:val="009E07DB"/>
    <w:rsid w:val="009E428E"/>
    <w:rsid w:val="009E4407"/>
    <w:rsid w:val="009E49BE"/>
    <w:rsid w:val="009E4BE7"/>
    <w:rsid w:val="009E57CC"/>
    <w:rsid w:val="009E5FCE"/>
    <w:rsid w:val="009E6DAA"/>
    <w:rsid w:val="009E78D1"/>
    <w:rsid w:val="009F17BE"/>
    <w:rsid w:val="009F17C8"/>
    <w:rsid w:val="009F441B"/>
    <w:rsid w:val="00A0263F"/>
    <w:rsid w:val="00A052C3"/>
    <w:rsid w:val="00A0576C"/>
    <w:rsid w:val="00A10F07"/>
    <w:rsid w:val="00A10F52"/>
    <w:rsid w:val="00A11068"/>
    <w:rsid w:val="00A12BB1"/>
    <w:rsid w:val="00A157F8"/>
    <w:rsid w:val="00A202B7"/>
    <w:rsid w:val="00A20413"/>
    <w:rsid w:val="00A23A5F"/>
    <w:rsid w:val="00A2403A"/>
    <w:rsid w:val="00A2456B"/>
    <w:rsid w:val="00A26B79"/>
    <w:rsid w:val="00A275C3"/>
    <w:rsid w:val="00A304E2"/>
    <w:rsid w:val="00A30C65"/>
    <w:rsid w:val="00A333DE"/>
    <w:rsid w:val="00A34E70"/>
    <w:rsid w:val="00A35192"/>
    <w:rsid w:val="00A36B6A"/>
    <w:rsid w:val="00A37DBE"/>
    <w:rsid w:val="00A41339"/>
    <w:rsid w:val="00A460D6"/>
    <w:rsid w:val="00A54F2F"/>
    <w:rsid w:val="00A6299F"/>
    <w:rsid w:val="00A64AC1"/>
    <w:rsid w:val="00A64DBA"/>
    <w:rsid w:val="00A70F05"/>
    <w:rsid w:val="00A72859"/>
    <w:rsid w:val="00A82E85"/>
    <w:rsid w:val="00A84704"/>
    <w:rsid w:val="00A8551D"/>
    <w:rsid w:val="00A95F68"/>
    <w:rsid w:val="00AA042C"/>
    <w:rsid w:val="00AA0590"/>
    <w:rsid w:val="00AA1911"/>
    <w:rsid w:val="00AA69E8"/>
    <w:rsid w:val="00AB572C"/>
    <w:rsid w:val="00AB7756"/>
    <w:rsid w:val="00AC189F"/>
    <w:rsid w:val="00AC2A18"/>
    <w:rsid w:val="00AC48E2"/>
    <w:rsid w:val="00AC4F87"/>
    <w:rsid w:val="00AC7D9E"/>
    <w:rsid w:val="00AD0937"/>
    <w:rsid w:val="00AD0BF4"/>
    <w:rsid w:val="00AD3847"/>
    <w:rsid w:val="00AE01AB"/>
    <w:rsid w:val="00AE6D1D"/>
    <w:rsid w:val="00AE753C"/>
    <w:rsid w:val="00AE7B2A"/>
    <w:rsid w:val="00B00F6C"/>
    <w:rsid w:val="00B05E6F"/>
    <w:rsid w:val="00B073FB"/>
    <w:rsid w:val="00B10F02"/>
    <w:rsid w:val="00B1119F"/>
    <w:rsid w:val="00B12744"/>
    <w:rsid w:val="00B12ED7"/>
    <w:rsid w:val="00B15312"/>
    <w:rsid w:val="00B15C86"/>
    <w:rsid w:val="00B16811"/>
    <w:rsid w:val="00B21D2E"/>
    <w:rsid w:val="00B22945"/>
    <w:rsid w:val="00B23748"/>
    <w:rsid w:val="00B25771"/>
    <w:rsid w:val="00B26487"/>
    <w:rsid w:val="00B26A65"/>
    <w:rsid w:val="00B26B4D"/>
    <w:rsid w:val="00B30A0E"/>
    <w:rsid w:val="00B31295"/>
    <w:rsid w:val="00B31738"/>
    <w:rsid w:val="00B346D4"/>
    <w:rsid w:val="00B36260"/>
    <w:rsid w:val="00B42B2B"/>
    <w:rsid w:val="00B435D1"/>
    <w:rsid w:val="00B43931"/>
    <w:rsid w:val="00B44802"/>
    <w:rsid w:val="00B45612"/>
    <w:rsid w:val="00B513B1"/>
    <w:rsid w:val="00B5345A"/>
    <w:rsid w:val="00B57C91"/>
    <w:rsid w:val="00B61ED4"/>
    <w:rsid w:val="00B65256"/>
    <w:rsid w:val="00B65A70"/>
    <w:rsid w:val="00B6781D"/>
    <w:rsid w:val="00B718CE"/>
    <w:rsid w:val="00B71A87"/>
    <w:rsid w:val="00B72425"/>
    <w:rsid w:val="00B76636"/>
    <w:rsid w:val="00B80368"/>
    <w:rsid w:val="00B825F5"/>
    <w:rsid w:val="00B90186"/>
    <w:rsid w:val="00B91D21"/>
    <w:rsid w:val="00B92AA8"/>
    <w:rsid w:val="00BA56B8"/>
    <w:rsid w:val="00BB0EC9"/>
    <w:rsid w:val="00BB32FF"/>
    <w:rsid w:val="00BB55CC"/>
    <w:rsid w:val="00BB59F1"/>
    <w:rsid w:val="00BC2D8C"/>
    <w:rsid w:val="00BC38E1"/>
    <w:rsid w:val="00BD545D"/>
    <w:rsid w:val="00BD753C"/>
    <w:rsid w:val="00BE0F1A"/>
    <w:rsid w:val="00BE317C"/>
    <w:rsid w:val="00BE3884"/>
    <w:rsid w:val="00BE74DD"/>
    <w:rsid w:val="00BF2436"/>
    <w:rsid w:val="00BF307C"/>
    <w:rsid w:val="00BF528A"/>
    <w:rsid w:val="00C015E5"/>
    <w:rsid w:val="00C03A03"/>
    <w:rsid w:val="00C03B36"/>
    <w:rsid w:val="00C03C50"/>
    <w:rsid w:val="00C04A68"/>
    <w:rsid w:val="00C06414"/>
    <w:rsid w:val="00C06432"/>
    <w:rsid w:val="00C06478"/>
    <w:rsid w:val="00C10652"/>
    <w:rsid w:val="00C12FBA"/>
    <w:rsid w:val="00C13D34"/>
    <w:rsid w:val="00C156E8"/>
    <w:rsid w:val="00C202DF"/>
    <w:rsid w:val="00C20E5D"/>
    <w:rsid w:val="00C21480"/>
    <w:rsid w:val="00C25880"/>
    <w:rsid w:val="00C26694"/>
    <w:rsid w:val="00C30075"/>
    <w:rsid w:val="00C31980"/>
    <w:rsid w:val="00C32362"/>
    <w:rsid w:val="00C328A8"/>
    <w:rsid w:val="00C32E26"/>
    <w:rsid w:val="00C350A6"/>
    <w:rsid w:val="00C40481"/>
    <w:rsid w:val="00C423AB"/>
    <w:rsid w:val="00C43229"/>
    <w:rsid w:val="00C43B02"/>
    <w:rsid w:val="00C448EC"/>
    <w:rsid w:val="00C450E6"/>
    <w:rsid w:val="00C46140"/>
    <w:rsid w:val="00C46A3C"/>
    <w:rsid w:val="00C5251E"/>
    <w:rsid w:val="00C53B63"/>
    <w:rsid w:val="00C550AE"/>
    <w:rsid w:val="00C6363A"/>
    <w:rsid w:val="00C644C0"/>
    <w:rsid w:val="00C74179"/>
    <w:rsid w:val="00C82DF1"/>
    <w:rsid w:val="00C84887"/>
    <w:rsid w:val="00C93816"/>
    <w:rsid w:val="00C95F18"/>
    <w:rsid w:val="00C97B23"/>
    <w:rsid w:val="00CA1C45"/>
    <w:rsid w:val="00CA5570"/>
    <w:rsid w:val="00CA687F"/>
    <w:rsid w:val="00CA7FD0"/>
    <w:rsid w:val="00CB1C7C"/>
    <w:rsid w:val="00CB45DD"/>
    <w:rsid w:val="00CC163E"/>
    <w:rsid w:val="00CC43E3"/>
    <w:rsid w:val="00CC5791"/>
    <w:rsid w:val="00CC5DC6"/>
    <w:rsid w:val="00CD4238"/>
    <w:rsid w:val="00CD752E"/>
    <w:rsid w:val="00CD7BA6"/>
    <w:rsid w:val="00CE045B"/>
    <w:rsid w:val="00CE1A05"/>
    <w:rsid w:val="00CE21F4"/>
    <w:rsid w:val="00CE2B50"/>
    <w:rsid w:val="00CE59CA"/>
    <w:rsid w:val="00CE5B2E"/>
    <w:rsid w:val="00CE7958"/>
    <w:rsid w:val="00CF007A"/>
    <w:rsid w:val="00CF0FC7"/>
    <w:rsid w:val="00CF11F2"/>
    <w:rsid w:val="00CF1CD6"/>
    <w:rsid w:val="00CF223D"/>
    <w:rsid w:val="00CF2A44"/>
    <w:rsid w:val="00CF3AEC"/>
    <w:rsid w:val="00CF3D43"/>
    <w:rsid w:val="00CF3FD7"/>
    <w:rsid w:val="00CF4BDD"/>
    <w:rsid w:val="00CF4F7C"/>
    <w:rsid w:val="00CF5B9C"/>
    <w:rsid w:val="00CF6A0A"/>
    <w:rsid w:val="00CF72A0"/>
    <w:rsid w:val="00D008E3"/>
    <w:rsid w:val="00D04D26"/>
    <w:rsid w:val="00D064A3"/>
    <w:rsid w:val="00D072AC"/>
    <w:rsid w:val="00D12ABE"/>
    <w:rsid w:val="00D13A31"/>
    <w:rsid w:val="00D1510B"/>
    <w:rsid w:val="00D170F5"/>
    <w:rsid w:val="00D20149"/>
    <w:rsid w:val="00D20B4F"/>
    <w:rsid w:val="00D21B7D"/>
    <w:rsid w:val="00D22301"/>
    <w:rsid w:val="00D2232D"/>
    <w:rsid w:val="00D22879"/>
    <w:rsid w:val="00D26772"/>
    <w:rsid w:val="00D27708"/>
    <w:rsid w:val="00D31A83"/>
    <w:rsid w:val="00D3313C"/>
    <w:rsid w:val="00D40E3C"/>
    <w:rsid w:val="00D41DE6"/>
    <w:rsid w:val="00D42132"/>
    <w:rsid w:val="00D45BE6"/>
    <w:rsid w:val="00D45DEB"/>
    <w:rsid w:val="00D45DF5"/>
    <w:rsid w:val="00D51AEE"/>
    <w:rsid w:val="00D52671"/>
    <w:rsid w:val="00D52C2D"/>
    <w:rsid w:val="00D5333A"/>
    <w:rsid w:val="00D53D0A"/>
    <w:rsid w:val="00D53D2A"/>
    <w:rsid w:val="00D5576D"/>
    <w:rsid w:val="00D6072F"/>
    <w:rsid w:val="00D64548"/>
    <w:rsid w:val="00D67124"/>
    <w:rsid w:val="00D70702"/>
    <w:rsid w:val="00D72AF2"/>
    <w:rsid w:val="00D73B23"/>
    <w:rsid w:val="00D74E86"/>
    <w:rsid w:val="00D8156A"/>
    <w:rsid w:val="00D83BC9"/>
    <w:rsid w:val="00D86CE1"/>
    <w:rsid w:val="00D90525"/>
    <w:rsid w:val="00D91BA3"/>
    <w:rsid w:val="00D91BE0"/>
    <w:rsid w:val="00D92274"/>
    <w:rsid w:val="00D9284A"/>
    <w:rsid w:val="00D92FCC"/>
    <w:rsid w:val="00D9617F"/>
    <w:rsid w:val="00D97507"/>
    <w:rsid w:val="00DA0428"/>
    <w:rsid w:val="00DA1997"/>
    <w:rsid w:val="00DA4333"/>
    <w:rsid w:val="00DA5154"/>
    <w:rsid w:val="00DA53D8"/>
    <w:rsid w:val="00DA670C"/>
    <w:rsid w:val="00DB431B"/>
    <w:rsid w:val="00DB61A2"/>
    <w:rsid w:val="00DB6691"/>
    <w:rsid w:val="00DC0EF9"/>
    <w:rsid w:val="00DC2E72"/>
    <w:rsid w:val="00DC4D2E"/>
    <w:rsid w:val="00DC4D7D"/>
    <w:rsid w:val="00DC689C"/>
    <w:rsid w:val="00DC6C3F"/>
    <w:rsid w:val="00DD078F"/>
    <w:rsid w:val="00DD4F06"/>
    <w:rsid w:val="00DD5A34"/>
    <w:rsid w:val="00DE1D23"/>
    <w:rsid w:val="00DE4BA9"/>
    <w:rsid w:val="00DF06F4"/>
    <w:rsid w:val="00DF5113"/>
    <w:rsid w:val="00DF53D7"/>
    <w:rsid w:val="00E00379"/>
    <w:rsid w:val="00E01775"/>
    <w:rsid w:val="00E1061C"/>
    <w:rsid w:val="00E10C20"/>
    <w:rsid w:val="00E11CAC"/>
    <w:rsid w:val="00E12473"/>
    <w:rsid w:val="00E144E3"/>
    <w:rsid w:val="00E2119C"/>
    <w:rsid w:val="00E215A9"/>
    <w:rsid w:val="00E2169E"/>
    <w:rsid w:val="00E21EF1"/>
    <w:rsid w:val="00E2470D"/>
    <w:rsid w:val="00E26FCA"/>
    <w:rsid w:val="00E309B3"/>
    <w:rsid w:val="00E35C2F"/>
    <w:rsid w:val="00E36FB5"/>
    <w:rsid w:val="00E404CB"/>
    <w:rsid w:val="00E43449"/>
    <w:rsid w:val="00E52618"/>
    <w:rsid w:val="00E5324A"/>
    <w:rsid w:val="00E54169"/>
    <w:rsid w:val="00E54625"/>
    <w:rsid w:val="00E5506D"/>
    <w:rsid w:val="00E77823"/>
    <w:rsid w:val="00E81C08"/>
    <w:rsid w:val="00E83166"/>
    <w:rsid w:val="00E83186"/>
    <w:rsid w:val="00E8405E"/>
    <w:rsid w:val="00E858D8"/>
    <w:rsid w:val="00E85EF3"/>
    <w:rsid w:val="00E86C27"/>
    <w:rsid w:val="00E877F8"/>
    <w:rsid w:val="00E9314A"/>
    <w:rsid w:val="00E931C8"/>
    <w:rsid w:val="00E9372C"/>
    <w:rsid w:val="00E93A55"/>
    <w:rsid w:val="00E93FCE"/>
    <w:rsid w:val="00E94778"/>
    <w:rsid w:val="00E96093"/>
    <w:rsid w:val="00E97D2E"/>
    <w:rsid w:val="00EA4A03"/>
    <w:rsid w:val="00EA67C2"/>
    <w:rsid w:val="00EA721C"/>
    <w:rsid w:val="00EB0735"/>
    <w:rsid w:val="00EB0FB2"/>
    <w:rsid w:val="00EB2774"/>
    <w:rsid w:val="00EB357A"/>
    <w:rsid w:val="00EB4B84"/>
    <w:rsid w:val="00EB5784"/>
    <w:rsid w:val="00EB6C13"/>
    <w:rsid w:val="00EB70EC"/>
    <w:rsid w:val="00EB72F7"/>
    <w:rsid w:val="00EC01DF"/>
    <w:rsid w:val="00EC0A21"/>
    <w:rsid w:val="00EC2DE4"/>
    <w:rsid w:val="00EC4766"/>
    <w:rsid w:val="00EC58B2"/>
    <w:rsid w:val="00EC5B06"/>
    <w:rsid w:val="00EC5DC6"/>
    <w:rsid w:val="00EC6B42"/>
    <w:rsid w:val="00EC7A27"/>
    <w:rsid w:val="00ED15A1"/>
    <w:rsid w:val="00ED55F8"/>
    <w:rsid w:val="00ED5BCB"/>
    <w:rsid w:val="00ED6D95"/>
    <w:rsid w:val="00EE0250"/>
    <w:rsid w:val="00EE676B"/>
    <w:rsid w:val="00EE7C20"/>
    <w:rsid w:val="00EF0926"/>
    <w:rsid w:val="00EF3841"/>
    <w:rsid w:val="00F01B57"/>
    <w:rsid w:val="00F04267"/>
    <w:rsid w:val="00F10CF1"/>
    <w:rsid w:val="00F12F69"/>
    <w:rsid w:val="00F15E20"/>
    <w:rsid w:val="00F21C05"/>
    <w:rsid w:val="00F22D17"/>
    <w:rsid w:val="00F23B4B"/>
    <w:rsid w:val="00F25F9E"/>
    <w:rsid w:val="00F265A1"/>
    <w:rsid w:val="00F27B2B"/>
    <w:rsid w:val="00F35844"/>
    <w:rsid w:val="00F35C79"/>
    <w:rsid w:val="00F4030B"/>
    <w:rsid w:val="00F41C03"/>
    <w:rsid w:val="00F41FF9"/>
    <w:rsid w:val="00F47517"/>
    <w:rsid w:val="00F507CD"/>
    <w:rsid w:val="00F51232"/>
    <w:rsid w:val="00F521EA"/>
    <w:rsid w:val="00F55627"/>
    <w:rsid w:val="00F559F6"/>
    <w:rsid w:val="00F579A1"/>
    <w:rsid w:val="00F62046"/>
    <w:rsid w:val="00F62CDB"/>
    <w:rsid w:val="00F6515C"/>
    <w:rsid w:val="00F660B4"/>
    <w:rsid w:val="00F679A8"/>
    <w:rsid w:val="00F67D90"/>
    <w:rsid w:val="00F71078"/>
    <w:rsid w:val="00F744CA"/>
    <w:rsid w:val="00F75DDA"/>
    <w:rsid w:val="00F76623"/>
    <w:rsid w:val="00F83DA7"/>
    <w:rsid w:val="00F85DC1"/>
    <w:rsid w:val="00F87B4D"/>
    <w:rsid w:val="00F94E52"/>
    <w:rsid w:val="00F974DF"/>
    <w:rsid w:val="00FA0722"/>
    <w:rsid w:val="00FA29E1"/>
    <w:rsid w:val="00FB1D65"/>
    <w:rsid w:val="00FB210F"/>
    <w:rsid w:val="00FB4A97"/>
    <w:rsid w:val="00FB788A"/>
    <w:rsid w:val="00FC2004"/>
    <w:rsid w:val="00FC2051"/>
    <w:rsid w:val="00FC2881"/>
    <w:rsid w:val="00FC5DD3"/>
    <w:rsid w:val="00FC614E"/>
    <w:rsid w:val="00FC72BB"/>
    <w:rsid w:val="00FC7723"/>
    <w:rsid w:val="00FD010D"/>
    <w:rsid w:val="00FD0D36"/>
    <w:rsid w:val="00FD11D7"/>
    <w:rsid w:val="00FD615F"/>
    <w:rsid w:val="00FE2262"/>
    <w:rsid w:val="00FE2983"/>
    <w:rsid w:val="00FE43FB"/>
    <w:rsid w:val="00FF0A81"/>
    <w:rsid w:val="00FF25D3"/>
    <w:rsid w:val="00FF3029"/>
    <w:rsid w:val="00FF4DD7"/>
    <w:rsid w:val="00FF6450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714BD"/>
  <w15:chartTrackingRefBased/>
  <w15:docId w15:val="{EA689C2D-061B-F744-9B35-DF2A6A47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7D75B0"/>
    <w:rPr>
      <w:szCs w:val="24"/>
    </w:rPr>
  </w:style>
  <w:style w:type="character" w:styleId="Strong">
    <w:name w:val="Strong"/>
    <w:basedOn w:val="DefaultParagraphFont"/>
    <w:uiPriority w:val="22"/>
    <w:qFormat/>
    <w:rsid w:val="00AA19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4SQX5P7U7WPY-958212181-822311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https://senpr.sharepoint.com/sites/obralegislativa/_layouts/15/DocIdRedir.aspx?ID=4SQX5P7U7WPY-958212181-822311</Url>
      <Description>4SQX5P7U7WPY-958212181-822311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52E57B-A0B0-4CC1-893E-F06AEA04BE86}"/>
</file>

<file path=customXml/itemProps4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  <ds:schemaRef ds:uri="http://www.w3.org/2000/xmlns/"/>
  </ds:schemaRefs>
</ds:datastoreItem>
</file>

<file path=customXml/itemProps5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A2E6F108-CAFB-48E4-8560-D2860467B6EB}"/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0</TotalTime>
  <Pages>5</Pages>
  <Words>1167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cp:lastModifiedBy>Monica Maldonado Gonzalez (Trámites y Récords)</cp:lastModifiedBy>
  <cp:revision>2</cp:revision>
  <cp:lastPrinted>2021-05-04T12:09:00Z</cp:lastPrinted>
  <dcterms:created xsi:type="dcterms:W3CDTF">2026-01-14T14:01:00Z</dcterms:created>
  <dcterms:modified xsi:type="dcterms:W3CDTF">2026-01-14T14:01:00Z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0f48de0c-0787-409a-a09d-0c200e0f55bc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