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D2259" w14:textId="77777777" w:rsidR="00D60D7F" w:rsidRPr="00FA094A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  <w:r w:rsidRPr="00FA094A"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  <w:t>GOBIERNO DE PUERTO RICO</w:t>
      </w:r>
    </w:p>
    <w:p w14:paraId="5AEBB1F5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1F16E6FD" w14:textId="77777777" w:rsidR="00D60D7F" w:rsidRPr="00D60D7F" w:rsidRDefault="00D60D7F" w:rsidP="00695015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14:ligatures w14:val="none"/>
        </w:rPr>
        <w:t>20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vertAlign w:val="superscript"/>
          <w14:ligatures w14:val="none"/>
        </w:rPr>
        <w:t>ma.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ab/>
        <w:t>Asamblea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ab/>
        <w:t>3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vertAlign w:val="superscript"/>
          <w:lang w:val="es-ES_tradnl"/>
          <w14:ligatures w14:val="none"/>
        </w:rPr>
        <w:t>ra.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ab/>
        <w:t>Sesión</w:t>
      </w:r>
    </w:p>
    <w:p w14:paraId="4CA8295D" w14:textId="77777777" w:rsidR="00D60D7F" w:rsidRPr="00D60D7F" w:rsidRDefault="00D60D7F" w:rsidP="00695015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ab/>
        <w:t>Legislativa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ab/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ab/>
        <w:t>Ordinaria</w:t>
      </w:r>
    </w:p>
    <w:p w14:paraId="6A47AA20" w14:textId="77777777" w:rsidR="00D60D7F" w:rsidRPr="00D60D7F" w:rsidRDefault="00D60D7F" w:rsidP="00695015">
      <w:pPr>
        <w:suppressLineNumbers/>
        <w:spacing w:after="0" w:line="240" w:lineRule="auto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5A56898E" w14:textId="77777777" w:rsidR="00D60D7F" w:rsidRPr="00FA094A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36"/>
          <w:szCs w:val="24"/>
          <w:lang w:val="es-ES_tradnl"/>
          <w14:ligatures w14:val="none"/>
        </w:rPr>
      </w:pPr>
      <w:r w:rsidRPr="00FA094A">
        <w:rPr>
          <w:rFonts w:ascii="Book Antiqua" w:eastAsia="Times New Roman" w:hAnsi="Book Antiqua" w:cs="Times New Roman"/>
          <w:b/>
          <w:kern w:val="0"/>
          <w:sz w:val="36"/>
          <w:szCs w:val="24"/>
          <w:lang w:val="es-ES_tradnl"/>
          <w14:ligatures w14:val="none"/>
        </w:rPr>
        <w:t>C</w:t>
      </w:r>
      <w:r w:rsidRPr="00FA094A">
        <w:rPr>
          <w:rFonts w:ascii="Book Antiqua" w:eastAsia="Times New Roman" w:hAnsi="Book Antiqua" w:cs="Times New Roman"/>
          <w:b/>
          <w:kern w:val="0"/>
          <w:sz w:val="36"/>
          <w:szCs w:val="24"/>
          <w14:ligatures w14:val="none"/>
        </w:rPr>
        <w:t>Á</w:t>
      </w:r>
      <w:r w:rsidRPr="00FA094A">
        <w:rPr>
          <w:rFonts w:ascii="Book Antiqua" w:eastAsia="Times New Roman" w:hAnsi="Book Antiqua" w:cs="Times New Roman"/>
          <w:b/>
          <w:kern w:val="0"/>
          <w:sz w:val="36"/>
          <w:szCs w:val="24"/>
          <w:lang w:val="es-ES_tradnl"/>
          <w14:ligatures w14:val="none"/>
        </w:rPr>
        <w:t>MARA DE REPRESENTANTES</w:t>
      </w:r>
    </w:p>
    <w:p w14:paraId="44E7F70F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11FDD890" w14:textId="2E0B378F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24"/>
          <w:lang w:val="es-ES_tradnl"/>
          <w14:ligatures w14:val="none"/>
        </w:rPr>
      </w:pPr>
      <w:r w:rsidRPr="00D60D7F">
        <w:rPr>
          <w:rFonts w:ascii="Book Antiqua" w:eastAsia="Times New Roman" w:hAnsi="Book Antiqua" w:cs="Times New Roman"/>
          <w:b/>
          <w:kern w:val="0"/>
          <w:sz w:val="52"/>
          <w:szCs w:val="24"/>
          <w:lang w:val="es-ES_tradnl"/>
          <w14:ligatures w14:val="none"/>
        </w:rPr>
        <w:t>P. de la C.</w:t>
      </w:r>
      <w:r w:rsidR="00FA094A">
        <w:rPr>
          <w:rFonts w:ascii="Book Antiqua" w:eastAsia="Times New Roman" w:hAnsi="Book Antiqua" w:cs="Times New Roman"/>
          <w:b/>
          <w:kern w:val="0"/>
          <w:sz w:val="52"/>
          <w:szCs w:val="24"/>
          <w:lang w:val="es-ES_tradnl"/>
          <w14:ligatures w14:val="none"/>
        </w:rPr>
        <w:t xml:space="preserve"> </w:t>
      </w:r>
      <w:r w:rsidR="00A95926">
        <w:rPr>
          <w:rFonts w:ascii="Book Antiqua" w:eastAsia="Times New Roman" w:hAnsi="Book Antiqua" w:cs="Times New Roman"/>
          <w:b/>
          <w:kern w:val="0"/>
          <w:sz w:val="52"/>
          <w:szCs w:val="24"/>
          <w:lang w:val="es-ES_tradnl"/>
          <w14:ligatures w14:val="none"/>
        </w:rPr>
        <w:t>1044</w:t>
      </w:r>
    </w:p>
    <w:p w14:paraId="5269C52F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3EBE70BE" w14:textId="1FDEE5A3" w:rsidR="00D60D7F" w:rsidRPr="00D60D7F" w:rsidRDefault="00A95926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 xml:space="preserve">14 </w:t>
      </w:r>
      <w:r w:rsidR="00D60D7F"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>DE ENERO DE 2026</w:t>
      </w:r>
    </w:p>
    <w:p w14:paraId="2AF80C9B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09085926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iCs/>
          <w:kern w:val="0"/>
          <w:sz w:val="24"/>
          <w:szCs w:val="20"/>
          <w:lang w:val="es-ES_tradnl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>Presentado por la representante</w:t>
      </w:r>
      <w:r w:rsidRPr="00D60D7F">
        <w:rPr>
          <w:rFonts w:ascii="Book Antiqua" w:eastAsia="Times New Roman" w:hAnsi="Book Antiqua" w:cs="Times New Roman"/>
          <w:i/>
          <w:kern w:val="0"/>
          <w:sz w:val="24"/>
          <w:szCs w:val="24"/>
          <w:lang w:val="es-ES_tradnl"/>
          <w14:ligatures w14:val="none"/>
        </w:rPr>
        <w:t xml:space="preserve"> Pérez Ramírez</w:t>
      </w:r>
    </w:p>
    <w:p w14:paraId="2050BB2F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5429AC46" w14:textId="1330AA91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>Referido a la Comisión de</w:t>
      </w:r>
      <w:r w:rsidR="008A690D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 xml:space="preserve"> Adultos Mayores</w:t>
      </w:r>
      <w:r w:rsidR="0083193E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 xml:space="preserve"> y Bienestar Social</w:t>
      </w:r>
    </w:p>
    <w:p w14:paraId="5DC2EE17" w14:textId="77777777" w:rsidR="00D60D7F" w:rsidRPr="00D60D7F" w:rsidRDefault="00D60D7F" w:rsidP="00695015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1A34E171" w14:textId="77777777" w:rsidR="00D60D7F" w:rsidRPr="00FA094A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</w:pPr>
      <w:r w:rsidRPr="00FA094A"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  <w:t>LEY</w:t>
      </w:r>
    </w:p>
    <w:p w14:paraId="79B973E7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5AA06C89" w14:textId="50A0E5FA" w:rsidR="00D60D7F" w:rsidRPr="00D60D7F" w:rsidRDefault="00D60D7F" w:rsidP="00695015">
      <w:pPr>
        <w:suppressLineNumbers/>
        <w:spacing w:after="0" w:line="240" w:lineRule="auto"/>
        <w:ind w:left="450" w:hanging="45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bookmarkStart w:id="0" w:name="_Hlk216941510"/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Para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enmendar </w:t>
      </w:r>
      <w:r w:rsid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los Artículos 2, 5 y 6; enmendar la frase introductoria </w:t>
      </w:r>
      <w:r w:rsidR="00D84536" w:rsidRP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y el inciso (e) y </w:t>
      </w:r>
      <w:r w:rsid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añadir</w:t>
      </w:r>
      <w:r w:rsidR="00D84536" w:rsidRP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un nuevo inciso (f) y redesigna</w:t>
      </w:r>
      <w:r w:rsid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</w:t>
      </w:r>
      <w:r w:rsidR="00D84536" w:rsidRP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los actuales incisos (f) y (g), respectivamente, como incisos (g) y (h) del Artículo 7</w:t>
      </w:r>
      <w:r w:rsid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; enmendar el inciso (d) del Artículo 10; y enmendar </w:t>
      </w:r>
      <w:r w:rsidR="0061331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los incisos (a) y (c) d</w:t>
      </w:r>
      <w:r w:rsid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 Artículo 18</w:t>
      </w:r>
      <w:r w:rsidR="00A77713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la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Ley Núm. 173-1999, según enmendada, conocida como “Ley del Fideicomiso de</w:t>
      </w:r>
      <w:r w:rsidR="008F57E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</w:t>
      </w:r>
      <w:r w:rsidR="008F57E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os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Niño</w:t>
      </w:r>
      <w:r w:rsidR="008F57E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”, a los fines de redefinir su misión, objetivo y estructura administrativa; establecer como prioridad el uso de los fondos del Fideicomiso para la atención de los problemas sociales que afectan a la niñez temprana y el fortalecimiento de los servicios a las familias con menores entre cero (0) a cinco (5) años; y para otros fines relacionados</w:t>
      </w:r>
      <w:r w:rsidRPr="00D60D7F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.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</w:p>
    <w:bookmarkEnd w:id="0"/>
    <w:p w14:paraId="5770BB47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1ACD8822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EXPOSICIÓN DE MOTIVOS</w:t>
      </w:r>
    </w:p>
    <w:p w14:paraId="59EC450F" w14:textId="77777777" w:rsidR="00D60D7F" w:rsidRPr="00D60D7F" w:rsidRDefault="00D60D7F" w:rsidP="00695015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45ADD71B" w14:textId="77777777" w:rsidR="00715A46" w:rsidRDefault="00D60D7F" w:rsidP="00921ACC">
      <w:pPr>
        <w:suppressLineNumbers/>
        <w:spacing w:after="0" w:line="240" w:lineRule="auto"/>
        <w:ind w:firstLine="446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La Ley Núm. </w:t>
      </w:r>
      <w:r w:rsidR="004818B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173-1999, según enmendada, conocida como “Ley del Fideicomiso de los Niños”, creó al referido Fideicomiso con la intención de desarrollar iniciativas a favor del bienestar de los niños, especialmente aquellos en condiciones de vulnerabilidad social y económica. Sin embargo, a más de dos décadas de su creación, </w:t>
      </w:r>
      <w:r w:rsidR="00715A4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dicho Fideicomiso</w:t>
      </w:r>
      <w:r w:rsidR="004818B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no ha cumplido plenamente con su potencial transformador por falta de un marco actualizado de prioridades, indicadores de impacto y enfoque estratégico en la primera infancia. </w:t>
      </w:r>
    </w:p>
    <w:p w14:paraId="7F3BB229" w14:textId="77777777" w:rsidR="00921ACC" w:rsidRDefault="00921ACC" w:rsidP="00921ACC">
      <w:pPr>
        <w:suppressLineNumbers/>
        <w:spacing w:after="0" w:line="240" w:lineRule="auto"/>
        <w:ind w:firstLine="446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624D030E" w14:textId="63D540ED" w:rsidR="00921ACC" w:rsidRDefault="00715A46" w:rsidP="0068740C">
      <w:pPr>
        <w:suppressLineNumbers/>
        <w:spacing w:after="0" w:line="240" w:lineRule="auto"/>
        <w:ind w:firstLine="446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Puerto Rico enfrenta una crisis social y demográfica sin precedentes:</w:t>
      </w:r>
    </w:p>
    <w:p w14:paraId="0857E84B" w14:textId="77777777" w:rsidR="0027695F" w:rsidRDefault="0027695F" w:rsidP="0068740C">
      <w:pPr>
        <w:suppressLineNumbers/>
        <w:spacing w:after="0" w:line="240" w:lineRule="auto"/>
        <w:ind w:firstLine="446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06C35986" w14:textId="4DAD3BB2" w:rsidR="00715A46" w:rsidRDefault="00715A46" w:rsidP="00921ACC">
      <w:pPr>
        <w:pStyle w:val="Prrafodelista"/>
        <w:numPr>
          <w:ilvl w:val="0"/>
          <w:numId w:val="12"/>
        </w:num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 índice de natalidad ha disminuido drásticamente (de 12.0 en el año 2010 a menos de 6.5 por cada mil habitantes en el año 2024).</w:t>
      </w:r>
    </w:p>
    <w:p w14:paraId="58223FF1" w14:textId="1279051F" w:rsidR="00D60D7F" w:rsidRDefault="00715A46" w:rsidP="00921ACC">
      <w:pPr>
        <w:pStyle w:val="Prrafodelista"/>
        <w:numPr>
          <w:ilvl w:val="0"/>
          <w:numId w:val="12"/>
        </w:num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lastRenderedPageBreak/>
        <w:t>Cerca del cincuenta y ocho por ciento (58%) de los niños menores de cinco (5) años viven en hogares bajo el nivel de pobreza.</w:t>
      </w:r>
    </w:p>
    <w:p w14:paraId="20C6713B" w14:textId="77777777" w:rsidR="0027695F" w:rsidRPr="0027695F" w:rsidRDefault="0027695F" w:rsidP="0027695F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1870DB30" w14:textId="35130706" w:rsidR="00715A46" w:rsidRDefault="00715A46" w:rsidP="00921ACC">
      <w:pPr>
        <w:pStyle w:val="Prrafodelista"/>
        <w:numPr>
          <w:ilvl w:val="0"/>
          <w:numId w:val="12"/>
        </w:num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715A4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La población infantil ha disminuido en más de 250,000 menores en 15 años, afectando la continuidad del sistema educativo, la economía y la sostenibilidad poblacional.</w:t>
      </w:r>
    </w:p>
    <w:p w14:paraId="64D45861" w14:textId="77777777" w:rsidR="00921ACC" w:rsidRPr="00715A46" w:rsidRDefault="00921ACC" w:rsidP="00921ACC">
      <w:pPr>
        <w:pStyle w:val="Prrafodelista"/>
        <w:suppressLineNumbers/>
        <w:spacing w:after="0" w:line="240" w:lineRule="auto"/>
        <w:ind w:left="806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45EEAA5F" w14:textId="52126EB9" w:rsidR="00D60D7F" w:rsidRDefault="00715A46" w:rsidP="00921ACC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715A4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Frente a este panorama, </w:t>
      </w:r>
      <w:r w:rsidR="00D60D7F" w:rsidRPr="00715A4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la Asamblea Legislativa considera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urgente redefinir el rol del Fideicomiso de los Niños para que sirva como instrumento de inversión social, preventiva e </w:t>
      </w:r>
      <w:r w:rsidR="004279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i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nteragencial, alineado con la nueva Política Pública Estatal de la Niñez Temprana; así garantizando que </w:t>
      </w:r>
      <w:r w:rsidR="004279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sus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recursos se</w:t>
      </w:r>
      <w:r w:rsidR="004279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an utilizados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para combatir las causas estructurales de la pobreza infantil</w:t>
      </w:r>
      <w:r w:rsidR="004279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;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y fortalecer los servicios a las familias.</w:t>
      </w:r>
      <w:r w:rsidR="004279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Esta Ley redefine al Fideicomiso de los Niños como un mecanismo activo de desarrollo social y familiar, con metas claras, resultados medibles y gobernanza transparente. Su nuevo enfoque buscará romper los ciclos de desigualdad desde la cuna, priorizando intervenciones tempranas en educación, salud, crianza positiva, seguridad alimentaria y desarrollo emocional.</w:t>
      </w:r>
    </w:p>
    <w:p w14:paraId="1D8894CF" w14:textId="77777777" w:rsidR="00921ACC" w:rsidRPr="00D60D7F" w:rsidRDefault="00921ACC" w:rsidP="00921ACC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b/>
          <w:bCs/>
          <w:i/>
          <w:kern w:val="0"/>
          <w:sz w:val="24"/>
          <w:szCs w:val="24"/>
          <w:lang w:val="es-ES"/>
          <w14:ligatures w14:val="none"/>
        </w:rPr>
      </w:pPr>
    </w:p>
    <w:p w14:paraId="700AE59C" w14:textId="77777777" w:rsidR="00D60D7F" w:rsidRPr="00FA094A" w:rsidRDefault="00D60D7F" w:rsidP="00FA094A">
      <w:pPr>
        <w:suppressLineNumbers/>
        <w:spacing w:after="0" w:line="480" w:lineRule="auto"/>
        <w:rPr>
          <w:rFonts w:ascii="Book Antiqua" w:eastAsia="Times New Roman" w:hAnsi="Book Antiqua" w:cs="Times New Roman"/>
          <w:i/>
          <w:kern w:val="0"/>
          <w:sz w:val="24"/>
          <w:szCs w:val="24"/>
          <w:lang w:val="es-ES"/>
          <w14:ligatures w14:val="none"/>
        </w:rPr>
      </w:pPr>
      <w:r w:rsidRPr="00FA094A">
        <w:rPr>
          <w:rFonts w:ascii="Book Antiqua" w:eastAsia="Times New Roman" w:hAnsi="Book Antiqua" w:cs="Times New Roman"/>
          <w:i/>
          <w:kern w:val="0"/>
          <w:sz w:val="24"/>
          <w:szCs w:val="24"/>
          <w:lang w:val="es-ES"/>
          <w14:ligatures w14:val="none"/>
        </w:rPr>
        <w:t>DECRÉTASE POR LA ASAMBLEA LEGISLATIVA DE PUERTO RICO:</w:t>
      </w:r>
    </w:p>
    <w:p w14:paraId="6D178F79" w14:textId="21679BD8" w:rsidR="00D60D7F" w:rsidRPr="00D60D7F" w:rsidRDefault="002951A5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bookmarkStart w:id="1" w:name="_Hlk216705791"/>
      <w:bookmarkStart w:id="2" w:name="_Hlk216082606"/>
      <w:r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 xml:space="preserve">Artículo </w:t>
      </w:r>
      <w:r w:rsidR="006116EC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1</w:t>
      </w:r>
      <w:r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 xml:space="preserve">.- </w:t>
      </w:r>
      <w:r w:rsidR="00C1699A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 xml:space="preserve">Se enmienda el Artículo 2 de la Ley Núm. </w:t>
      </w:r>
      <w:r w:rsidR="002E0659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173-1999, según enmendada, para que se lea como sigue:</w:t>
      </w:r>
    </w:p>
    <w:p w14:paraId="515E1931" w14:textId="25DF0712" w:rsidR="00D60D7F" w:rsidRDefault="00D60D7F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“Artículo </w:t>
      </w:r>
      <w:r w:rsidR="002E065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2.- </w:t>
      </w:r>
      <w:r w:rsidR="000F657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Declaración de Política Pública y </w:t>
      </w:r>
      <w:r w:rsidR="002E065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Propósitos.-</w:t>
      </w:r>
    </w:p>
    <w:bookmarkEnd w:id="1"/>
    <w:p w14:paraId="5A8624C8" w14:textId="1F84E476" w:rsidR="000F6575" w:rsidRDefault="00CA3CC6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Es necesario minimizar el impacto que ha tenido toda promoción del uso del tabaco y los efectos dañinos a la salud de éste hacia nuestros niños y jóvenes. Esta Ley establece un Fondo Especial en Fideicomiso</w:t>
      </w:r>
      <w:r w:rsidR="00023FC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, </w:t>
      </w:r>
      <w:r w:rsidR="00A77713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más adelante</w:t>
      </w:r>
      <w:r w:rsidR="00023FC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“Fideicomiso de los Niños”,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manera que el Pueblo de Puerto Rico pueda beneficiarse de los fondos provenientes del Acuerdo de Transacción Global entre los estados y la industria tabacalera.</w:t>
      </w:r>
    </w:p>
    <w:p w14:paraId="687FAF99" w14:textId="50F76CD2" w:rsidR="00023FCF" w:rsidRDefault="00023FCF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Como parte de la política pública establecida mediante esta Ley, el 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Gobierno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de Puerto Rico reafirma su compromiso de garantizar el bienestar integral de la niñez y </w:t>
      </w:r>
      <w:r w:rsidR="00EA214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la 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familia mediante </w:t>
      </w:r>
      <w:r w:rsidR="00EA214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la utilización 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del referido Fideicomiso como instrumento estratégico de inversión social del Gobierno dirigido a</w:t>
      </w:r>
      <w:r w:rsidR="00EA214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:</w:t>
      </w:r>
    </w:p>
    <w:p w14:paraId="06ED39AB" w14:textId="492C3917" w:rsidR="00EA2141" w:rsidRDefault="00A05C29" w:rsidP="00FA094A">
      <w:pPr>
        <w:pStyle w:val="Prrafodelista"/>
        <w:numPr>
          <w:ilvl w:val="0"/>
          <w:numId w:val="8"/>
        </w:numPr>
        <w:tabs>
          <w:tab w:val="left" w:pos="1080"/>
        </w:tabs>
        <w:spacing w:after="0" w:line="480" w:lineRule="auto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lastRenderedPageBreak/>
        <w:t>C</w:t>
      </w:r>
      <w:r w:rsidR="00EA214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ombatir las causas estructurales que afectan a la niñez temprana (pobreza, maltrato, negligencia, rezago educativo y falta de acceso a servicios);</w:t>
      </w:r>
    </w:p>
    <w:p w14:paraId="76F5134A" w14:textId="79BFC7BC" w:rsidR="00EA2141" w:rsidRDefault="00A05C29" w:rsidP="00FA094A">
      <w:pPr>
        <w:pStyle w:val="Prrafodelista"/>
        <w:numPr>
          <w:ilvl w:val="0"/>
          <w:numId w:val="8"/>
        </w:numPr>
        <w:tabs>
          <w:tab w:val="left" w:pos="1080"/>
        </w:tabs>
        <w:spacing w:after="0" w:line="480" w:lineRule="auto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P</w:t>
      </w:r>
      <w:r w:rsidR="00EA214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romover el desarrollo integral de los menores de edad desde el nacimiento hasta los cinco (5) años;</w:t>
      </w:r>
    </w:p>
    <w:p w14:paraId="5B7E5268" w14:textId="3844277A" w:rsidR="00EA2141" w:rsidRDefault="00A05C29" w:rsidP="00FA094A">
      <w:pPr>
        <w:pStyle w:val="Prrafodelista"/>
        <w:numPr>
          <w:ilvl w:val="0"/>
          <w:numId w:val="8"/>
        </w:numPr>
        <w:tabs>
          <w:tab w:val="left" w:pos="1080"/>
        </w:tabs>
        <w:spacing w:after="0" w:line="480" w:lineRule="auto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F</w:t>
      </w:r>
      <w:r w:rsidR="00EA214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ortalecer los servicios a las familias como entorno natural de crianza, aprendizaje y protección; e</w:t>
      </w:r>
    </w:p>
    <w:p w14:paraId="497A855E" w14:textId="2B34D5A5" w:rsidR="00EA2141" w:rsidRPr="00EA2141" w:rsidRDefault="00A05C29" w:rsidP="00FA094A">
      <w:pPr>
        <w:pStyle w:val="Prrafodelista"/>
        <w:numPr>
          <w:ilvl w:val="0"/>
          <w:numId w:val="8"/>
        </w:numPr>
        <w:tabs>
          <w:tab w:val="left" w:pos="1080"/>
        </w:tabs>
        <w:spacing w:after="0" w:line="480" w:lineRule="auto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I</w:t>
      </w:r>
      <w:r w:rsidR="00EA214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mpulsar proyectos comunitarios, educativos y de salud que incidan en la calidad de vida infantil.</w:t>
      </w:r>
    </w:p>
    <w:p w14:paraId="3867A080" w14:textId="623362BD" w:rsidR="00071703" w:rsidRDefault="00CA3CC6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Esta iniciativa auspiciará </w:t>
      </w:r>
      <w:r w:rsidR="00174804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y concentrará sus esfuerzos y recursos en </w:t>
      </w:r>
      <w:r w:rsidRPr="00174804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aquellos proyectos y programas dirigidos a promover</w:t>
      </w:r>
      <w:r w:rsidRPr="00071703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</w:t>
      </w:r>
      <w:r w:rsidR="00174804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[e</w:t>
      </w:r>
      <w:r w:rsidRPr="00071703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l bienestar de la familia puertorriqueña, una mejor calidad de vida, el desarrollo integral del ciudadano y el bienestar de niños y jóvenes. Atenderá</w:t>
      </w:r>
      <w:r w:rsidR="00EE3156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,</w:t>
      </w:r>
      <w:r w:rsidRPr="00071703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proyectos y programas que mejoren el acceso a los servicios de salud, que mejoren los servicios, incluyendo orientación y prevención</w:t>
      </w:r>
      <w:r w:rsidR="009E1FA0" w:rsidRPr="00071703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de problemas de salud, y las facilidades físicas de salud; proyectos y programas que mejoren las facilidades físicas y seguridad escolar, ya sea mediante nueva construcción o mejoras de facilidades existentes, el desarrollo de programas educativos de tecnología y materiales educativos tradicionales y recreativos. También promoverá programas y proyectos de mejoras a facilidades recreativas y que amplíen los servicios para una mayor participación familiar, de niños y jóvenes.</w:t>
      </w:r>
      <w:r w:rsidR="00071703" w:rsidRPr="00071703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]</w:t>
      </w:r>
      <w:r w:rsidR="00071703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los siguientes seis (6) ejes estratégicos:</w:t>
      </w:r>
    </w:p>
    <w:p w14:paraId="6DA571E6" w14:textId="77777777" w:rsidR="00071703" w:rsidRPr="00071703" w:rsidRDefault="00071703" w:rsidP="00FA094A">
      <w:pPr>
        <w:pStyle w:val="Prrafodelista"/>
        <w:numPr>
          <w:ilvl w:val="0"/>
          <w:numId w:val="9"/>
        </w:numPr>
        <w:tabs>
          <w:tab w:val="left" w:pos="144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071703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Salud y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Nutrición Infantil: Programas de salud preventiva, vacunación, atención prenatal y nutrición adecuada.</w:t>
      </w:r>
    </w:p>
    <w:p w14:paraId="5474F37D" w14:textId="77777777" w:rsidR="00071703" w:rsidRPr="00071703" w:rsidRDefault="00071703" w:rsidP="00FA094A">
      <w:pPr>
        <w:pStyle w:val="Prrafodelista"/>
        <w:numPr>
          <w:ilvl w:val="0"/>
          <w:numId w:val="9"/>
        </w:numPr>
        <w:tabs>
          <w:tab w:val="left" w:pos="144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lastRenderedPageBreak/>
        <w:t>Educación y Desarrollo Temprano: Iniciativas de estimulación temprana, educación preescolar, alfabetización familiar y capacitación de cuidadores.</w:t>
      </w:r>
    </w:p>
    <w:p w14:paraId="4AE925D7" w14:textId="77777777" w:rsidR="00071703" w:rsidRPr="00071703" w:rsidRDefault="00071703" w:rsidP="00FA094A">
      <w:pPr>
        <w:pStyle w:val="Prrafodelista"/>
        <w:numPr>
          <w:ilvl w:val="0"/>
          <w:numId w:val="9"/>
        </w:numPr>
        <w:tabs>
          <w:tab w:val="left" w:pos="144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Apoyo a las Familias: Programas de fortalecimiento parental, orientación psicológica, manejo del estrés y conciliación laboral-familiar.</w:t>
      </w:r>
    </w:p>
    <w:p w14:paraId="3EB808ED" w14:textId="77777777" w:rsidR="00071703" w:rsidRPr="00071703" w:rsidRDefault="00071703" w:rsidP="00FA094A">
      <w:pPr>
        <w:pStyle w:val="Prrafodelista"/>
        <w:numPr>
          <w:ilvl w:val="0"/>
          <w:numId w:val="9"/>
        </w:numPr>
        <w:tabs>
          <w:tab w:val="left" w:pos="144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Seguridad y Protección Infantil: Intervenciones para prevenir el maltrato, abandono y abuso sexual de menores de edad.</w:t>
      </w:r>
    </w:p>
    <w:p w14:paraId="03F2B26A" w14:textId="77777777" w:rsidR="00071703" w:rsidRDefault="00071703" w:rsidP="00FA094A">
      <w:pPr>
        <w:pStyle w:val="Prrafodelista"/>
        <w:numPr>
          <w:ilvl w:val="0"/>
          <w:numId w:val="9"/>
        </w:numPr>
        <w:tabs>
          <w:tab w:val="left" w:pos="144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Reducción de Pobreza y Desigualdad: Proyectos integrales en comunidades vulnerables con servicios de apoyo familiar y empleabilidad.</w:t>
      </w:r>
    </w:p>
    <w:p w14:paraId="5C2A2731" w14:textId="5ECF3924" w:rsidR="00CA3CC6" w:rsidRPr="00071703" w:rsidRDefault="00071703" w:rsidP="00FA094A">
      <w:pPr>
        <w:pStyle w:val="Prrafodelista"/>
        <w:numPr>
          <w:ilvl w:val="0"/>
          <w:numId w:val="9"/>
        </w:numPr>
        <w:tabs>
          <w:tab w:val="left" w:pos="144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071703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Promoción de la Natalidad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y la Crianza Positiva: Campañas educativas y estímulos sociales para promover el bienestar de las familias jóvenes y la natalidad responsable.</w:t>
      </w:r>
      <w:r w:rsidR="009E1FA0" w:rsidRPr="00071703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”</w:t>
      </w:r>
    </w:p>
    <w:bookmarkEnd w:id="2"/>
    <w:p w14:paraId="63153434" w14:textId="72C247F0" w:rsidR="00174804" w:rsidRPr="00D60D7F" w:rsidRDefault="00174804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 xml:space="preserve">Artículo </w:t>
      </w:r>
      <w:r w:rsidR="006116EC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2</w:t>
      </w:r>
      <w:r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.- Se enmienda el Artículo 5 de la Ley Núm. 173-1999, según enmendada, para que se lea como sigue:</w:t>
      </w:r>
    </w:p>
    <w:p w14:paraId="3F80A295" w14:textId="67E4FC81" w:rsidR="00174804" w:rsidRDefault="00174804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“Artículo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5.- Junta de Directores del Fideicomiso.-</w:t>
      </w:r>
    </w:p>
    <w:p w14:paraId="3848CE49" w14:textId="53FF66D4" w:rsidR="001F0DF5" w:rsidRPr="00B96F01" w:rsidRDefault="001F0DF5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Los poderes del Fideicomiso serán ejercidos por una Junta de Directores, la cual estará compu</w:t>
      </w:r>
      <w:r w:rsidR="000B1EB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sta por </w:t>
      </w:r>
      <w:r w:rsidR="00996AA9" w:rsidRPr="00996AA9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</w:t>
      </w:r>
      <w:r w:rsidRPr="00996AA9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siete (7)</w:t>
      </w:r>
      <w:r w:rsidR="00996AA9" w:rsidRPr="00996AA9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]</w:t>
      </w:r>
      <w:r w:rsidR="00996AA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69501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trece</w:t>
      </w:r>
      <w:r w:rsidR="00996AA9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(</w:t>
      </w:r>
      <w:r w:rsidR="00CF7984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1</w:t>
      </w:r>
      <w:r w:rsidR="0069501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3</w:t>
      </w:r>
      <w:r w:rsidR="00996AA9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)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miembros. </w:t>
      </w:r>
      <w:r w:rsidR="00623FA5" w:rsidRPr="00623FA5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</w:t>
      </w:r>
      <w:r w:rsidRPr="00623FA5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Cuatro (4)</w:t>
      </w:r>
      <w:r w:rsidR="00623FA5" w:rsidRPr="00623FA5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]</w:t>
      </w:r>
      <w:r w:rsidR="00623FA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B96F0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Ocho</w:t>
      </w:r>
      <w:r w:rsidR="00623FA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(</w:t>
      </w:r>
      <w:r w:rsidR="00B96F0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8</w:t>
      </w:r>
      <w:r w:rsidR="00623FA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)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los integrantes de la Junta de Directores serán miembros </w:t>
      </w:r>
      <w:r w:rsidRPr="0022670C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ex of</w:t>
      </w:r>
      <w:r w:rsidR="000B1EBA" w:rsidRPr="0022670C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f</w:t>
      </w:r>
      <w:r w:rsidRPr="0022670C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icio</w:t>
      </w:r>
      <w:r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: </w:t>
      </w:r>
      <w:r w:rsidR="000B1EBA"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</w:t>
      </w:r>
      <w:r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</w:t>
      </w:r>
      <w:r w:rsidR="00695015" w:rsidRPr="00EE3156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</w:t>
      </w:r>
      <w:r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Gobernador </w:t>
      </w:r>
      <w:r w:rsidR="000B1EBA"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de</w:t>
      </w:r>
      <w:r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Puerto</w:t>
      </w:r>
      <w:r w:rsidR="000B1EBA"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 </w:t>
      </w:r>
      <w:r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Rico,</w:t>
      </w:r>
      <w:r w:rsidR="00340880"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BA24F2" w:rsidRPr="00BA24F2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[quien será su Presidente,]</w:t>
      </w:r>
      <w:r w:rsidR="00BA24F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BA24F2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el Secretario del Departamento de la Familia, quien fungirá como su Presidente, </w:t>
      </w:r>
      <w:r w:rsidR="00340880"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 Presidente</w:t>
      </w:r>
      <w:r w:rsidR="00695015" w:rsidRPr="00EE3156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</w:t>
      </w:r>
      <w:r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del Banco</w:t>
      </w:r>
      <w:r w:rsidR="00BA24F2" w:rsidRPr="00BA24F2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</w:t>
      </w:r>
      <w:r w:rsidR="00623FA5" w:rsidRPr="00BA24F2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,</w:t>
      </w:r>
      <w:r w:rsidR="00340880" w:rsidRPr="00BA24F2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</w:t>
      </w:r>
      <w:r w:rsidR="00BA24F2" w:rsidRPr="00BA24F2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quien será el Vicepresidente,]</w:t>
      </w:r>
      <w:r w:rsidR="00BA24F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34088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</w:t>
      </w:r>
      <w:r w:rsidR="00623FA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</w:t>
      </w:r>
      <w:r w:rsidR="00695015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</w:t>
      </w:r>
      <w:r w:rsidRPr="006950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de la Oficina de Gerencia y Presupuesto,</w:t>
      </w:r>
      <w:r w:rsidR="00623FA5" w:rsidRPr="006950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el </w:t>
      </w:r>
      <w:r w:rsidR="00623FA5"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Secretario</w:t>
      </w:r>
      <w:r w:rsidR="00695015"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340880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</w:t>
      </w:r>
      <w:r w:rsidR="00340880" w:rsidRPr="006950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de Justicia</w:t>
      </w:r>
      <w:r w:rsidR="0069501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, 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el </w:t>
      </w:r>
      <w:r w:rsidR="00EE3156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S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ecretario de Salud</w:t>
      </w:r>
      <w:r w:rsidR="0069501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,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el </w:t>
      </w:r>
      <w:r w:rsidR="00EE3156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S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ecretario de Educación y el </w:t>
      </w:r>
      <w:r w:rsidR="00EE3156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D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irector </w:t>
      </w:r>
      <w:r w:rsidR="00EE3156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E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jecutivo de la Administración de Servicios de Salud Mental y Contra la Adicción (ASSMCA); </w:t>
      </w:r>
      <w:r w:rsidR="00695015" w:rsidRPr="006950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y </w:t>
      </w:r>
      <w:r w:rsidR="00695015" w:rsidRPr="00695015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[tres (3)]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cinco (5)</w:t>
      </w:r>
      <w:r w:rsidR="0042196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ciudadanos privados en representación del interés público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: dos (2) representantes de organizaciones sin fines de lucro 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lastRenderedPageBreak/>
        <w:t>dedicadas a la niñez temprana</w:t>
      </w:r>
      <w:r w:rsidR="00996AA9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; un (1) representante de la academia con peritaje en desarrollo infantil; un (1) padre o madre representante de los beneficiarios; y (1) profesional de la psicología o trabajo social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 </w:t>
      </w:r>
      <w:r w:rsidR="0042196F" w:rsidRPr="0042196F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</w:t>
      </w:r>
      <w:r w:rsidR="00BA24F2" w:rsidRPr="0042196F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Por lo menos dos (2) de los ciudadanos privados deberán poseer experiencia en las áreas de salud y educación.</w:t>
      </w:r>
      <w:r w:rsidR="0042196F" w:rsidRPr="0042196F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]</w:t>
      </w:r>
      <w:r w:rsidR="000B1EB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Los representantes del interés público serán designados por el </w:t>
      </w:r>
      <w:r w:rsidR="000B1EBA" w:rsidRPr="00BA24F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Gobernador</w:t>
      </w:r>
      <w:r w:rsidR="00996AA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996AA9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de Puerto Rico</w:t>
      </w:r>
      <w:r w:rsidR="000B1EB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, con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el consejo y consentimiento del Senado de Puerto Rico, por </w:t>
      </w:r>
      <w:r w:rsidR="000B1EB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un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término de cuatro (4) años y hasta que su sucesor</w:t>
      </w:r>
      <w:r w:rsidR="00BA24F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es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sea</w:t>
      </w:r>
      <w:r w:rsidR="00BA24F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n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designado</w:t>
      </w:r>
      <w:r w:rsidR="00BA24F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 Los representantes del interés público deberán observar las mismas normas de ética que se exigen a los funcionarios en cargos similares y cumplir con las leyes que les apli</w:t>
      </w:r>
      <w:r w:rsidR="000B1EB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quen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a éstos.</w:t>
      </w:r>
    </w:p>
    <w:p w14:paraId="3897EFC0" w14:textId="77777777" w:rsidR="001F0DF5" w:rsidRDefault="001F0DF5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Ningún miembro de la Junta de Directores recibirá dieta ni compensación alguna por sus servicios como tales.</w:t>
      </w:r>
    </w:p>
    <w:p w14:paraId="2958BB67" w14:textId="5FACD3DC" w:rsidR="001F0DF5" w:rsidRPr="0022670C" w:rsidRDefault="000B1EBA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B96F0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El </w:t>
      </w:r>
      <w:r w:rsidRPr="00BA24F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Gobernador</w:t>
      </w:r>
      <w:r w:rsidRPr="00B96F0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</w:t>
      </w:r>
      <w:r w:rsidR="007A3BA1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</w:t>
      </w:r>
      <w:r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de</w:t>
      </w:r>
      <w:r w:rsidR="00576542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l Estado Libre Asociado</w:t>
      </w:r>
      <w:r w:rsidR="007A3BA1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]</w:t>
      </w:r>
      <w:r w:rsidR="0057654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</w:t>
      </w:r>
      <w:r w:rsidRPr="00B96F0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Puerto Rico</w:t>
      </w:r>
      <w:r w:rsidR="0057654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180133" w:rsidRPr="00B96F0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podrá delegar</w:t>
      </w:r>
      <w:r w:rsidR="0022670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s</w:t>
      </w:r>
      <w:r w:rsidR="00180133" w:rsidRPr="00B96F0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u </w:t>
      </w:r>
      <w:r w:rsidR="0057654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participación en la </w:t>
      </w:r>
      <w:r w:rsidR="00180133" w:rsidRPr="00B96F0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Junta de Directores</w:t>
      </w:r>
      <w:r w:rsidR="0057654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en un representante</w:t>
      </w:r>
      <w:r w:rsidR="0022670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</w:t>
      </w:r>
      <w:r w:rsidR="00180133" w:rsidRPr="00B96F0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7A3BA1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</w:t>
      </w:r>
      <w:r w:rsidR="00576542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El Presidente del Banco, el Director de la Oficina de Gerencia y Presupuesto; así como el </w:t>
      </w:r>
      <w:r w:rsidR="007A3BA1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Secretario</w:t>
      </w:r>
      <w:r w:rsidR="00576542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de Justicia</w:t>
      </w:r>
      <w:r w:rsidR="007A3BA1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] </w:t>
      </w:r>
      <w:r w:rsidR="007A3BA1" w:rsidRPr="007A3BA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Los demás miembros ex oficio de la Junta</w:t>
      </w:r>
      <w:r w:rsidR="0057654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podrán delegar, en casos excepcionales o de fuerza mayo su </w:t>
      </w:r>
      <w:r w:rsidR="007A3BA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representación</w:t>
      </w:r>
      <w:r w:rsidR="0057654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en la Junta de </w:t>
      </w:r>
      <w:r w:rsidR="007A3BA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Directores</w:t>
      </w:r>
      <w:r w:rsidR="0057654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, </w:t>
      </w:r>
      <w:r w:rsidR="0022670C" w:rsidRPr="0022670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las </w:t>
      </w:r>
      <w:r w:rsidR="007A3BA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cuales no</w:t>
      </w:r>
      <w:r w:rsidR="0022670C" w:rsidRPr="0022670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deberán exceder de c</w:t>
      </w:r>
      <w:r w:rsidR="007A3BA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inco</w:t>
      </w:r>
      <w:r w:rsidR="0022670C" w:rsidRPr="0022670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(</w:t>
      </w:r>
      <w:r w:rsidR="007A3BA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5</w:t>
      </w:r>
      <w:r w:rsidR="0022670C" w:rsidRPr="0022670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) veces al año</w:t>
      </w:r>
      <w:r w:rsidR="00180133" w:rsidRPr="0022670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</w:t>
      </w:r>
      <w:r w:rsidRPr="0022670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”</w:t>
      </w:r>
      <w:r w:rsidR="001F0DF5" w:rsidRPr="0022670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</w:p>
    <w:p w14:paraId="4058DB83" w14:textId="50EEDB1F" w:rsidR="00996AA9" w:rsidRPr="00D60D7F" w:rsidRDefault="00996AA9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 xml:space="preserve">Artículo </w:t>
      </w:r>
      <w:r w:rsidR="006116EC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3</w:t>
      </w:r>
      <w:r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.- Se enmienda el Artículo 6 de la Ley Núm. 173-1999, según enmendada, para que se lea como sigue:</w:t>
      </w:r>
    </w:p>
    <w:p w14:paraId="2BEA039D" w14:textId="5F1EBFF8" w:rsidR="00996AA9" w:rsidRDefault="00996AA9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“Artículo </w:t>
      </w:r>
      <w:r w:rsidR="0066218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6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.- </w:t>
      </w:r>
      <w:r w:rsidR="0066218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Quórum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.-</w:t>
      </w:r>
    </w:p>
    <w:p w14:paraId="4E841302" w14:textId="5CF99DC3" w:rsidR="00662186" w:rsidRDefault="00662186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662186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[Cuatro (4)]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340880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S</w:t>
      </w:r>
      <w:r w:rsidR="00B96F0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iete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(</w:t>
      </w:r>
      <w:r w:rsidR="00B96F0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7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)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miembros de la Junta constituirán quórum y el voto afirmativo de por lo menos </w:t>
      </w:r>
      <w:r w:rsidRPr="00662186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[cuatro (4)]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340880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s</w:t>
      </w:r>
      <w:r w:rsidR="00B96F0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iete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(</w:t>
      </w:r>
      <w:r w:rsidR="00B96F0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7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)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los miembros presentes será necesario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lastRenderedPageBreak/>
        <w:t>para cualquier acción que tome la Junta, excepto para levantar la sesión. Ninguna ausencia o vacante entre los miembros de la Junta impedirá que ésta, una vez haya quórum, ejerza todo</w:t>
      </w:r>
      <w:r w:rsidR="004279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sus derechos y desempeñe todos sus deberes.</w:t>
      </w:r>
      <w:r w:rsidR="00A05C29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Las reuniones de la Junta serán públicas.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”</w:t>
      </w:r>
    </w:p>
    <w:p w14:paraId="5BFC6329" w14:textId="3AAA4B9C" w:rsidR="00340880" w:rsidRDefault="00662186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bookmarkStart w:id="3" w:name="_Hlk216785647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Artículo</w:t>
      </w:r>
      <w:r w:rsidR="0034088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6116E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4</w:t>
      </w:r>
      <w:r w:rsidR="0034088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.- Se enmienda</w:t>
      </w:r>
      <w:r w:rsidR="00E1582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la frase introductoria </w:t>
      </w:r>
      <w:bookmarkStart w:id="4" w:name="_Hlk216872459"/>
      <w:r w:rsidR="00E1582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y</w:t>
      </w:r>
      <w:r w:rsidR="0034088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el </w:t>
      </w:r>
      <w:r w:rsidR="00E1582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inciso (e) y se añade un nuevo inciso (f) y se redesignan los actuales incisos (f) y (g), respectivamente, como incisos (g) y (h) del </w:t>
      </w:r>
      <w:r w:rsidR="0034088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Artículo 7</w:t>
      </w:r>
      <w:bookmarkEnd w:id="4"/>
      <w:r w:rsidR="0034088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la Ley Núm. 173-1999, según enmendada, para que se lea como sigue:</w:t>
      </w:r>
    </w:p>
    <w:p w14:paraId="2EEB8149" w14:textId="5BE1C6A2" w:rsidR="00662186" w:rsidRDefault="00E15820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“Artículo 7.- Derechos, Poderes, Facultades y Funciones de la Junta.-</w:t>
      </w:r>
    </w:p>
    <w:p w14:paraId="0AF869E5" w14:textId="23DA7753" w:rsidR="00E15820" w:rsidRDefault="00E15820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Además de cualesquiera otras disposiciones de esta Ley, la Junta de Directores tendrá los siguientes derechos, poderes, facultades y funciones, con respecto al Fideicomiso que se crea en virtud de esta Ley</w:t>
      </w:r>
      <w:r w:rsidRPr="00E15820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[.]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:</w:t>
      </w:r>
    </w:p>
    <w:p w14:paraId="49CCDF2D" w14:textId="66F6B43A" w:rsidR="00E15820" w:rsidRDefault="00E15820" w:rsidP="00FA094A">
      <w:pPr>
        <w:pStyle w:val="Prrafodelista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p w14:paraId="6F30D315" w14:textId="1E40771D" w:rsidR="00E15820" w:rsidRDefault="00E15820" w:rsidP="00FA094A">
      <w:pPr>
        <w:pStyle w:val="Prrafodelista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p w14:paraId="19B2CD70" w14:textId="2FD69DF9" w:rsidR="00E15820" w:rsidRDefault="00E15820" w:rsidP="00FA094A">
      <w:pPr>
        <w:pStyle w:val="Prrafodelista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bookmarkEnd w:id="3"/>
    <w:p w14:paraId="10291C9E" w14:textId="145D240E" w:rsidR="00E15820" w:rsidRDefault="00E15820" w:rsidP="00FA094A">
      <w:pPr>
        <w:pStyle w:val="Prrafodelista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p w14:paraId="5B42D3A9" w14:textId="12D75E11" w:rsidR="003C6537" w:rsidRPr="003C6537" w:rsidRDefault="00E15820" w:rsidP="00FA094A">
      <w:pPr>
        <w:pStyle w:val="Prrafodelista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Determinar las áreas y prioridades de acción y aprobar los planes de trabajo que se formulen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, </w:t>
      </w:r>
      <w:r w:rsidR="003C6537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los cuales serán guiados por un Plan de Acción Cuatrienal, el cual será presentado a la Asamblea Legislativa y aprobado mediante Resolución Conjunta no más tarde del 30 de junio de cada cuatrienio, comenzando en el año 2026 y luego sucesivamente.</w:t>
      </w:r>
    </w:p>
    <w:p w14:paraId="4CE922B4" w14:textId="4A298D4D" w:rsidR="007115FD" w:rsidRDefault="00A05C29" w:rsidP="00FA094A">
      <w:pPr>
        <w:pStyle w:val="Prrafodelista"/>
        <w:numPr>
          <w:ilvl w:val="0"/>
          <w:numId w:val="10"/>
        </w:numPr>
        <w:tabs>
          <w:tab w:val="left" w:pos="1080"/>
        </w:tabs>
        <w:spacing w:after="0" w:line="480" w:lineRule="auto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Desarrollar e implantar un Plan Decenal de Impacto a la Niñez Temprana, en coordinación con </w:t>
      </w:r>
      <w:r w:rsidR="00C376D8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el Consejo Multisectorial de la Niñez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y</w:t>
      </w:r>
      <w:r w:rsidR="007115FD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la </w:t>
      </w:r>
      <w:r w:rsidR="007115FD" w:rsidRPr="00840C4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Administración para el </w:t>
      </w:r>
      <w:r w:rsidR="007115FD" w:rsidRPr="00840C4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lastRenderedPageBreak/>
        <w:t>Cuidado y Desarrollo Integral de la Niñez</w:t>
      </w:r>
      <w:r w:rsidR="004818B9" w:rsidRPr="00840C4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(ACUDEN)</w:t>
      </w:r>
      <w:r w:rsidR="007115FD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; el cual contendrá metas cuantificables de reducción de pobreza infantil; indicadores de bienestar infantil (salud, nutrición, educación, seguridad y apoyo familiar); y estrategias de intervención comunitaria y evaluación de resultados anuales.</w:t>
      </w:r>
    </w:p>
    <w:p w14:paraId="3DE86BEB" w14:textId="77777777" w:rsidR="00DD3676" w:rsidRDefault="007115FD" w:rsidP="00FA094A">
      <w:pPr>
        <w:tabs>
          <w:tab w:val="left" w:pos="720"/>
          <w:tab w:val="left" w:pos="1080"/>
        </w:tabs>
        <w:spacing w:after="0" w:line="480" w:lineRule="auto"/>
        <w:ind w:left="1080" w:hanging="108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7115FD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[(f)]</w:t>
      </w:r>
      <w:r w:rsidRPr="007115FD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ab/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(g)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ab/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Establecer los deberes y poderes del Director Ejecutivo del Fideicomiso, en armonía con lo dispuesto en esta Ley.</w:t>
      </w:r>
    </w:p>
    <w:p w14:paraId="41FDBDC4" w14:textId="03D44D4A" w:rsidR="00E15820" w:rsidRPr="007115FD" w:rsidRDefault="00DD3676" w:rsidP="00FA094A">
      <w:pPr>
        <w:tabs>
          <w:tab w:val="left" w:pos="720"/>
          <w:tab w:val="left" w:pos="1080"/>
        </w:tabs>
        <w:spacing w:after="0" w:line="480" w:lineRule="auto"/>
        <w:ind w:left="1080" w:hanging="1080"/>
        <w:jc w:val="both"/>
        <w:rPr>
          <w:rFonts w:ascii="Book Antiqua" w:eastAsia="Times New Roman" w:hAnsi="Book Antiqua" w:cs="Times New Roman"/>
          <w:b/>
          <w:bCs/>
          <w:i/>
          <w:iCs/>
          <w:kern w:val="0"/>
          <w:sz w:val="24"/>
          <w:szCs w:val="24"/>
          <w:lang w:val="es-ES"/>
          <w14:ligatures w14:val="none"/>
        </w:rPr>
      </w:pPr>
      <w:r w:rsidRPr="007115FD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[(</w:t>
      </w:r>
      <w:r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g</w:t>
      </w:r>
      <w:r w:rsidRPr="007115FD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)]</w:t>
      </w:r>
      <w:r w:rsidRPr="007115FD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ab/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(h)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ab/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Delegar en el Director Ejecutivo cualesquiera poderes y facultades necesarios para llevar a cabo los objetivos dispuestos en esta Ley, sujeto a las limitaciones establecidas en el Artículo 15 (a)."</w:t>
      </w:r>
      <w:r w:rsidRPr="007115FD">
        <w:rPr>
          <w:rFonts w:ascii="Book Antiqua" w:eastAsia="Times New Roman" w:hAnsi="Book Antiqua" w:cs="Times New Roman"/>
          <w:b/>
          <w:bCs/>
          <w:i/>
          <w:iCs/>
          <w:kern w:val="0"/>
          <w:sz w:val="24"/>
          <w:szCs w:val="24"/>
          <w:lang w:val="es-ES"/>
          <w14:ligatures w14:val="none"/>
        </w:rPr>
        <w:t xml:space="preserve">  </w:t>
      </w:r>
      <w:r w:rsidR="00A05C29" w:rsidRPr="007115FD">
        <w:rPr>
          <w:rFonts w:ascii="Book Antiqua" w:eastAsia="Times New Roman" w:hAnsi="Book Antiqua" w:cs="Times New Roman"/>
          <w:b/>
          <w:bCs/>
          <w:i/>
          <w:iCs/>
          <w:kern w:val="0"/>
          <w:sz w:val="24"/>
          <w:szCs w:val="24"/>
          <w:lang w:val="es-ES"/>
          <w14:ligatures w14:val="none"/>
        </w:rPr>
        <w:t xml:space="preserve">  </w:t>
      </w:r>
    </w:p>
    <w:p w14:paraId="2C8461FD" w14:textId="45A77C80" w:rsidR="00E30946" w:rsidRDefault="00E30946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bookmarkStart w:id="5" w:name="_Hlk216786868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Artículo </w:t>
      </w:r>
      <w:r w:rsidR="006116E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5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.- Se enmienda </w:t>
      </w:r>
      <w:r w:rsidR="00790023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 inciso (d) del Artículo 10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la Ley Núm. 173-1999, según enmendada, para que se lea como sigue:</w:t>
      </w:r>
    </w:p>
    <w:p w14:paraId="6DAFECBE" w14:textId="64B67B4A" w:rsidR="00E30946" w:rsidRDefault="00E30946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“Artículo </w:t>
      </w:r>
      <w:r w:rsidR="00790023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10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.- </w:t>
      </w:r>
      <w:r w:rsidR="00790023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Poderes Generales del Fideicomiso</w:t>
      </w:r>
      <w:r w:rsidRPr="00840C4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.-</w:t>
      </w:r>
    </w:p>
    <w:p w14:paraId="111A19F4" w14:textId="733D5F31" w:rsidR="00E30946" w:rsidRDefault="00790023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 Fideicomiso tendrá y podrá ejercer, todos los derechos y poderes que sean necesarios o convenientes para llevar a efecto los propósitos mencionados, incluyendo, pero sin limitar la generalidad de lo anterior, los siguientes:</w:t>
      </w:r>
    </w:p>
    <w:p w14:paraId="316272E5" w14:textId="77777777" w:rsidR="00E30946" w:rsidRDefault="00E30946" w:rsidP="00FA094A">
      <w:pPr>
        <w:pStyle w:val="Prrafodelista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p w14:paraId="28DE7915" w14:textId="77777777" w:rsidR="00E30946" w:rsidRDefault="00E30946" w:rsidP="00FA094A">
      <w:pPr>
        <w:pStyle w:val="Prrafodelista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p w14:paraId="79D7F5D0" w14:textId="77777777" w:rsidR="00E30946" w:rsidRDefault="00E30946" w:rsidP="00FA094A">
      <w:pPr>
        <w:pStyle w:val="Prrafodelista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bookmarkEnd w:id="5"/>
    <w:p w14:paraId="1E2A7146" w14:textId="48D175F5" w:rsidR="00790023" w:rsidRDefault="00790023" w:rsidP="00FA094A">
      <w:pPr>
        <w:pStyle w:val="Prrafodelista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Recibir y administrar cualquier regalía, concesión, préstamo o donación de cualquier propiedad o dinero, incluyendo, sin que se entienda como una limitación, aquellos hechos por el Gobierno y el Gobierno Federal, o cualquier agencia o instrumentalidad de éstos, y gastar o prestar el producto de los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lastRenderedPageBreak/>
        <w:t>mismos para cualesquiera de sus propósitos y cumplir respecto de los mismos con todas las condiciones y requisitos.</w:t>
      </w:r>
      <w:r w:rsid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5578FA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Disponiéndose, que el Fideicomiso podrá recibir y administrar, de manera no exhaustiva, fondos provenientes de asignaciones realizadas por ley o resolución conjunta; donaciones privadas o corporativas; subvenciones federales y filantrópicas; y los rendimientos de sus inversiones.   </w:t>
      </w:r>
    </w:p>
    <w:p w14:paraId="5D636430" w14:textId="72B50BDA" w:rsidR="00790023" w:rsidRDefault="00790023" w:rsidP="00FA094A">
      <w:pPr>
        <w:pStyle w:val="Prrafodelista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p w14:paraId="2F5FC7FB" w14:textId="7A77B1D2" w:rsidR="00790023" w:rsidRPr="00790023" w:rsidRDefault="00790023" w:rsidP="00FA094A">
      <w:pPr>
        <w:tabs>
          <w:tab w:val="left" w:pos="1080"/>
        </w:tabs>
        <w:spacing w:after="0" w:line="480" w:lineRule="auto"/>
        <w:ind w:left="54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 (m)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ab/>
        <w:t>…”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ab/>
      </w:r>
    </w:p>
    <w:p w14:paraId="57A2B133" w14:textId="24CF70DF" w:rsidR="005578FA" w:rsidRPr="005578FA" w:rsidRDefault="005578FA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Artículo </w:t>
      </w:r>
      <w:r w:rsidR="006116E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6</w:t>
      </w: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.- Se enmienda</w:t>
      </w:r>
      <w:r w:rsidR="00840C4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n los incisos (a) y (c)</w:t>
      </w: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840C4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</w:t>
      </w:r>
      <w:r w:rsidR="00AD437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el </w:t>
      </w: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Artículo 1</w:t>
      </w:r>
      <w:r w:rsidR="00AD437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8</w:t>
      </w: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la Ley Núm. 173-1999, según enmendada, para que se lea como sigue:</w:t>
      </w:r>
    </w:p>
    <w:p w14:paraId="1774D689" w14:textId="593EE102" w:rsidR="005578FA" w:rsidRPr="005578FA" w:rsidRDefault="005578FA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“Artículo 1</w:t>
      </w:r>
      <w:r w:rsidR="00AD437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8</w:t>
      </w: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.- </w:t>
      </w:r>
      <w:r w:rsidR="00AD437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Informes</w:t>
      </w: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.-</w:t>
      </w:r>
    </w:p>
    <w:p w14:paraId="7856F38C" w14:textId="6B5C76EB" w:rsidR="005578FA" w:rsidRPr="005578FA" w:rsidRDefault="005578FA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El Fideicomiso </w:t>
      </w:r>
      <w:r w:rsidR="00AD437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rendirá a la Asamblea Legislativa, un informe </w:t>
      </w:r>
      <w:r w:rsidR="00AD4377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anual </w:t>
      </w:r>
      <w:r w:rsidR="00AD437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que deberá incluir lo siguiente</w:t>
      </w: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:</w:t>
      </w:r>
    </w:p>
    <w:p w14:paraId="3ACA4163" w14:textId="6E6C9C9B" w:rsidR="005578FA" w:rsidRPr="005578FA" w:rsidRDefault="005578FA" w:rsidP="00FA094A">
      <w:pPr>
        <w:tabs>
          <w:tab w:val="left" w:pos="1080"/>
        </w:tabs>
        <w:spacing w:after="0" w:line="480" w:lineRule="auto"/>
        <w:ind w:left="1080" w:hanging="36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(a)</w:t>
      </w: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ab/>
      </w:r>
      <w:r w:rsidR="00AD437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Un estado financiero auditado por una compañía reconocida e informe completo de las actividades del Fideicomiso para el año fiscal anterior</w:t>
      </w:r>
      <w:r w:rsidR="00AD4377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que contenga logros y resultados medibles</w:t>
      </w:r>
      <w:r w:rsidR="00484959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e</w:t>
      </w:r>
      <w:r w:rsidR="00AD4377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indicadores de impacto social</w:t>
      </w:r>
      <w:r w:rsidR="00AD437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</w:t>
      </w:r>
    </w:p>
    <w:p w14:paraId="0FBA6FF7" w14:textId="77777777" w:rsidR="00AD4377" w:rsidRDefault="005578FA" w:rsidP="00FA094A">
      <w:pPr>
        <w:tabs>
          <w:tab w:val="left" w:pos="1080"/>
        </w:tabs>
        <w:spacing w:after="0" w:line="480" w:lineRule="auto"/>
        <w:ind w:left="1080" w:hanging="36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(b)</w:t>
      </w: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ab/>
      </w:r>
      <w:r w:rsidR="00AD437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Una relación completa y detallada de todos sus contratos y transacciones durante el año fiscal a que corresponda el informe.</w:t>
      </w:r>
    </w:p>
    <w:p w14:paraId="1CF9124B" w14:textId="691181FE" w:rsidR="001F0DF5" w:rsidRDefault="00AD4377" w:rsidP="00FA094A">
      <w:pPr>
        <w:tabs>
          <w:tab w:val="left" w:pos="1080"/>
        </w:tabs>
        <w:spacing w:after="0" w:line="480" w:lineRule="auto"/>
        <w:ind w:left="1080" w:hanging="36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(</w:t>
      </w:r>
      <w:r w:rsidR="005578FA"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c)</w:t>
      </w:r>
      <w:r w:rsidR="005578FA"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ab/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Información completa de la situación y progreso de sus financiamientos y actividades, </w:t>
      </w:r>
      <w:r w:rsidR="00484959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así como proyecciones de inversión para el siguiente año fiscal,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hasta la fecha de su último informe.</w:t>
      </w:r>
    </w:p>
    <w:p w14:paraId="5FF59084" w14:textId="6B3C20C1" w:rsidR="00AD4377" w:rsidRDefault="00AD4377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highlight w:val="yellow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lastRenderedPageBreak/>
        <w:t>El informe para el año fiscal anterior será sometido por la Junta a la Asamblea Legislativa y al Contralor luego del 31 de marzo de cada año. Dicho informe estará disponible al público.”</w:t>
      </w:r>
    </w:p>
    <w:p w14:paraId="362DA96E" w14:textId="7D297265" w:rsidR="00484959" w:rsidRDefault="00D60D7F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A77713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Artículo </w:t>
      </w:r>
      <w:r w:rsidR="006116E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7</w:t>
      </w:r>
      <w:r w:rsidRPr="00A77713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.- </w:t>
      </w:r>
      <w:r w:rsidR="00484959" w:rsidRPr="00A77713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Reglamentación</w:t>
      </w:r>
    </w:p>
    <w:p w14:paraId="193124D5" w14:textId="7C8DE561" w:rsidR="005A0AEB" w:rsidRDefault="00A77713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La Junta de Directores del Fideicomiso de los Niños establecerá, enmendará o derogará</w:t>
      </w:r>
      <w:r w:rsidR="004818B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, según corresponda,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las reglas y reglamentos para regir sus actividades y las del Fideicomiso</w:t>
      </w:r>
      <w:r w:rsidR="004818B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los Niños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, de manera que sean cónsonos </w:t>
      </w:r>
      <w:r w:rsidR="004818B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con lo dispuesto en la presente Ley.</w:t>
      </w:r>
    </w:p>
    <w:p w14:paraId="0ACD0CEE" w14:textId="707DDD39" w:rsidR="00D60D7F" w:rsidRPr="00D60D7F" w:rsidRDefault="00484959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Artículo </w:t>
      </w:r>
      <w:r w:rsidR="006116E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8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.- </w:t>
      </w:r>
      <w:r w:rsidR="00D60D7F"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Cláusula de separabilidad</w:t>
      </w:r>
    </w:p>
    <w:p w14:paraId="33B4882A" w14:textId="77777777" w:rsidR="006116EC" w:rsidRDefault="00D60D7F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Si cualquier cláusula, párrafo, artículo, sección, título, aplicación o efecto sobre una persona o parte de esta Ley fuere declarada inconstitucional por un tribunal con jurisdicción, la sentencia a tal efecto dictada no afectará, perjudicará, ni invalidará el resto de esta Ley. El efecto de dicha sentencia quedará limitado a la cláusula, párrafo, artículo, sección, título, aplicación o efecto sobre una persona o parte de la misma que así hubiera sido declarada inconstitucional.</w:t>
      </w:r>
    </w:p>
    <w:p w14:paraId="7873F47D" w14:textId="147DA877" w:rsidR="00D60D7F" w:rsidRPr="00D60D7F" w:rsidRDefault="00D60D7F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Artículo </w:t>
      </w:r>
      <w:r w:rsidR="006116E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9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.- Vigencia</w:t>
      </w:r>
    </w:p>
    <w:p w14:paraId="57964C08" w14:textId="1F50A433" w:rsidR="009D6BA1" w:rsidRPr="004818B9" w:rsidRDefault="00D60D7F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Esta Ley comenzará a regir </w:t>
      </w:r>
      <w:r w:rsidR="0048495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inmediatamente a partir de su aprobación para fines del establecimiento, enmienda o derogación de </w:t>
      </w:r>
      <w:r w:rsidR="005A0AEB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la </w:t>
      </w:r>
      <w:r w:rsidR="0048495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reglamentación requerida por </w:t>
      </w:r>
      <w:r w:rsidR="004818B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su </w:t>
      </w:r>
      <w:r w:rsidR="0048495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Artículo 8; sus restantes disposiciones entrarán en vigor 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 partir de los noventa (90) días de su aprobación.</w:t>
      </w:r>
    </w:p>
    <w:sectPr w:rsidR="009D6BA1" w:rsidRPr="004818B9" w:rsidSect="006950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C42B6" w14:textId="77777777" w:rsidR="007D6CB0" w:rsidRDefault="007D6CB0">
      <w:pPr>
        <w:spacing w:after="0" w:line="240" w:lineRule="auto"/>
      </w:pPr>
      <w:r>
        <w:separator/>
      </w:r>
    </w:p>
  </w:endnote>
  <w:endnote w:type="continuationSeparator" w:id="0">
    <w:p w14:paraId="59312255" w14:textId="77777777" w:rsidR="007D6CB0" w:rsidRDefault="007D6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09A27" w14:textId="77777777" w:rsidR="00D0439F" w:rsidRDefault="00D0439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8782E" w14:textId="77777777" w:rsidR="00D0439F" w:rsidRDefault="00D0439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B8283" w14:textId="77777777" w:rsidR="00D0439F" w:rsidRDefault="00D0439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F1EB3" w14:textId="77777777" w:rsidR="007D6CB0" w:rsidRDefault="007D6CB0">
      <w:pPr>
        <w:spacing w:after="0" w:line="240" w:lineRule="auto"/>
      </w:pPr>
      <w:r>
        <w:separator/>
      </w:r>
    </w:p>
  </w:footnote>
  <w:footnote w:type="continuationSeparator" w:id="0">
    <w:p w14:paraId="69D8FC1B" w14:textId="77777777" w:rsidR="007D6CB0" w:rsidRDefault="007D6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07EA9" w14:textId="2530C72A" w:rsidR="00D0439F" w:rsidRDefault="00D0439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6BBD3" w14:textId="5B554F0D" w:rsidR="00D60D7F" w:rsidRPr="001F0AC6" w:rsidRDefault="0083193E">
    <w:pPr>
      <w:pStyle w:val="Encabezado"/>
      <w:jc w:val="center"/>
      <w:rPr>
        <w:rFonts w:ascii="Book Antiqua" w:hAnsi="Book Antiqua"/>
      </w:rPr>
    </w:pPr>
    <w:sdt>
      <w:sdtPr>
        <w:id w:val="-500034658"/>
        <w:docPartObj>
          <w:docPartGallery w:val="Page Numbers (Top of Page)"/>
          <w:docPartUnique/>
        </w:docPartObj>
      </w:sdtPr>
      <w:sdtEndPr>
        <w:rPr>
          <w:rFonts w:ascii="Book Antiqua" w:hAnsi="Book Antiqua"/>
          <w:noProof/>
        </w:rPr>
      </w:sdtEndPr>
      <w:sdtContent>
        <w:r w:rsidR="00D60D7F" w:rsidRPr="001F0AC6">
          <w:rPr>
            <w:rFonts w:ascii="Book Antiqua" w:hAnsi="Book Antiqua"/>
          </w:rPr>
          <w:fldChar w:fldCharType="begin"/>
        </w:r>
        <w:r w:rsidR="00D60D7F" w:rsidRPr="001F0AC6">
          <w:rPr>
            <w:rFonts w:ascii="Book Antiqua" w:hAnsi="Book Antiqua"/>
          </w:rPr>
          <w:instrText xml:space="preserve"> PAGE   \* MERGEFORMAT </w:instrText>
        </w:r>
        <w:r w:rsidR="00D60D7F" w:rsidRPr="001F0AC6">
          <w:rPr>
            <w:rFonts w:ascii="Book Antiqua" w:hAnsi="Book Antiqua"/>
          </w:rPr>
          <w:fldChar w:fldCharType="separate"/>
        </w:r>
        <w:r w:rsidR="00D60D7F" w:rsidRPr="001F0AC6">
          <w:rPr>
            <w:rFonts w:ascii="Book Antiqua" w:hAnsi="Book Antiqua"/>
            <w:noProof/>
          </w:rPr>
          <w:t>2</w:t>
        </w:r>
        <w:r w:rsidR="00D60D7F" w:rsidRPr="001F0AC6">
          <w:rPr>
            <w:rFonts w:ascii="Book Antiqua" w:hAnsi="Book Antiqua"/>
            <w:noProof/>
          </w:rPr>
          <w:fldChar w:fldCharType="end"/>
        </w:r>
      </w:sdtContent>
    </w:sdt>
  </w:p>
  <w:p w14:paraId="2EB055A9" w14:textId="77777777" w:rsidR="00D60D7F" w:rsidRDefault="00D60D7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33C47" w14:textId="1CD15183" w:rsidR="00D0439F" w:rsidRDefault="00D0439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A3696"/>
    <w:multiLevelType w:val="hybridMultilevel"/>
    <w:tmpl w:val="3DDC8C54"/>
    <w:lvl w:ilvl="0" w:tplc="9D068FD4">
      <w:start w:val="1"/>
      <w:numFmt w:val="decimal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" w15:restartNumberingAfterBreak="0">
    <w:nsid w:val="00921F6B"/>
    <w:multiLevelType w:val="hybridMultilevel"/>
    <w:tmpl w:val="4B488D3A"/>
    <w:lvl w:ilvl="0" w:tplc="22162874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037D32"/>
    <w:multiLevelType w:val="hybridMultilevel"/>
    <w:tmpl w:val="C8526A7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09443C"/>
    <w:multiLevelType w:val="hybridMultilevel"/>
    <w:tmpl w:val="8836048E"/>
    <w:lvl w:ilvl="0" w:tplc="BC9AFCC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24375D"/>
    <w:multiLevelType w:val="hybridMultilevel"/>
    <w:tmpl w:val="4B488D3A"/>
    <w:lvl w:ilvl="0" w:tplc="FFFFFFFF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4185AE2"/>
    <w:multiLevelType w:val="hybridMultilevel"/>
    <w:tmpl w:val="1C985AFE"/>
    <w:lvl w:ilvl="0" w:tplc="8E7EFB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192BD8"/>
    <w:multiLevelType w:val="hybridMultilevel"/>
    <w:tmpl w:val="E6E47F14"/>
    <w:lvl w:ilvl="0" w:tplc="D83AC688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AC4588"/>
    <w:multiLevelType w:val="hybridMultilevel"/>
    <w:tmpl w:val="8836048E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BA4F32"/>
    <w:multiLevelType w:val="hybridMultilevel"/>
    <w:tmpl w:val="324AAC62"/>
    <w:lvl w:ilvl="0" w:tplc="80689D32">
      <w:numFmt w:val="bullet"/>
      <w:lvlText w:val=""/>
      <w:lvlJc w:val="left"/>
      <w:pPr>
        <w:ind w:left="806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9" w15:restartNumberingAfterBreak="0">
    <w:nsid w:val="42A97F16"/>
    <w:multiLevelType w:val="hybridMultilevel"/>
    <w:tmpl w:val="28B65058"/>
    <w:lvl w:ilvl="0" w:tplc="42CCDD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CDF7031"/>
    <w:multiLevelType w:val="hybridMultilevel"/>
    <w:tmpl w:val="3E98CDDA"/>
    <w:lvl w:ilvl="0" w:tplc="C920515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0FF4392"/>
    <w:multiLevelType w:val="hybridMultilevel"/>
    <w:tmpl w:val="C8526A72"/>
    <w:lvl w:ilvl="0" w:tplc="37FE73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0036464">
    <w:abstractNumId w:val="1"/>
  </w:num>
  <w:num w:numId="2" w16cid:durableId="2073389377">
    <w:abstractNumId w:val="9"/>
  </w:num>
  <w:num w:numId="3" w16cid:durableId="1913154013">
    <w:abstractNumId w:val="11"/>
  </w:num>
  <w:num w:numId="4" w16cid:durableId="1155997442">
    <w:abstractNumId w:val="2"/>
  </w:num>
  <w:num w:numId="5" w16cid:durableId="1175415606">
    <w:abstractNumId w:val="5"/>
  </w:num>
  <w:num w:numId="6" w16cid:durableId="925072720">
    <w:abstractNumId w:val="4"/>
  </w:num>
  <w:num w:numId="7" w16cid:durableId="1038431200">
    <w:abstractNumId w:val="0"/>
  </w:num>
  <w:num w:numId="8" w16cid:durableId="897589752">
    <w:abstractNumId w:val="10"/>
  </w:num>
  <w:num w:numId="9" w16cid:durableId="1975326670">
    <w:abstractNumId w:val="6"/>
  </w:num>
  <w:num w:numId="10" w16cid:durableId="231820305">
    <w:abstractNumId w:val="3"/>
  </w:num>
  <w:num w:numId="11" w16cid:durableId="753818027">
    <w:abstractNumId w:val="7"/>
  </w:num>
  <w:num w:numId="12" w16cid:durableId="2191773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366"/>
    <w:rsid w:val="00023FCF"/>
    <w:rsid w:val="000259A6"/>
    <w:rsid w:val="0005567D"/>
    <w:rsid w:val="00071703"/>
    <w:rsid w:val="000B1EBA"/>
    <w:rsid w:val="000F6575"/>
    <w:rsid w:val="00150785"/>
    <w:rsid w:val="00174804"/>
    <w:rsid w:val="00180133"/>
    <w:rsid w:val="001F0DF5"/>
    <w:rsid w:val="0022670C"/>
    <w:rsid w:val="0027695F"/>
    <w:rsid w:val="002951A5"/>
    <w:rsid w:val="002E0659"/>
    <w:rsid w:val="002F42E9"/>
    <w:rsid w:val="00340880"/>
    <w:rsid w:val="003C6537"/>
    <w:rsid w:val="003D5067"/>
    <w:rsid w:val="0042196F"/>
    <w:rsid w:val="00427915"/>
    <w:rsid w:val="004818B9"/>
    <w:rsid w:val="00484959"/>
    <w:rsid w:val="005578FA"/>
    <w:rsid w:val="00563909"/>
    <w:rsid w:val="00576542"/>
    <w:rsid w:val="005A0AEB"/>
    <w:rsid w:val="005A1DA2"/>
    <w:rsid w:val="006116EC"/>
    <w:rsid w:val="0061331D"/>
    <w:rsid w:val="00623ACD"/>
    <w:rsid w:val="00623FA5"/>
    <w:rsid w:val="00633059"/>
    <w:rsid w:val="00654DD8"/>
    <w:rsid w:val="00662186"/>
    <w:rsid w:val="00667ED8"/>
    <w:rsid w:val="0068740C"/>
    <w:rsid w:val="00695015"/>
    <w:rsid w:val="007115FD"/>
    <w:rsid w:val="00715A46"/>
    <w:rsid w:val="00754E0A"/>
    <w:rsid w:val="00790023"/>
    <w:rsid w:val="007A3BA1"/>
    <w:rsid w:val="007C4848"/>
    <w:rsid w:val="007D6CB0"/>
    <w:rsid w:val="007E04B8"/>
    <w:rsid w:val="007E102C"/>
    <w:rsid w:val="00810B53"/>
    <w:rsid w:val="008116AB"/>
    <w:rsid w:val="0083193E"/>
    <w:rsid w:val="00840C45"/>
    <w:rsid w:val="00847C84"/>
    <w:rsid w:val="008A690D"/>
    <w:rsid w:val="008E24D2"/>
    <w:rsid w:val="008F053A"/>
    <w:rsid w:val="008F57E7"/>
    <w:rsid w:val="00921ACC"/>
    <w:rsid w:val="00996AA9"/>
    <w:rsid w:val="009D6BA1"/>
    <w:rsid w:val="009E0933"/>
    <w:rsid w:val="009E1FA0"/>
    <w:rsid w:val="00A05C29"/>
    <w:rsid w:val="00A678C8"/>
    <w:rsid w:val="00A77713"/>
    <w:rsid w:val="00A83F50"/>
    <w:rsid w:val="00A95926"/>
    <w:rsid w:val="00AB7AA3"/>
    <w:rsid w:val="00AD4377"/>
    <w:rsid w:val="00B51556"/>
    <w:rsid w:val="00B96F01"/>
    <w:rsid w:val="00BA1366"/>
    <w:rsid w:val="00BA24F2"/>
    <w:rsid w:val="00BF1FD6"/>
    <w:rsid w:val="00C1699A"/>
    <w:rsid w:val="00C376D8"/>
    <w:rsid w:val="00CA3CC6"/>
    <w:rsid w:val="00CC3AA8"/>
    <w:rsid w:val="00CF7984"/>
    <w:rsid w:val="00D02C27"/>
    <w:rsid w:val="00D0439F"/>
    <w:rsid w:val="00D24F13"/>
    <w:rsid w:val="00D44564"/>
    <w:rsid w:val="00D60D7F"/>
    <w:rsid w:val="00D753FB"/>
    <w:rsid w:val="00D84536"/>
    <w:rsid w:val="00DD3676"/>
    <w:rsid w:val="00E15820"/>
    <w:rsid w:val="00E217F8"/>
    <w:rsid w:val="00E30946"/>
    <w:rsid w:val="00E66F03"/>
    <w:rsid w:val="00EA2141"/>
    <w:rsid w:val="00EE3156"/>
    <w:rsid w:val="00FA0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F88EE4"/>
  <w15:chartTrackingRefBased/>
  <w15:docId w15:val="{018BC75B-A110-4FB6-8233-BF92048B2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946"/>
  </w:style>
  <w:style w:type="paragraph" w:styleId="Ttulo1">
    <w:name w:val="heading 1"/>
    <w:basedOn w:val="Normal"/>
    <w:next w:val="Normal"/>
    <w:link w:val="Ttulo1Car"/>
    <w:uiPriority w:val="9"/>
    <w:qFormat/>
    <w:rsid w:val="00BA13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A13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A13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A13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A13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A13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13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13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A13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A13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A13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A13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A13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A13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A13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13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13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A13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A13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A13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A13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A13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A13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A136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A13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A13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A13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A13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A13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60D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0D7F"/>
  </w:style>
  <w:style w:type="character" w:styleId="Nmerodelnea">
    <w:name w:val="line number"/>
    <w:basedOn w:val="Fuentedeprrafopredeter"/>
    <w:uiPriority w:val="99"/>
    <w:semiHidden/>
    <w:unhideWhenUsed/>
    <w:rsid w:val="00695015"/>
  </w:style>
  <w:style w:type="paragraph" w:styleId="Piedepgina">
    <w:name w:val="footer"/>
    <w:basedOn w:val="Normal"/>
    <w:link w:val="PiedepginaCar"/>
    <w:uiPriority w:val="99"/>
    <w:unhideWhenUsed/>
    <w:rsid w:val="00D043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04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7C7FD-5BA8-4B3C-BDA1-EEC9D1D87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2150</Words>
  <Characters>11581</Characters>
  <Application>Microsoft Office Word</Application>
  <DocSecurity>0</DocSecurity>
  <Lines>221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Nydia Sanclemente</dc:creator>
  <cp:keywords/>
  <dc:description/>
  <cp:lastModifiedBy>Rocío Alayón Morell</cp:lastModifiedBy>
  <cp:revision>6</cp:revision>
  <cp:lastPrinted>2026-01-14T20:42:00Z</cp:lastPrinted>
  <dcterms:created xsi:type="dcterms:W3CDTF">2026-01-14T19:43:00Z</dcterms:created>
  <dcterms:modified xsi:type="dcterms:W3CDTF">2026-01-16T14:11:00Z</dcterms:modified>
</cp:coreProperties>
</file>