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2770D6">
      <w:pPr>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6F8E8C5B" w:rsidR="0000702B" w:rsidRPr="00B05E6F" w:rsidRDefault="0000702B" w:rsidP="002770D6">
      <w:pPr>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1B57F3">
        <w:rPr>
          <w:rFonts w:ascii="Book Antiqua" w:hAnsi="Book Antiqua"/>
          <w:b/>
          <w:sz w:val="52"/>
          <w:lang w:val="es-PR"/>
        </w:rPr>
        <w:t>964</w:t>
      </w:r>
    </w:p>
    <w:p w14:paraId="0A885B68" w14:textId="40893AEC" w:rsidR="0000702B" w:rsidRPr="00B05E6F" w:rsidRDefault="001B57F3" w:rsidP="002770D6">
      <w:pPr>
        <w:spacing w:line="360" w:lineRule="auto"/>
        <w:jc w:val="center"/>
        <w:rPr>
          <w:rFonts w:ascii="Book Antiqua" w:hAnsi="Book Antiqua"/>
          <w:lang w:val="es-PR"/>
        </w:rPr>
      </w:pPr>
      <w:bookmarkStart w:id="3" w:name="_Hlk183037684"/>
      <w:r>
        <w:rPr>
          <w:rFonts w:ascii="Book Antiqua" w:hAnsi="Book Antiqua"/>
          <w:lang w:val="es-PR"/>
        </w:rPr>
        <w:t>15</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2770D6">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6C066C6C" w:rsidR="00A202B7" w:rsidRPr="00B05E6F" w:rsidRDefault="0000702B" w:rsidP="002770D6">
      <w:pPr>
        <w:spacing w:line="360" w:lineRule="auto"/>
        <w:jc w:val="center"/>
        <w:rPr>
          <w:rFonts w:ascii="Book Antiqua" w:hAnsi="Book Antiqua"/>
          <w:i/>
          <w:iCs/>
          <w:szCs w:val="24"/>
          <w:lang w:val="es-PR"/>
        </w:rPr>
      </w:pPr>
      <w:r w:rsidRPr="00B05E6F">
        <w:rPr>
          <w:rFonts w:ascii="Book Antiqua" w:hAnsi="Book Antiqua"/>
          <w:i/>
          <w:lang w:val="es-PR"/>
        </w:rPr>
        <w:t>Referido a</w:t>
      </w:r>
      <w:r w:rsidR="002770D6">
        <w:rPr>
          <w:rFonts w:ascii="Book Antiqua" w:hAnsi="Book Antiqua"/>
          <w:i/>
          <w:lang w:val="es-PR"/>
        </w:rPr>
        <w:t xml:space="preserve"> la Comisión de Gobierno</w:t>
      </w:r>
    </w:p>
    <w:p w14:paraId="729606B8" w14:textId="739B6DC4" w:rsidR="00A202B7" w:rsidRPr="00B05E6F" w:rsidRDefault="00A202B7" w:rsidP="00915ED5">
      <w:pPr>
        <w:spacing w:line="360" w:lineRule="auto"/>
        <w:jc w:val="both"/>
        <w:rPr>
          <w:rFonts w:ascii="Book Antiqua" w:hAnsi="Book Antiqua"/>
          <w:i/>
          <w:iCs/>
          <w:sz w:val="4"/>
          <w:szCs w:val="4"/>
          <w:lang w:val="es-PR"/>
        </w:rPr>
      </w:pPr>
    </w:p>
    <w:p w14:paraId="008CA567" w14:textId="24CCA89D"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1D80D63E" w14:textId="08BE996F" w:rsidR="0093305C" w:rsidRPr="008C0D2F" w:rsidRDefault="0093305C" w:rsidP="002770D6">
      <w:pPr>
        <w:pStyle w:val="NormalWeb"/>
        <w:ind w:left="540" w:hanging="540"/>
        <w:jc w:val="both"/>
        <w:rPr>
          <w:rFonts w:ascii="Book Antiqua" w:hAnsi="Book Antiqua"/>
          <w:lang w:val="es-PR"/>
        </w:rPr>
      </w:pPr>
      <w:r w:rsidRPr="008C0D2F">
        <w:rPr>
          <w:rFonts w:ascii="Book Antiqua" w:hAnsi="Book Antiqua"/>
          <w:lang w:val="es-PR"/>
        </w:rPr>
        <w:t xml:space="preserve">Para enmendar las Secciones 2.1, </w:t>
      </w:r>
      <w:r w:rsidR="00D03D24">
        <w:rPr>
          <w:rFonts w:ascii="Book Antiqua" w:hAnsi="Book Antiqua"/>
          <w:lang w:val="es-PR"/>
        </w:rPr>
        <w:t xml:space="preserve">2.2, </w:t>
      </w:r>
      <w:r w:rsidRPr="008C0D2F">
        <w:rPr>
          <w:rFonts w:ascii="Book Antiqua" w:hAnsi="Book Antiqua"/>
          <w:lang w:val="es-PR"/>
        </w:rPr>
        <w:t>2.9, 3.14</w:t>
      </w:r>
      <w:r w:rsidR="001D0400">
        <w:rPr>
          <w:rFonts w:ascii="Book Antiqua" w:hAnsi="Book Antiqua"/>
          <w:lang w:val="es-PR"/>
        </w:rPr>
        <w:t xml:space="preserve"> y 7.1</w:t>
      </w:r>
      <w:r w:rsidRPr="008C0D2F">
        <w:rPr>
          <w:rFonts w:ascii="Book Antiqua" w:hAnsi="Book Antiqua"/>
          <w:lang w:val="es-PR"/>
        </w:rPr>
        <w:t xml:space="preserve"> de la Ley Núm. 38 de 30 de junio de 2017, según enmendada, conocida como “Ley de Procedimiento Administrativo Uniforme del Gobierno de Puerto Rico” (LPAU), a los fines de modernizar el proceso de reglamentación y procedimientos adjudicativos mediante la incorporación prioritaria de herramientas tecnológicas (notificaciones electrónicas, vistas virtuales y publicación digital); uniformar términos y plazos con avances actuales; aumentar multas administrativas para disuadir incumplimientos;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2770D6" w:rsidRDefault="0025618A" w:rsidP="000715A1">
      <w:pPr>
        <w:spacing w:line="360" w:lineRule="auto"/>
        <w:jc w:val="both"/>
        <w:rPr>
          <w:rFonts w:ascii="Book Antiqua" w:hAnsi="Book Antiqua"/>
          <w:sz w:val="16"/>
          <w:szCs w:val="16"/>
          <w:lang w:val="es-PR"/>
        </w:rPr>
      </w:pPr>
    </w:p>
    <w:p w14:paraId="425036AF" w14:textId="77777777" w:rsidR="00DD3CA3" w:rsidRPr="00147BD9" w:rsidRDefault="00DD3CA3" w:rsidP="00147BD9">
      <w:pPr>
        <w:pStyle w:val="NormalWeb"/>
        <w:spacing w:line="360" w:lineRule="auto"/>
        <w:ind w:firstLine="720"/>
        <w:jc w:val="both"/>
        <w:rPr>
          <w:rFonts w:ascii="Book Antiqua" w:hAnsi="Book Antiqua"/>
          <w:lang w:val="es-PR"/>
        </w:rPr>
      </w:pPr>
      <w:r w:rsidRPr="00147BD9">
        <w:rPr>
          <w:rFonts w:ascii="Book Antiqua" w:hAnsi="Book Antiqua"/>
          <w:lang w:val="es-PR"/>
        </w:rPr>
        <w:t>La Ley Núm. 38 de 30 de junio de 2017, conocida como “Ley de Procedimiento Administrativo Uniforme del Gobierno de Puerto Rico” (LPAU), surgió como respuesta a la necesidad de establecer un marco normativo único, claro y equitativo para los procedimientos administrativos en todas las agencias del Gobierno de Puerto Rico. Su objetivo principal fue reemplazar el mosaico de leyes y reglamentos dispersos que regían la reglamentación, los procedimientos adjudicativos y la revisión judicial, promoviendo eficiencia, transparencia y protección de derechos de los ciudadanos. La LPAU derogó y sustituyó la anterior Ley Núm. 170 de 1988, incorporando avances como la simplificación de procesos y la uniformidad en plazos y requisitos.</w:t>
      </w:r>
    </w:p>
    <w:p w14:paraId="1A4EB935" w14:textId="77777777" w:rsidR="00DD3CA3" w:rsidRPr="00147BD9" w:rsidRDefault="00DD3CA3" w:rsidP="00E47B18">
      <w:pPr>
        <w:pStyle w:val="NormalWeb"/>
        <w:spacing w:line="360" w:lineRule="auto"/>
        <w:ind w:firstLine="720"/>
        <w:jc w:val="both"/>
        <w:rPr>
          <w:rFonts w:ascii="Book Antiqua" w:hAnsi="Book Antiqua"/>
          <w:lang w:val="es-PR"/>
        </w:rPr>
      </w:pPr>
      <w:r w:rsidRPr="00147BD9">
        <w:rPr>
          <w:rFonts w:ascii="Book Antiqua" w:hAnsi="Book Antiqua"/>
          <w:lang w:val="es-PR"/>
        </w:rPr>
        <w:t xml:space="preserve">Desde su aprobación, la Ley 38-2017 ha sido objeto de múltiples enmiendas puntuales que reflejan la evolución tecnológica y las lecciones aprendidas de crisis </w:t>
      </w:r>
      <w:r w:rsidRPr="00147BD9">
        <w:rPr>
          <w:rFonts w:ascii="Book Antiqua" w:hAnsi="Book Antiqua"/>
          <w:lang w:val="es-PR"/>
        </w:rPr>
        <w:lastRenderedPageBreak/>
        <w:t>recientes. Entre ellas destacan: la Ley Núm. 174 de 2018 (simplificación de procesos), la Ley Núm. 147 de 2019 (acceso a información), la Ley Núm. 85 de 2020 (reducción de trámites), la Ley Núm. 28 de 2023 (prioridad a vistas virtuales) y, más recientemente, la Ley Núm. 16 de 2025 (que incorporó notificaciones electrónicas y vistas por videoconferencia como opción preferente, con salvaguardas para inclusión). Estas reformas han demostrado la capacidad de adaptación de la LPAU, pero también han dejado evidente la necesidad de una modernización más integral y coherente.</w:t>
      </w:r>
    </w:p>
    <w:p w14:paraId="00D6F47D" w14:textId="77777777" w:rsidR="00A4004D" w:rsidRPr="00147BD9" w:rsidRDefault="00A4004D" w:rsidP="00F7565E">
      <w:pPr>
        <w:pStyle w:val="NormalWeb"/>
        <w:spacing w:line="360" w:lineRule="auto"/>
        <w:ind w:firstLine="720"/>
        <w:jc w:val="both"/>
        <w:rPr>
          <w:rFonts w:ascii="Book Antiqua" w:hAnsi="Book Antiqua"/>
          <w:lang w:val="es-PR"/>
        </w:rPr>
      </w:pPr>
      <w:r w:rsidRPr="00147BD9">
        <w:rPr>
          <w:rFonts w:ascii="Book Antiqua" w:hAnsi="Book Antiqua"/>
          <w:lang w:val="es-PR"/>
        </w:rPr>
        <w:t>La pandemia del COVID-19 (2020-2023) aceleró la transición hacia herramientas digitales en la administración pública, revelando limitaciones estructurales en la LPAU original: plazos desactualizados (ej. 90 días para resoluciones finales en procedimientos adjudicativos), términos inconsistentes entre agencias (vistas públicas no siempre alineadas con estándares digitales), publicación física prioritaria en periódicos (costosa y de menor alcance), y falta de integración plena de firmas electrónicas, plataformas virtuales y accesibilidad digital para personas con discapacidades o en zonas rurales. Estos obstáculos generan sobrecarga administrativa, demoras innecesarias, mayor costo para el ciudadano y menor confianza en el sistema.</w:t>
      </w:r>
    </w:p>
    <w:p w14:paraId="516E210C" w14:textId="77777777" w:rsidR="00A4004D" w:rsidRPr="00147BD9" w:rsidRDefault="00A4004D" w:rsidP="00F7565E">
      <w:pPr>
        <w:pStyle w:val="NormalWeb"/>
        <w:spacing w:line="360" w:lineRule="auto"/>
        <w:ind w:firstLine="720"/>
        <w:jc w:val="both"/>
        <w:rPr>
          <w:rFonts w:ascii="Book Antiqua" w:hAnsi="Book Antiqua"/>
          <w:lang w:val="es-PR"/>
        </w:rPr>
      </w:pPr>
      <w:r w:rsidRPr="00147BD9">
        <w:rPr>
          <w:rFonts w:ascii="Book Antiqua" w:hAnsi="Book Antiqua"/>
          <w:lang w:val="es-PR"/>
        </w:rPr>
        <w:t>En el contexto actual (2026), Puerto Rico cuenta con avances significativos en infraestructura tecnológica (Ley Núm. 75-2019 que crea el Puerto Rico Innovation and Technology Service - PRITS), pero la LPAU no refleja plenamente esta realidad. La publicación en periódicos tradicionales sigue siendo obligatoria en muchos casos, pese a que la mayoría de la población accede a información vía internet; las vistas presenciales dominan cuando las virtuales son más eficientes y accesibles; y los plazos rígidos no consideran la capacidad real de respuesta digital. Además, multas administrativas desactualizadas (ej. en Sección 3.27-A) pierden efecto disuasorio ante incumplimientos crecientes.</w:t>
      </w:r>
    </w:p>
    <w:p w14:paraId="0D615AAA" w14:textId="77777777" w:rsidR="00A02C54" w:rsidRPr="00147BD9" w:rsidRDefault="00A02C54" w:rsidP="00B67B5D">
      <w:pPr>
        <w:pStyle w:val="NormalWeb"/>
        <w:spacing w:line="360" w:lineRule="auto"/>
        <w:ind w:firstLine="360"/>
        <w:jc w:val="both"/>
        <w:rPr>
          <w:rFonts w:ascii="Book Antiqua" w:hAnsi="Book Antiqua"/>
          <w:lang w:val="es-PR"/>
        </w:rPr>
      </w:pPr>
      <w:r w:rsidRPr="00147BD9">
        <w:rPr>
          <w:rFonts w:ascii="Book Antiqua" w:hAnsi="Book Antiqua"/>
          <w:lang w:val="es-PR"/>
        </w:rPr>
        <w:t>Esta medida legislativa busca corregir estas deficiencias mediante enmiendas específicas y coordinadas que:</w:t>
      </w:r>
    </w:p>
    <w:p w14:paraId="6ADFEA05" w14:textId="77777777" w:rsidR="00A02C54" w:rsidRPr="00147BD9" w:rsidRDefault="00A02C54" w:rsidP="00147BD9">
      <w:pPr>
        <w:numPr>
          <w:ilvl w:val="0"/>
          <w:numId w:val="50"/>
        </w:numPr>
        <w:spacing w:before="100" w:beforeAutospacing="1" w:after="100" w:afterAutospacing="1" w:line="360" w:lineRule="auto"/>
        <w:jc w:val="both"/>
        <w:rPr>
          <w:rFonts w:ascii="Book Antiqua" w:hAnsi="Book Antiqua"/>
          <w:lang w:val="es-PR"/>
        </w:rPr>
      </w:pPr>
      <w:r w:rsidRPr="00147BD9">
        <w:rPr>
          <w:rFonts w:ascii="Book Antiqua" w:hAnsi="Book Antiqua"/>
          <w:lang w:val="es-PR"/>
        </w:rPr>
        <w:lastRenderedPageBreak/>
        <w:t>Prioricen la tecnología como norma general (notificaciones electrónicas, vistas por videoconferencia y publicación digital), con salvaguardas para inclusión y equidad.</w:t>
      </w:r>
    </w:p>
    <w:p w14:paraId="2B21BFD9" w14:textId="77777777" w:rsidR="00A02C54" w:rsidRPr="00147BD9" w:rsidRDefault="00A02C54" w:rsidP="00147BD9">
      <w:pPr>
        <w:numPr>
          <w:ilvl w:val="0"/>
          <w:numId w:val="50"/>
        </w:numPr>
        <w:spacing w:before="100" w:beforeAutospacing="1" w:after="100" w:afterAutospacing="1" w:line="360" w:lineRule="auto"/>
        <w:jc w:val="both"/>
        <w:rPr>
          <w:rFonts w:ascii="Book Antiqua" w:hAnsi="Book Antiqua"/>
          <w:lang w:val="es-PR"/>
        </w:rPr>
      </w:pPr>
      <w:r w:rsidRPr="00147BD9">
        <w:rPr>
          <w:rFonts w:ascii="Book Antiqua" w:hAnsi="Book Antiqua"/>
          <w:lang w:val="es-PR"/>
        </w:rPr>
        <w:t>Simplifiquen y uniformen plazos (reducción razonable y prorrogación solo por causa justificada).</w:t>
      </w:r>
    </w:p>
    <w:p w14:paraId="48C9AF3D" w14:textId="77777777" w:rsidR="00A02C54" w:rsidRPr="00147BD9" w:rsidRDefault="00A02C54" w:rsidP="00147BD9">
      <w:pPr>
        <w:numPr>
          <w:ilvl w:val="0"/>
          <w:numId w:val="50"/>
        </w:numPr>
        <w:spacing w:before="100" w:beforeAutospacing="1" w:after="100" w:afterAutospacing="1" w:line="360" w:lineRule="auto"/>
        <w:jc w:val="both"/>
        <w:rPr>
          <w:rFonts w:ascii="Book Antiqua" w:hAnsi="Book Antiqua"/>
          <w:lang w:val="es-PR"/>
        </w:rPr>
      </w:pPr>
      <w:r w:rsidRPr="00147BD9">
        <w:rPr>
          <w:rFonts w:ascii="Book Antiqua" w:hAnsi="Book Antiqua"/>
          <w:lang w:val="es-PR"/>
        </w:rPr>
        <w:t>Aumenten multas administrativas proporcionalmente y destinen su recaudación a fondos para modernización tecnológica.</w:t>
      </w:r>
    </w:p>
    <w:p w14:paraId="7C5494F8" w14:textId="77777777" w:rsidR="00A02C54" w:rsidRPr="00147BD9" w:rsidRDefault="00A02C54" w:rsidP="00147BD9">
      <w:pPr>
        <w:numPr>
          <w:ilvl w:val="0"/>
          <w:numId w:val="50"/>
        </w:numPr>
        <w:spacing w:before="100" w:beforeAutospacing="1" w:after="100" w:afterAutospacing="1" w:line="360" w:lineRule="auto"/>
        <w:jc w:val="both"/>
        <w:rPr>
          <w:rFonts w:ascii="Book Antiqua" w:hAnsi="Book Antiqua"/>
          <w:lang w:val="es-PR"/>
        </w:rPr>
      </w:pPr>
      <w:r w:rsidRPr="00147BD9">
        <w:rPr>
          <w:rFonts w:ascii="Book Antiqua" w:hAnsi="Book Antiqua"/>
          <w:lang w:val="es-PR"/>
        </w:rPr>
        <w:t>Fortalezcan la revisión periódica de reglamentos para incorporar avances continuos.</w:t>
      </w:r>
    </w:p>
    <w:p w14:paraId="53E3D7D1" w14:textId="77777777" w:rsidR="00A02C54" w:rsidRPr="00147BD9" w:rsidRDefault="00A02C54" w:rsidP="00B67B5D">
      <w:pPr>
        <w:pStyle w:val="NormalWeb"/>
        <w:spacing w:line="360" w:lineRule="auto"/>
        <w:ind w:firstLine="720"/>
        <w:jc w:val="both"/>
        <w:rPr>
          <w:rFonts w:ascii="Book Antiqua" w:eastAsiaTheme="minorEastAsia" w:hAnsi="Book Antiqua"/>
          <w:lang w:val="es-PR"/>
        </w:rPr>
      </w:pPr>
      <w:r w:rsidRPr="00147BD9">
        <w:rPr>
          <w:rFonts w:ascii="Book Antiqua" w:hAnsi="Book Antiqua"/>
          <w:lang w:val="es-PR"/>
        </w:rPr>
        <w:t xml:space="preserve">La reforma promoverá una administración pública más ágil, económica, inclusiva y transparente, reduciendo costos operativos para agencias y ciudadanos, minimizando demoras y fortaleciendo la confianza en el Estado. Se alinea con la política pública de innovación y eficiencia gubernamental (Ley Núm. 75-2019), protección de derechos constitucionales (Artículo II de la Constitución de Puerto Rico) y principios federales de administración eficiente (Administrative </w:t>
      </w:r>
      <w:proofErr w:type="spellStart"/>
      <w:r w:rsidRPr="00147BD9">
        <w:rPr>
          <w:rFonts w:ascii="Book Antiqua" w:hAnsi="Book Antiqua"/>
          <w:lang w:val="es-PR"/>
        </w:rPr>
        <w:t>Procedure</w:t>
      </w:r>
      <w:proofErr w:type="spellEnd"/>
      <w:r w:rsidRPr="00147BD9">
        <w:rPr>
          <w:rFonts w:ascii="Book Antiqua" w:hAnsi="Book Antiqua"/>
          <w:lang w:val="es-PR"/>
        </w:rPr>
        <w:t xml:space="preserve"> </w:t>
      </w:r>
      <w:proofErr w:type="spellStart"/>
      <w:r w:rsidRPr="00147BD9">
        <w:rPr>
          <w:rFonts w:ascii="Book Antiqua" w:hAnsi="Book Antiqua"/>
          <w:lang w:val="es-PR"/>
        </w:rPr>
        <w:t>Act</w:t>
      </w:r>
      <w:proofErr w:type="spellEnd"/>
      <w:r w:rsidRPr="00147BD9">
        <w:rPr>
          <w:rFonts w:ascii="Book Antiqua" w:hAnsi="Book Antiqua"/>
          <w:lang w:val="es-PR"/>
        </w:rPr>
        <w:t>). Se exhorta a una consulta pública amplia durante el proceso legislativo para incorporar las voces de agencias, abogados, ciudadanos y expertos en derecho administrativo.</w:t>
      </w:r>
    </w:p>
    <w:p w14:paraId="490923FA" w14:textId="77777777" w:rsidR="00643D4A" w:rsidRPr="002770D6" w:rsidRDefault="00643D4A" w:rsidP="00643D4A">
      <w:pPr>
        <w:pStyle w:val="NormalWeb"/>
        <w:rPr>
          <w:lang w:val="es-PR"/>
        </w:rPr>
      </w:pP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7EE9BF81" w14:textId="654DB258" w:rsidR="00DF5BE8" w:rsidRPr="00B67B5D" w:rsidRDefault="00DF5BE8" w:rsidP="00B67B5D">
      <w:pPr>
        <w:pStyle w:val="NormalWeb"/>
        <w:spacing w:line="480" w:lineRule="auto"/>
        <w:ind w:firstLine="720"/>
        <w:jc w:val="both"/>
        <w:rPr>
          <w:rFonts w:ascii="Book Antiqua" w:hAnsi="Book Antiqua"/>
          <w:lang w:val="es-PR"/>
        </w:rPr>
      </w:pPr>
      <w:r w:rsidRPr="00B67B5D">
        <w:rPr>
          <w:rStyle w:val="Strong"/>
          <w:rFonts w:ascii="Book Antiqua" w:hAnsi="Book Antiqua"/>
          <w:b w:val="0"/>
          <w:bCs w:val="0"/>
          <w:lang w:val="es-PR"/>
        </w:rPr>
        <w:t>Artículo 1.</w:t>
      </w:r>
      <w:r w:rsidRPr="00B67B5D">
        <w:rPr>
          <w:rStyle w:val="Strong"/>
          <w:rFonts w:ascii="Book Antiqua" w:hAnsi="Book Antiqua"/>
          <w:lang w:val="es-PR"/>
        </w:rPr>
        <w:t>-</w:t>
      </w:r>
      <w:r w:rsidRPr="00B67B5D">
        <w:rPr>
          <w:rFonts w:ascii="Book Antiqua" w:hAnsi="Book Antiqua"/>
          <w:lang w:val="es-PR"/>
        </w:rPr>
        <w:t xml:space="preserve"> Se enmienda la Sección 2.1 del Capítulo 2 de la Ley Núm. 38</w:t>
      </w:r>
      <w:r w:rsidR="00E07F22">
        <w:rPr>
          <w:rFonts w:ascii="Book Antiqua" w:hAnsi="Book Antiqua"/>
          <w:lang w:val="es-PR"/>
        </w:rPr>
        <w:t>-</w:t>
      </w:r>
      <w:r w:rsidRPr="00B67B5D">
        <w:rPr>
          <w:rFonts w:ascii="Book Antiqua" w:hAnsi="Book Antiqua"/>
          <w:lang w:val="es-PR"/>
        </w:rPr>
        <w:t>2017, según enmendada, para que lea como sigue:</w:t>
      </w:r>
    </w:p>
    <w:p w14:paraId="6864AB67" w14:textId="702A23D5" w:rsidR="00DF5BE8" w:rsidRPr="00B67B5D" w:rsidRDefault="00DF5BE8" w:rsidP="00236A24">
      <w:pPr>
        <w:pStyle w:val="NormalWeb"/>
        <w:spacing w:line="480" w:lineRule="auto"/>
        <w:ind w:firstLine="720"/>
        <w:jc w:val="both"/>
        <w:rPr>
          <w:rFonts w:ascii="Book Antiqua" w:hAnsi="Book Antiqua"/>
          <w:lang w:val="es-PR"/>
        </w:rPr>
      </w:pPr>
      <w:r w:rsidRPr="00B67B5D">
        <w:rPr>
          <w:rFonts w:ascii="Book Antiqua" w:hAnsi="Book Antiqua"/>
          <w:lang w:val="es-PR"/>
        </w:rPr>
        <w:t xml:space="preserve">“Sección 2.1. — </w:t>
      </w:r>
      <w:r w:rsidR="00236A24">
        <w:rPr>
          <w:rFonts w:ascii="Book Antiqua" w:hAnsi="Book Antiqua"/>
          <w:lang w:val="es-PR"/>
        </w:rPr>
        <w:t>Notificación</w:t>
      </w:r>
      <w:r w:rsidR="00CA5597">
        <w:rPr>
          <w:rFonts w:ascii="Book Antiqua" w:hAnsi="Book Antiqua"/>
          <w:lang w:val="es-PR"/>
        </w:rPr>
        <w:t xml:space="preserve"> de</w:t>
      </w:r>
      <w:r w:rsidRPr="00B67B5D">
        <w:rPr>
          <w:rFonts w:ascii="Book Antiqua" w:hAnsi="Book Antiqua"/>
          <w:lang w:val="es-PR"/>
        </w:rPr>
        <w:t xml:space="preserve"> Propuesta</w:t>
      </w:r>
      <w:r w:rsidR="003F42E3">
        <w:rPr>
          <w:rFonts w:ascii="Book Antiqua" w:hAnsi="Book Antiqua"/>
          <w:lang w:val="es-PR"/>
        </w:rPr>
        <w:t xml:space="preserve"> </w:t>
      </w:r>
      <w:r w:rsidR="00236A24">
        <w:rPr>
          <w:rFonts w:ascii="Book Antiqua" w:hAnsi="Book Antiqua"/>
          <w:lang w:val="es-PR"/>
        </w:rPr>
        <w:t>de Adopción</w:t>
      </w:r>
      <w:r w:rsidR="00030BB9">
        <w:rPr>
          <w:rFonts w:ascii="Book Antiqua" w:hAnsi="Book Antiqua"/>
          <w:lang w:val="es-PR"/>
        </w:rPr>
        <w:t xml:space="preserve"> </w:t>
      </w:r>
      <w:r w:rsidRPr="00B67B5D">
        <w:rPr>
          <w:rFonts w:ascii="Book Antiqua" w:hAnsi="Book Antiqua"/>
          <w:lang w:val="es-PR"/>
        </w:rPr>
        <w:t>Reglamentación.</w:t>
      </w:r>
    </w:p>
    <w:p w14:paraId="639443F0" w14:textId="1340CB34" w:rsidR="00E06AC2" w:rsidRPr="00E62FA2" w:rsidRDefault="00FC10ED" w:rsidP="00E62FA2">
      <w:pPr>
        <w:pStyle w:val="NormalWeb"/>
        <w:spacing w:line="480" w:lineRule="auto"/>
        <w:ind w:firstLine="720"/>
        <w:jc w:val="both"/>
        <w:rPr>
          <w:rFonts w:ascii="Book Antiqua" w:hAnsi="Book Antiqua"/>
          <w:b/>
          <w:bCs/>
          <w:lang w:val="es-PR"/>
        </w:rPr>
      </w:pPr>
      <w:r w:rsidRPr="00FC10ED">
        <w:rPr>
          <w:rFonts w:ascii="Book Antiqua" w:hAnsi="Book Antiqua"/>
          <w:lang w:val="es-PR"/>
        </w:rPr>
        <w:t>Siempre que la agencia pretenda adoptar, enmendar o derogar una regla o reglamento, publicará un aviso en español y en inglés</w:t>
      </w:r>
      <w:r w:rsidRPr="00042582">
        <w:rPr>
          <w:rFonts w:ascii="Book Antiqua" w:hAnsi="Book Antiqua"/>
          <w:b/>
          <w:bCs/>
          <w:lang w:val="es-PR"/>
        </w:rPr>
        <w:t xml:space="preserve"> </w:t>
      </w:r>
      <w:r w:rsidR="00E57A75" w:rsidRPr="00042582">
        <w:rPr>
          <w:rFonts w:ascii="Book Antiqua" w:hAnsi="Book Antiqua"/>
          <w:b/>
          <w:bCs/>
          <w:lang w:val="es-PR"/>
        </w:rPr>
        <w:t>[</w:t>
      </w:r>
      <w:r w:rsidRPr="00042582">
        <w:rPr>
          <w:rFonts w:ascii="Book Antiqua" w:hAnsi="Book Antiqua"/>
          <w:b/>
          <w:bCs/>
          <w:lang w:val="es-PR"/>
        </w:rPr>
        <w:t xml:space="preserve">en no menos de un periódico de circulación general en Puerto Rico, y en español e inglés en la red de internet. </w:t>
      </w:r>
      <w:r w:rsidRPr="00042582">
        <w:rPr>
          <w:rFonts w:ascii="Book Antiqua" w:hAnsi="Book Antiqua"/>
          <w:b/>
          <w:bCs/>
          <w:lang w:val="es-PR"/>
        </w:rPr>
        <w:lastRenderedPageBreak/>
        <w:t>Disponiéndose, que si la adopción enmienda, o derogación de la regla o reglamento afecta, a una comunidad de residentes en específicos, la agencia deberá publicar el mismo aviso en un periódico regional que circule en 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w:t>
      </w:r>
      <w:r w:rsidR="00E57A75" w:rsidRPr="00042582">
        <w:rPr>
          <w:rFonts w:ascii="Book Antiqua" w:hAnsi="Book Antiqua"/>
          <w:b/>
          <w:bCs/>
          <w:lang w:val="es-PR"/>
        </w:rPr>
        <w:t>]</w:t>
      </w:r>
      <w:r w:rsidR="00E57A75">
        <w:rPr>
          <w:rFonts w:ascii="Book Antiqua" w:hAnsi="Book Antiqua"/>
          <w:lang w:val="es-PR"/>
        </w:rPr>
        <w:t xml:space="preserve"> </w:t>
      </w:r>
      <w:r w:rsidRPr="00FC10ED">
        <w:rPr>
          <w:rFonts w:ascii="Book Antiqua" w:hAnsi="Book Antiqua"/>
          <w:lang w:val="es-PR"/>
        </w:rPr>
        <w:t xml:space="preserve"> </w:t>
      </w:r>
      <w:r w:rsidR="00E57A75" w:rsidRPr="00487221">
        <w:rPr>
          <w:rFonts w:ascii="Book Antiqua" w:hAnsi="Book Antiqua"/>
          <w:i/>
          <w:iCs/>
          <w:lang w:val="es-PR"/>
        </w:rPr>
        <w:t>en el Registro Electrónico de Reglamentos del Gobierno de Puerto Rico, en la página web de la agencia y en al menos dos (2) periódicos de circulación general o plataformas digitales de amplio alcance.</w:t>
      </w:r>
      <w:r w:rsidR="00E57A75" w:rsidRPr="00B67B5D">
        <w:rPr>
          <w:rFonts w:ascii="Book Antiqua" w:hAnsi="Book Antiqua"/>
          <w:lang w:val="es-PR"/>
        </w:rPr>
        <w:t xml:space="preserve"> </w:t>
      </w:r>
      <w:r w:rsidR="00A52DC6" w:rsidRPr="00E62FA2">
        <w:rPr>
          <w:rFonts w:ascii="Book Antiqua" w:hAnsi="Book Antiqua"/>
          <w:b/>
          <w:bCs/>
          <w:lang w:val="es-PR"/>
        </w:rPr>
        <w:t>[</w:t>
      </w:r>
      <w:r w:rsidRPr="00E62FA2">
        <w:rPr>
          <w:rFonts w:ascii="Book Antiqua" w:hAnsi="Book Antiqua"/>
          <w:b/>
          <w:bCs/>
          <w:lang w:val="es-PR"/>
        </w:rPr>
        <w:t>Tanto el anuncio radial como el aviso contendrán</w:t>
      </w:r>
      <w:r w:rsidR="00B21806" w:rsidRPr="00E62FA2">
        <w:rPr>
          <w:rFonts w:ascii="Book Antiqua" w:hAnsi="Book Antiqua"/>
          <w:b/>
          <w:bCs/>
          <w:lang w:val="es-PR"/>
        </w:rPr>
        <w:t>.</w:t>
      </w:r>
      <w:r w:rsidR="00A52DC6" w:rsidRPr="00E62FA2">
        <w:rPr>
          <w:rFonts w:ascii="Book Antiqua" w:hAnsi="Book Antiqua"/>
          <w:b/>
          <w:bCs/>
          <w:lang w:val="es-PR"/>
        </w:rPr>
        <w:t>]</w:t>
      </w:r>
      <w:r w:rsidR="00B21806" w:rsidRPr="00E62FA2">
        <w:rPr>
          <w:rFonts w:ascii="Book Antiqua" w:hAnsi="Book Antiqua"/>
          <w:b/>
          <w:bCs/>
          <w:lang w:val="es-PR"/>
        </w:rPr>
        <w:t xml:space="preserve"> </w:t>
      </w:r>
      <w:r w:rsidR="00A160AD" w:rsidRPr="00E62FA2">
        <w:rPr>
          <w:rFonts w:ascii="Book Antiqua" w:hAnsi="Book Antiqua"/>
          <w:b/>
          <w:bCs/>
          <w:lang w:val="es-PR"/>
        </w:rPr>
        <w:t>[</w:t>
      </w:r>
      <w:r w:rsidR="00466BF9" w:rsidRPr="00E62FA2">
        <w:rPr>
          <w:rFonts w:ascii="Book Antiqua" w:hAnsi="Book Antiqua"/>
          <w:b/>
          <w:bCs/>
          <w:lang w:val="es-PR"/>
        </w:rPr>
        <w:t>e</w:t>
      </w:r>
      <w:r w:rsidR="00A160AD" w:rsidRPr="00E62FA2">
        <w:rPr>
          <w:rFonts w:ascii="Book Antiqua" w:hAnsi="Book Antiqua"/>
          <w:b/>
          <w:bCs/>
          <w:lang w:val="es-PR"/>
        </w:rPr>
        <w:t>]</w:t>
      </w:r>
      <w:r w:rsidR="00A160AD">
        <w:rPr>
          <w:rFonts w:ascii="Book Antiqua" w:hAnsi="Book Antiqua"/>
          <w:lang w:val="es-PR"/>
        </w:rPr>
        <w:t xml:space="preserve"> </w:t>
      </w:r>
      <w:r w:rsidR="00A160AD">
        <w:rPr>
          <w:rFonts w:ascii="Book Antiqua" w:hAnsi="Book Antiqua"/>
          <w:i/>
          <w:iCs/>
          <w:lang w:val="es-PR"/>
        </w:rPr>
        <w:t>E</w:t>
      </w:r>
      <w:r w:rsidR="00466BF9">
        <w:rPr>
          <w:rFonts w:ascii="Book Antiqua" w:hAnsi="Book Antiqua"/>
          <w:lang w:val="es-PR"/>
        </w:rPr>
        <w:t>l aviso contendrá</w:t>
      </w:r>
      <w:r w:rsidR="00A160AD" w:rsidRPr="00A724E7">
        <w:rPr>
          <w:rFonts w:ascii="Book Antiqua" w:hAnsi="Book Antiqua"/>
          <w:b/>
          <w:bCs/>
          <w:lang w:val="es-PR"/>
        </w:rPr>
        <w:t>[</w:t>
      </w:r>
      <w:r w:rsidR="00466BF9" w:rsidRPr="00A724E7">
        <w:rPr>
          <w:rFonts w:ascii="Book Antiqua" w:hAnsi="Book Antiqua"/>
          <w:b/>
          <w:bCs/>
          <w:lang w:val="es-PR"/>
        </w:rPr>
        <w:t>n</w:t>
      </w:r>
      <w:r w:rsidR="00A160AD" w:rsidRPr="00A724E7">
        <w:rPr>
          <w:rFonts w:ascii="Book Antiqua" w:hAnsi="Book Antiqua"/>
          <w:b/>
          <w:bCs/>
          <w:lang w:val="es-PR"/>
        </w:rPr>
        <w:t>]</w:t>
      </w:r>
      <w:r w:rsidR="00466BF9">
        <w:rPr>
          <w:rFonts w:ascii="Book Antiqua" w:hAnsi="Book Antiqua"/>
          <w:lang w:val="es-PR"/>
        </w:rPr>
        <w:t xml:space="preserve"> un resumen o explicación breve de los propósitos de la propuesta acción, una cita de la adopción legal que autoriza dicha acción y la forma, el sitio, los días y las horas en que se podrán someter comentarios por escrito o por correo electrónico</w:t>
      </w:r>
      <w:r w:rsidR="00606AD8" w:rsidRPr="00A724E7">
        <w:rPr>
          <w:rFonts w:ascii="Book Antiqua" w:hAnsi="Book Antiqua"/>
          <w:b/>
          <w:bCs/>
          <w:lang w:val="es-PR"/>
        </w:rPr>
        <w:t xml:space="preserve">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w:t>
      </w:r>
      <w:r w:rsidR="005D3705" w:rsidRPr="00A724E7">
        <w:rPr>
          <w:rFonts w:ascii="Book Antiqua" w:hAnsi="Book Antiqua"/>
          <w:b/>
          <w:bCs/>
          <w:lang w:val="es-PR"/>
        </w:rPr>
        <w:t>]</w:t>
      </w:r>
      <w:r w:rsidR="005854CF" w:rsidRPr="00A724E7">
        <w:rPr>
          <w:rFonts w:ascii="Book Antiqua" w:hAnsi="Book Antiqua"/>
          <w:b/>
          <w:bCs/>
          <w:lang w:val="es-PR"/>
        </w:rPr>
        <w:t xml:space="preserve">  </w:t>
      </w:r>
      <w:r w:rsidR="00E06AC2" w:rsidRPr="00FC2149">
        <w:rPr>
          <w:rFonts w:ascii="Book Antiqua" w:hAnsi="Book Antiqua"/>
          <w:lang w:val="es-PR"/>
        </w:rPr>
        <w:t>Al recibir comentarios por correo electrónico, la agencia acusará recibo de los mismos</w:t>
      </w:r>
      <w:r w:rsidR="00E06AC2">
        <w:rPr>
          <w:rFonts w:ascii="Book Antiqua" w:hAnsi="Book Antiqua"/>
          <w:i/>
          <w:iCs/>
          <w:lang w:val="es-PR"/>
        </w:rPr>
        <w:t xml:space="preserve"> </w:t>
      </w:r>
      <w:r w:rsidR="00E06AC2">
        <w:rPr>
          <w:rFonts w:ascii="Book Antiqua" w:hAnsi="Book Antiqua"/>
          <w:lang w:val="es-PR"/>
        </w:rPr>
        <w:t>por correo</w:t>
      </w:r>
      <w:r w:rsidR="00FC2149">
        <w:rPr>
          <w:rFonts w:ascii="Book Antiqua" w:hAnsi="Book Antiqua"/>
          <w:lang w:val="es-PR"/>
        </w:rPr>
        <w:t xml:space="preserve"> </w:t>
      </w:r>
      <w:r w:rsidR="00E06AC2">
        <w:rPr>
          <w:rFonts w:ascii="Book Antiqua" w:hAnsi="Book Antiqua"/>
          <w:lang w:val="es-PR"/>
        </w:rPr>
        <w:t>dentro de dos (2) días laborables de su recibo. El aviso publicado en el periódico contendrá, además, la dirección electrónica de la página donde la agencia haya elegido publicar el aviso en la Red y el texto completo de la regla o reglamento.</w:t>
      </w:r>
      <w:r w:rsidR="0029084A">
        <w:rPr>
          <w:rFonts w:ascii="Book Antiqua" w:hAnsi="Book Antiqua"/>
          <w:lang w:val="es-PR"/>
        </w:rPr>
        <w:t xml:space="preserve">  </w:t>
      </w:r>
      <w:r w:rsidR="0029084A" w:rsidRPr="0029084A">
        <w:rPr>
          <w:rFonts w:ascii="Book Antiqua" w:hAnsi="Book Antiqua"/>
          <w:i/>
          <w:iCs/>
          <w:lang w:val="es-PR"/>
        </w:rPr>
        <w:t xml:space="preserve">El aviso deberá incluir la fecha, hora y lugar (físico o virtual) de vistas públicas, con opción prioritaria para participación por videoconferencia. </w:t>
      </w:r>
    </w:p>
    <w:p w14:paraId="673185C2" w14:textId="221B3C3C" w:rsidR="00E06AC2" w:rsidRPr="00E06AC2" w:rsidRDefault="00E06AC2" w:rsidP="00FC10ED">
      <w:pPr>
        <w:pStyle w:val="NormalWeb"/>
        <w:spacing w:line="480" w:lineRule="auto"/>
        <w:jc w:val="both"/>
        <w:rPr>
          <w:rFonts w:ascii="Book Antiqua" w:hAnsi="Book Antiqua"/>
          <w:lang w:val="es-PR"/>
        </w:rPr>
      </w:pPr>
      <w:r>
        <w:rPr>
          <w:rFonts w:ascii="Book Antiqua" w:hAnsi="Book Antiqua"/>
          <w:lang w:val="es-PR"/>
        </w:rPr>
        <w:lastRenderedPageBreak/>
        <w:t xml:space="preserve">A tenor con las disposiciones de esta Sección, estará exento de la aplicación de las disposiciones </w:t>
      </w:r>
      <w:r w:rsidR="0029084A">
        <w:rPr>
          <w:rFonts w:ascii="Book Antiqua" w:hAnsi="Book Antiqua"/>
          <w:lang w:val="es-PR"/>
        </w:rPr>
        <w:t>d</w:t>
      </w:r>
      <w:r>
        <w:rPr>
          <w:rFonts w:ascii="Book Antiqua" w:hAnsi="Book Antiqua"/>
          <w:lang w:val="es-PR"/>
        </w:rPr>
        <w:t>el Artículo 12.001 de la Ley 78-2011, según enmendada, conocida como el “Código Electoral de Puerto Rico para el Siglo XXI”</w:t>
      </w:r>
    </w:p>
    <w:p w14:paraId="2C67EA27" w14:textId="71E548A1" w:rsidR="00790A86" w:rsidRDefault="00790A86" w:rsidP="004E6526">
      <w:pPr>
        <w:pStyle w:val="NormalWeb"/>
        <w:spacing w:line="480" w:lineRule="auto"/>
        <w:ind w:firstLine="720"/>
        <w:jc w:val="both"/>
        <w:rPr>
          <w:rFonts w:ascii="Book Antiqua" w:hAnsi="Book Antiqua"/>
          <w:lang w:val="es-PR"/>
        </w:rPr>
      </w:pPr>
      <w:r w:rsidRPr="00790A86">
        <w:rPr>
          <w:rStyle w:val="Strong"/>
          <w:rFonts w:ascii="Book Antiqua" w:hAnsi="Book Antiqua"/>
          <w:b w:val="0"/>
          <w:bCs w:val="0"/>
          <w:lang w:val="es-PR"/>
        </w:rPr>
        <w:t>Artículo 2.</w:t>
      </w:r>
      <w:r w:rsidRPr="00B67B5D">
        <w:rPr>
          <w:rStyle w:val="Strong"/>
          <w:rFonts w:ascii="Book Antiqua" w:hAnsi="Book Antiqua"/>
          <w:lang w:val="es-PR"/>
        </w:rPr>
        <w:t>-</w:t>
      </w:r>
      <w:r>
        <w:rPr>
          <w:rStyle w:val="Strong"/>
          <w:rFonts w:ascii="Book Antiqua" w:hAnsi="Book Antiqua"/>
          <w:lang w:val="es-PR"/>
        </w:rPr>
        <w:t xml:space="preserve"> </w:t>
      </w:r>
      <w:r>
        <w:rPr>
          <w:rFonts w:ascii="Book Antiqua" w:hAnsi="Book Antiqua"/>
          <w:lang w:val="es-PR"/>
        </w:rPr>
        <w:t>Se enmienda la Sección 2.2 del Capítulo 2 de la Ley Núm. 38-2017, según enmendada, para que lea como sigue:</w:t>
      </w:r>
    </w:p>
    <w:p w14:paraId="380AF267" w14:textId="1761D302" w:rsidR="00083F9B" w:rsidRDefault="00083F9B" w:rsidP="004E6526">
      <w:pPr>
        <w:pStyle w:val="NormalWeb"/>
        <w:spacing w:line="480" w:lineRule="auto"/>
        <w:ind w:firstLine="720"/>
        <w:jc w:val="both"/>
        <w:rPr>
          <w:rFonts w:ascii="Book Antiqua" w:hAnsi="Book Antiqua"/>
          <w:lang w:val="es-PR"/>
        </w:rPr>
      </w:pPr>
      <w:r>
        <w:rPr>
          <w:rFonts w:ascii="Book Antiqua" w:hAnsi="Book Antiqua"/>
          <w:lang w:val="es-PR"/>
        </w:rPr>
        <w:t>“</w:t>
      </w:r>
      <w:r w:rsidR="00A375DC">
        <w:rPr>
          <w:rFonts w:ascii="Book Antiqua" w:hAnsi="Book Antiqua"/>
          <w:lang w:val="es-PR"/>
        </w:rPr>
        <w:t>Sección</w:t>
      </w:r>
      <w:r>
        <w:rPr>
          <w:rFonts w:ascii="Book Antiqua" w:hAnsi="Book Antiqua"/>
          <w:lang w:val="es-PR"/>
        </w:rPr>
        <w:t xml:space="preserve"> 2.2 – </w:t>
      </w:r>
      <w:r w:rsidR="00A375DC">
        <w:rPr>
          <w:rFonts w:ascii="Book Antiqua" w:hAnsi="Book Antiqua"/>
          <w:lang w:val="es-PR"/>
        </w:rPr>
        <w:t>Participación</w:t>
      </w:r>
      <w:r>
        <w:rPr>
          <w:rFonts w:ascii="Book Antiqua" w:hAnsi="Book Antiqua"/>
          <w:lang w:val="es-PR"/>
        </w:rPr>
        <w:t xml:space="preserve"> Ciudadana.</w:t>
      </w:r>
    </w:p>
    <w:p w14:paraId="79106BB3" w14:textId="51166E8E" w:rsidR="00DF5BE8" w:rsidRPr="00B67B5D" w:rsidRDefault="00083F9B" w:rsidP="00083F9B">
      <w:pPr>
        <w:pStyle w:val="NormalWeb"/>
        <w:spacing w:line="480" w:lineRule="auto"/>
        <w:ind w:firstLine="720"/>
        <w:jc w:val="both"/>
        <w:rPr>
          <w:rFonts w:ascii="Book Antiqua" w:hAnsi="Book Antiqua"/>
          <w:lang w:val="es-PR"/>
        </w:rPr>
      </w:pPr>
      <w:r w:rsidRPr="00083F9B">
        <w:rPr>
          <w:rFonts w:ascii="Book Antiqua" w:hAnsi="Book Antiqua"/>
          <w:lang w:val="es-PR"/>
        </w:rPr>
        <w:t xml:space="preserve">La agencia proveerá oportunidad para someter comentarios por escrito durante un término </w:t>
      </w:r>
      <w:r w:rsidRPr="00A724E7">
        <w:rPr>
          <w:rFonts w:ascii="Book Antiqua" w:hAnsi="Book Antiqua"/>
          <w:b/>
          <w:bCs/>
          <w:lang w:val="es-PR"/>
        </w:rPr>
        <w:t>[no menor]</w:t>
      </w:r>
      <w:r w:rsidRPr="00083F9B">
        <w:rPr>
          <w:rFonts w:ascii="Book Antiqua" w:hAnsi="Book Antiqua"/>
          <w:lang w:val="es-PR"/>
        </w:rPr>
        <w:t xml:space="preserve"> </w:t>
      </w:r>
      <w:r w:rsidR="00411757">
        <w:rPr>
          <w:rFonts w:ascii="Book Antiqua" w:hAnsi="Book Antiqua"/>
          <w:i/>
          <w:iCs/>
          <w:lang w:val="es-PR"/>
        </w:rPr>
        <w:t xml:space="preserve">fijo </w:t>
      </w:r>
      <w:r w:rsidRPr="00083F9B">
        <w:rPr>
          <w:rFonts w:ascii="Book Antiqua" w:hAnsi="Book Antiqua"/>
          <w:lang w:val="es-PR"/>
        </w:rPr>
        <w:t>de treinta (30) días, contados a partir de la fecha de la publicación del aviso.</w:t>
      </w:r>
      <w:r w:rsidR="00A375DC">
        <w:rPr>
          <w:rFonts w:ascii="Book Antiqua" w:hAnsi="Book Antiqua"/>
          <w:lang w:val="es-PR"/>
        </w:rPr>
        <w:t xml:space="preserve">  Este termino, será </w:t>
      </w:r>
      <w:r w:rsidR="00DF5BE8" w:rsidRPr="00B67B5D">
        <w:rPr>
          <w:rFonts w:ascii="Book Antiqua" w:hAnsi="Book Antiqua"/>
          <w:lang w:val="es-PR"/>
        </w:rPr>
        <w:t>prorrogables solo por causa justificada documentada.”</w:t>
      </w:r>
    </w:p>
    <w:p w14:paraId="11000FE3" w14:textId="7FAB950A" w:rsidR="00E01619" w:rsidRPr="00B67B5D" w:rsidRDefault="006A41C9" w:rsidP="00DB072B">
      <w:pPr>
        <w:pStyle w:val="NormalWeb"/>
        <w:spacing w:line="480" w:lineRule="auto"/>
        <w:ind w:firstLine="720"/>
        <w:jc w:val="both"/>
        <w:rPr>
          <w:rFonts w:ascii="Book Antiqua" w:hAnsi="Book Antiqua"/>
          <w:lang w:val="es-PR"/>
        </w:rPr>
      </w:pPr>
      <w:r w:rsidRPr="00E01619">
        <w:rPr>
          <w:rStyle w:val="Strong"/>
          <w:rFonts w:ascii="Book Antiqua" w:hAnsi="Book Antiqua"/>
          <w:b w:val="0"/>
          <w:bCs w:val="0"/>
          <w:lang w:val="es-PR"/>
        </w:rPr>
        <w:t xml:space="preserve">Artículo </w:t>
      </w:r>
      <w:r w:rsidR="00E01619" w:rsidRPr="00E01619">
        <w:rPr>
          <w:rStyle w:val="Strong"/>
          <w:rFonts w:ascii="Book Antiqua" w:hAnsi="Book Antiqua"/>
          <w:b w:val="0"/>
          <w:bCs w:val="0"/>
          <w:lang w:val="es-PR"/>
        </w:rPr>
        <w:t>3</w:t>
      </w:r>
      <w:r w:rsidRPr="00E01619">
        <w:rPr>
          <w:rStyle w:val="Strong"/>
          <w:rFonts w:ascii="Book Antiqua" w:hAnsi="Book Antiqua"/>
          <w:b w:val="0"/>
          <w:bCs w:val="0"/>
          <w:lang w:val="es-PR"/>
        </w:rPr>
        <w:t>.</w:t>
      </w:r>
      <w:r w:rsidRPr="00B67B5D">
        <w:rPr>
          <w:rStyle w:val="Strong"/>
          <w:rFonts w:ascii="Book Antiqua" w:hAnsi="Book Antiqua"/>
          <w:lang w:val="es-PR"/>
        </w:rPr>
        <w:t>-</w:t>
      </w:r>
      <w:r w:rsidRPr="00B67B5D">
        <w:rPr>
          <w:rFonts w:ascii="Book Antiqua" w:hAnsi="Book Antiqua"/>
          <w:lang w:val="es-PR"/>
        </w:rPr>
        <w:t xml:space="preserve"> </w:t>
      </w:r>
      <w:r w:rsidR="00E01619" w:rsidRPr="00B67B5D">
        <w:rPr>
          <w:rFonts w:ascii="Book Antiqua" w:hAnsi="Book Antiqua"/>
          <w:lang w:val="es-PR"/>
        </w:rPr>
        <w:t>Se enmienda la Sección 2.</w:t>
      </w:r>
      <w:r w:rsidR="00E01619">
        <w:rPr>
          <w:rFonts w:ascii="Book Antiqua" w:hAnsi="Book Antiqua"/>
          <w:lang w:val="es-PR"/>
        </w:rPr>
        <w:t>9</w:t>
      </w:r>
      <w:r w:rsidR="00E01619" w:rsidRPr="00B67B5D">
        <w:rPr>
          <w:rFonts w:ascii="Book Antiqua" w:hAnsi="Book Antiqua"/>
          <w:lang w:val="es-PR"/>
        </w:rPr>
        <w:t xml:space="preserve"> del Capítulo 2 de la Ley Núm. 38</w:t>
      </w:r>
      <w:r w:rsidR="00E01619">
        <w:rPr>
          <w:rFonts w:ascii="Book Antiqua" w:hAnsi="Book Antiqua"/>
          <w:lang w:val="es-PR"/>
        </w:rPr>
        <w:t>-</w:t>
      </w:r>
      <w:r w:rsidR="00E01619" w:rsidRPr="00B67B5D">
        <w:rPr>
          <w:rFonts w:ascii="Book Antiqua" w:hAnsi="Book Antiqua"/>
          <w:lang w:val="es-PR"/>
        </w:rPr>
        <w:t>2017, según enmendada, para que lea como sigue:</w:t>
      </w:r>
    </w:p>
    <w:p w14:paraId="467E28C7" w14:textId="4A6E2FA9" w:rsidR="006A41C9" w:rsidRPr="00B67B5D" w:rsidRDefault="006A41C9" w:rsidP="00E01619">
      <w:pPr>
        <w:pStyle w:val="NormalWeb"/>
        <w:spacing w:line="480" w:lineRule="auto"/>
        <w:ind w:firstLine="720"/>
        <w:jc w:val="both"/>
        <w:rPr>
          <w:rFonts w:ascii="Book Antiqua" w:hAnsi="Book Antiqua"/>
          <w:lang w:val="es-PR"/>
        </w:rPr>
      </w:pPr>
      <w:r w:rsidRPr="00B67B5D">
        <w:rPr>
          <w:rFonts w:ascii="Book Antiqua" w:hAnsi="Book Antiqua"/>
          <w:lang w:val="es-PR"/>
        </w:rPr>
        <w:t>“Sección 2.9. — Reglamentación en Cuanto a Publicación y Forma; Referencias Estatutarias.</w:t>
      </w:r>
    </w:p>
    <w:p w14:paraId="2EB58011" w14:textId="77777777" w:rsidR="007B2A7C" w:rsidRDefault="007B2A7C" w:rsidP="00FD6EF0">
      <w:pPr>
        <w:pStyle w:val="NormalWeb"/>
        <w:spacing w:line="480" w:lineRule="auto"/>
        <w:ind w:firstLine="720"/>
        <w:jc w:val="both"/>
        <w:rPr>
          <w:rFonts w:ascii="Book Antiqua" w:hAnsi="Book Antiqua"/>
          <w:lang w:val="es-PR"/>
        </w:rPr>
      </w:pPr>
      <w:r>
        <w:rPr>
          <w:rFonts w:ascii="Book Antiqua" w:hAnsi="Book Antiqua"/>
          <w:lang w:val="es-PR"/>
        </w:rPr>
        <w:t>…………</w:t>
      </w:r>
    </w:p>
    <w:p w14:paraId="70EF2FA2" w14:textId="5338377C" w:rsidR="006A41C9" w:rsidRPr="007B2A7C" w:rsidRDefault="006A41C9" w:rsidP="00FD6EF0">
      <w:pPr>
        <w:pStyle w:val="NormalWeb"/>
        <w:spacing w:line="480" w:lineRule="auto"/>
        <w:ind w:firstLine="720"/>
        <w:jc w:val="both"/>
        <w:rPr>
          <w:rFonts w:ascii="Book Antiqua" w:hAnsi="Book Antiqua"/>
          <w:i/>
          <w:iCs/>
          <w:lang w:val="es-PR"/>
        </w:rPr>
      </w:pPr>
      <w:r w:rsidRPr="007B2A7C">
        <w:rPr>
          <w:rFonts w:ascii="Book Antiqua" w:hAnsi="Book Antiqua"/>
          <w:i/>
          <w:iCs/>
          <w:lang w:val="es-PR"/>
        </w:rPr>
        <w:t xml:space="preserve">La reglamentación se publicará </w:t>
      </w:r>
      <w:r w:rsidR="007B2A7C" w:rsidRPr="007B2A7C">
        <w:rPr>
          <w:rFonts w:ascii="Book Antiqua" w:hAnsi="Book Antiqua"/>
          <w:i/>
          <w:iCs/>
          <w:lang w:val="es-PR"/>
        </w:rPr>
        <w:t xml:space="preserve">exclusivamente </w:t>
      </w:r>
      <w:r w:rsidRPr="007B2A7C">
        <w:rPr>
          <w:rFonts w:ascii="Book Antiqua" w:hAnsi="Book Antiqua"/>
          <w:i/>
          <w:iCs/>
          <w:lang w:val="es-PR"/>
        </w:rPr>
        <w:t>en formato digital accesible (PDF, HTML o equivalente), con firmas electrónicas válidas conforme a la Ley Núm. 112</w:t>
      </w:r>
      <w:r w:rsidR="00C52090" w:rsidRPr="007B2A7C">
        <w:rPr>
          <w:rFonts w:ascii="Book Antiqua" w:hAnsi="Book Antiqua"/>
          <w:i/>
          <w:iCs/>
          <w:lang w:val="es-PR"/>
        </w:rPr>
        <w:t>-</w:t>
      </w:r>
      <w:r w:rsidRPr="007B2A7C">
        <w:rPr>
          <w:rFonts w:ascii="Book Antiqua" w:hAnsi="Book Antiqua"/>
          <w:i/>
          <w:iCs/>
          <w:lang w:val="es-PR"/>
        </w:rPr>
        <w:t>2020.”</w:t>
      </w:r>
    </w:p>
    <w:p w14:paraId="438AC5B6" w14:textId="3CB7B218" w:rsidR="00194905" w:rsidRPr="00B67B5D" w:rsidRDefault="00194905" w:rsidP="007B2A7C">
      <w:pPr>
        <w:pStyle w:val="NormalWeb"/>
        <w:spacing w:line="480" w:lineRule="auto"/>
        <w:ind w:firstLine="720"/>
        <w:jc w:val="both"/>
        <w:rPr>
          <w:rFonts w:ascii="Book Antiqua" w:hAnsi="Book Antiqua"/>
          <w:lang w:val="es-PR"/>
        </w:rPr>
      </w:pPr>
      <w:r w:rsidRPr="007B2A7C">
        <w:rPr>
          <w:rStyle w:val="Strong"/>
          <w:rFonts w:ascii="Book Antiqua" w:hAnsi="Book Antiqua"/>
          <w:b w:val="0"/>
          <w:bCs w:val="0"/>
          <w:lang w:val="es-PR"/>
        </w:rPr>
        <w:t xml:space="preserve">Artículo </w:t>
      </w:r>
      <w:r w:rsidR="007B2A7C" w:rsidRPr="007B2A7C">
        <w:rPr>
          <w:rStyle w:val="Strong"/>
          <w:rFonts w:ascii="Book Antiqua" w:hAnsi="Book Antiqua"/>
          <w:b w:val="0"/>
          <w:bCs w:val="0"/>
          <w:lang w:val="es-PR"/>
        </w:rPr>
        <w:t>4</w:t>
      </w:r>
      <w:r w:rsidRPr="007B2A7C">
        <w:rPr>
          <w:rStyle w:val="Strong"/>
          <w:rFonts w:ascii="Book Antiqua" w:hAnsi="Book Antiqua"/>
          <w:b w:val="0"/>
          <w:bCs w:val="0"/>
          <w:lang w:val="es-PR"/>
        </w:rPr>
        <w:t>.-</w:t>
      </w:r>
      <w:r w:rsidRPr="00B67B5D">
        <w:rPr>
          <w:rFonts w:ascii="Book Antiqua" w:hAnsi="Book Antiqua"/>
          <w:lang w:val="es-PR"/>
        </w:rPr>
        <w:t xml:space="preserve"> Se enmienda la Sección 3.14 del Capítulo 3 de la Ley Núm. 38</w:t>
      </w:r>
      <w:r w:rsidR="007B2A7C">
        <w:rPr>
          <w:rFonts w:ascii="Book Antiqua" w:hAnsi="Book Antiqua"/>
          <w:lang w:val="es-PR"/>
        </w:rPr>
        <w:t>-</w:t>
      </w:r>
      <w:r w:rsidRPr="00B67B5D">
        <w:rPr>
          <w:rFonts w:ascii="Book Antiqua" w:hAnsi="Book Antiqua"/>
          <w:lang w:val="es-PR"/>
        </w:rPr>
        <w:t>2017, según enmendada, para que lea como sigue:</w:t>
      </w:r>
    </w:p>
    <w:p w14:paraId="3DCFA438" w14:textId="77777777" w:rsidR="00194905" w:rsidRPr="00B67B5D" w:rsidRDefault="00194905" w:rsidP="007B2A7C">
      <w:pPr>
        <w:pStyle w:val="NormalWeb"/>
        <w:spacing w:line="480" w:lineRule="auto"/>
        <w:ind w:firstLine="720"/>
        <w:jc w:val="both"/>
        <w:rPr>
          <w:rFonts w:ascii="Book Antiqua" w:hAnsi="Book Antiqua"/>
          <w:lang w:val="es-PR"/>
        </w:rPr>
      </w:pPr>
      <w:r w:rsidRPr="00B67B5D">
        <w:rPr>
          <w:rFonts w:ascii="Book Antiqua" w:hAnsi="Book Antiqua"/>
          <w:lang w:val="es-PR"/>
        </w:rPr>
        <w:t>“Sección 3.14. — Órdenes o Resoluciones Finales.</w:t>
      </w:r>
    </w:p>
    <w:p w14:paraId="57621A91" w14:textId="40AF4ACB" w:rsidR="00D71C54" w:rsidRPr="00D71C54" w:rsidRDefault="00D71C54" w:rsidP="00963AD2">
      <w:pPr>
        <w:pStyle w:val="NormalWeb"/>
        <w:spacing w:line="480" w:lineRule="auto"/>
        <w:ind w:firstLine="720"/>
        <w:jc w:val="both"/>
        <w:rPr>
          <w:rFonts w:ascii="Book Antiqua" w:hAnsi="Book Antiqua"/>
          <w:lang w:val="es-PR"/>
        </w:rPr>
      </w:pPr>
      <w:r w:rsidRPr="00D71C54">
        <w:rPr>
          <w:rFonts w:ascii="Book Antiqua" w:hAnsi="Book Antiqua"/>
          <w:lang w:val="es-PR"/>
        </w:rPr>
        <w:t>Una orden o resolución final deberá ser emitida por escrito dentro de</w:t>
      </w:r>
      <w:r w:rsidRPr="008052E0">
        <w:rPr>
          <w:rFonts w:ascii="Book Antiqua" w:hAnsi="Book Antiqua"/>
          <w:b/>
          <w:bCs/>
          <w:lang w:val="es-PR"/>
        </w:rPr>
        <w:t xml:space="preserve"> </w:t>
      </w:r>
      <w:r w:rsidR="0078025A" w:rsidRPr="008052E0">
        <w:rPr>
          <w:rFonts w:ascii="Book Antiqua" w:hAnsi="Book Antiqua"/>
          <w:b/>
          <w:bCs/>
          <w:lang w:val="es-PR"/>
        </w:rPr>
        <w:t>[</w:t>
      </w:r>
      <w:r w:rsidRPr="008052E0">
        <w:rPr>
          <w:rFonts w:ascii="Book Antiqua" w:hAnsi="Book Antiqua"/>
          <w:b/>
          <w:bCs/>
          <w:lang w:val="es-PR"/>
        </w:rPr>
        <w:t>noventa</w:t>
      </w:r>
      <w:r w:rsidRPr="00D71C54">
        <w:rPr>
          <w:rFonts w:ascii="Book Antiqua" w:hAnsi="Book Antiqua"/>
          <w:lang w:val="es-PR"/>
        </w:rPr>
        <w:t xml:space="preserve"> </w:t>
      </w:r>
      <w:r w:rsidRPr="008052E0">
        <w:rPr>
          <w:rFonts w:ascii="Book Antiqua" w:hAnsi="Book Antiqua"/>
          <w:b/>
          <w:bCs/>
          <w:lang w:val="es-PR"/>
        </w:rPr>
        <w:t>(90)</w:t>
      </w:r>
      <w:r w:rsidR="0078025A" w:rsidRPr="008052E0">
        <w:rPr>
          <w:rFonts w:ascii="Book Antiqua" w:hAnsi="Book Antiqua"/>
          <w:b/>
          <w:bCs/>
          <w:lang w:val="es-PR"/>
        </w:rPr>
        <w:t>]</w:t>
      </w:r>
      <w:r w:rsidR="00CE3D9A">
        <w:rPr>
          <w:rFonts w:ascii="Book Antiqua" w:hAnsi="Book Antiqua"/>
          <w:lang w:val="es-PR"/>
        </w:rPr>
        <w:t xml:space="preserve"> </w:t>
      </w:r>
      <w:r w:rsidR="00CE3D9A" w:rsidRPr="00CE3D9A">
        <w:rPr>
          <w:rFonts w:ascii="Book Antiqua" w:hAnsi="Book Antiqua"/>
          <w:i/>
          <w:iCs/>
          <w:lang w:val="es-PR"/>
        </w:rPr>
        <w:t xml:space="preserve">sesenta </w:t>
      </w:r>
      <w:r w:rsidR="00CE3D9A">
        <w:rPr>
          <w:rFonts w:ascii="Book Antiqua" w:hAnsi="Book Antiqua"/>
          <w:i/>
          <w:iCs/>
          <w:lang w:val="es-PR"/>
        </w:rPr>
        <w:t>(</w:t>
      </w:r>
      <w:r w:rsidR="00CE3D9A" w:rsidRPr="00CE3D9A">
        <w:rPr>
          <w:rFonts w:ascii="Book Antiqua" w:hAnsi="Book Antiqua"/>
          <w:i/>
          <w:iCs/>
          <w:lang w:val="es-PR"/>
        </w:rPr>
        <w:t>60)</w:t>
      </w:r>
      <w:r w:rsidRPr="00CE3D9A">
        <w:rPr>
          <w:rFonts w:ascii="Book Antiqua" w:hAnsi="Book Antiqua"/>
          <w:i/>
          <w:iCs/>
          <w:lang w:val="es-PR"/>
        </w:rPr>
        <w:t xml:space="preserve"> </w:t>
      </w:r>
      <w:r w:rsidRPr="00D71C54">
        <w:rPr>
          <w:rFonts w:ascii="Book Antiqua" w:hAnsi="Book Antiqua"/>
          <w:lang w:val="es-PR"/>
        </w:rPr>
        <w:t xml:space="preserve">días después de concluida la vista o después de la presentación de las </w:t>
      </w:r>
      <w:r w:rsidRPr="00D71C54">
        <w:rPr>
          <w:rFonts w:ascii="Book Antiqua" w:hAnsi="Book Antiqua"/>
          <w:lang w:val="es-PR"/>
        </w:rPr>
        <w:lastRenderedPageBreak/>
        <w:t>propuestas determinaciones de hechos y conclusiones de derecho, a menos que este término sea renunciado o ampliado con el consentimiento escrito de todas las partes o por causa justificada.</w:t>
      </w:r>
      <w:r w:rsidR="007E0778">
        <w:rPr>
          <w:rFonts w:ascii="Book Antiqua" w:hAnsi="Book Antiqua"/>
          <w:lang w:val="es-PR"/>
        </w:rPr>
        <w:t xml:space="preserve">  </w:t>
      </w:r>
      <w:r w:rsidRPr="00D71C54">
        <w:rPr>
          <w:rFonts w:ascii="Book Antiqua" w:hAnsi="Book Antiqua"/>
          <w:lang w:val="es-PR"/>
        </w:rPr>
        <w:t>La orden o resolución deberá incluir y exponer separadamente determinaciones de hecho si éstas no se han renunciado, conclusiones de derecho, que fundamentan la adjudicación, la disponibilidad del recurso de reconsideración o revisión según sea el caso. La orden o resolución deberá ser firmada por el jefe de la agencia o cualquier otro funcionario autorizado por ley.</w:t>
      </w:r>
    </w:p>
    <w:p w14:paraId="61DBCEA9" w14:textId="72018D11" w:rsidR="00194905" w:rsidRPr="00963AD2" w:rsidRDefault="00D71C54" w:rsidP="00963AD2">
      <w:pPr>
        <w:pStyle w:val="NormalWeb"/>
        <w:spacing w:line="480" w:lineRule="auto"/>
        <w:ind w:firstLine="720"/>
        <w:jc w:val="both"/>
        <w:rPr>
          <w:rFonts w:ascii="Book Antiqua" w:hAnsi="Book Antiqua"/>
          <w:lang w:val="es-PR"/>
        </w:rPr>
      </w:pPr>
      <w:r w:rsidRPr="00D71C54">
        <w:rPr>
          <w:rFonts w:ascii="Book Antiqua" w:hAnsi="Book Antiqua"/>
          <w:lang w:val="es-PR"/>
        </w:rPr>
        <w:t>La orden o resolución advertirá el derecho de solicitar la reconsideración ante la agencia o de instar el recurso de revisión como cuestión de derecho en el Tribunal de Apelaciones, así como las partes que deberán ser notificadas del recurso de revisión, con expresión de los términos correspondientes. Cumplido este requisito comenzarán a correr dichos términos.</w:t>
      </w:r>
      <w:r w:rsidR="005B2AD6">
        <w:rPr>
          <w:rFonts w:ascii="Book Antiqua" w:hAnsi="Book Antiqua"/>
          <w:lang w:val="es-PR"/>
        </w:rPr>
        <w:t xml:space="preserve"> </w:t>
      </w:r>
      <w:r w:rsidRPr="00D71C54">
        <w:rPr>
          <w:rFonts w:ascii="Book Antiqua" w:hAnsi="Book Antiqua"/>
          <w:lang w:val="es-PR"/>
        </w:rPr>
        <w:t>La agencia deberá especificar en la certificación de sus órdenes o resoluciones los nombres y direcciones de las personas naturales o jurídicas a quienes, en calidad de partes, les fue notificado el dictamen, a los fines de que estas puedan ejercer efectivamente el derecho a la revisión judicial conferido por ley.</w:t>
      </w:r>
      <w:r w:rsidR="00CF5975">
        <w:rPr>
          <w:rFonts w:ascii="Book Antiqua" w:hAnsi="Book Antiqua"/>
          <w:lang w:val="es-PR"/>
        </w:rPr>
        <w:t xml:space="preserve">  </w:t>
      </w:r>
      <w:r w:rsidRPr="00D71C54">
        <w:rPr>
          <w:rFonts w:ascii="Book Antiqua" w:hAnsi="Book Antiqua"/>
          <w:lang w:val="es-PR"/>
        </w:rPr>
        <w:t>La agencia deberá notificar con copia simple</w:t>
      </w:r>
      <w:r w:rsidR="00C96E75">
        <w:rPr>
          <w:rFonts w:ascii="Book Antiqua" w:hAnsi="Book Antiqua"/>
          <w:lang w:val="es-PR"/>
        </w:rPr>
        <w:t xml:space="preserve"> </w:t>
      </w:r>
      <w:r w:rsidRPr="00CE7208">
        <w:rPr>
          <w:rFonts w:ascii="Book Antiqua" w:hAnsi="Book Antiqua"/>
          <w:b/>
          <w:bCs/>
          <w:lang w:val="es-PR"/>
        </w:rPr>
        <w:t xml:space="preserve"> </w:t>
      </w:r>
      <w:r w:rsidR="00C96E75" w:rsidRPr="00CE7208">
        <w:rPr>
          <w:rFonts w:ascii="Book Antiqua" w:hAnsi="Book Antiqua"/>
          <w:b/>
          <w:bCs/>
          <w:lang w:val="es-PR"/>
        </w:rPr>
        <w:t>[</w:t>
      </w:r>
      <w:r w:rsidRPr="00CE7208">
        <w:rPr>
          <w:rFonts w:ascii="Book Antiqua" w:hAnsi="Book Antiqua"/>
          <w:b/>
          <w:bCs/>
          <w:lang w:val="es-PR"/>
        </w:rPr>
        <w:t>por correo ordinario o electrónico a las partes</w:t>
      </w:r>
      <w:r w:rsidR="00C96E75" w:rsidRPr="00CE7208">
        <w:rPr>
          <w:rFonts w:ascii="Book Antiqua" w:hAnsi="Book Antiqua"/>
          <w:b/>
          <w:bCs/>
          <w:lang w:val="es-PR"/>
        </w:rPr>
        <w:t>]</w:t>
      </w:r>
      <w:r w:rsidRPr="00D71C54">
        <w:rPr>
          <w:rFonts w:ascii="Book Antiqua" w:hAnsi="Book Antiqua"/>
          <w:lang w:val="es-PR"/>
        </w:rPr>
        <w:t xml:space="preserve">, </w:t>
      </w:r>
      <w:r w:rsidR="00C96E75" w:rsidRPr="00C96E75">
        <w:rPr>
          <w:rFonts w:ascii="Book Antiqua" w:hAnsi="Book Antiqua"/>
          <w:i/>
          <w:iCs/>
          <w:lang w:val="es-PR"/>
        </w:rPr>
        <w:t>con notificación electrónica prioritaria a las partes</w:t>
      </w:r>
      <w:r w:rsidR="00C96E75">
        <w:rPr>
          <w:rFonts w:ascii="Book Antiqua" w:hAnsi="Book Antiqua"/>
          <w:lang w:val="es-PR"/>
        </w:rPr>
        <w:t xml:space="preserve">, </w:t>
      </w:r>
      <w:r w:rsidRPr="00D71C54">
        <w:rPr>
          <w:rFonts w:ascii="Book Antiqua" w:hAnsi="Book Antiqua"/>
          <w:lang w:val="es-PR"/>
        </w:rPr>
        <w:t>y</w:t>
      </w:r>
      <w:r w:rsidR="00C96E75">
        <w:rPr>
          <w:rFonts w:ascii="Book Antiqua" w:hAnsi="Book Antiqua"/>
          <w:lang w:val="es-PR"/>
        </w:rPr>
        <w:t xml:space="preserve"> </w:t>
      </w:r>
      <w:r w:rsidRPr="00D71C54">
        <w:rPr>
          <w:rFonts w:ascii="Book Antiqua" w:hAnsi="Book Antiqua"/>
          <w:lang w:val="es-PR"/>
        </w:rPr>
        <w:t>a sus abogados de tenerlos, la orden o resolución a la brevedad posible, y deberá archivar en autos copia de la orden o resolución final y de la constancia de la notificación. Una parte no podrá ser requerida a cumplir con una orden final a menos que dicha parte haya sido notificada de la misma.</w:t>
      </w:r>
      <w:r w:rsidR="00963AD2">
        <w:rPr>
          <w:rFonts w:ascii="Book Antiqua" w:hAnsi="Book Antiqua"/>
          <w:lang w:val="es-PR"/>
        </w:rPr>
        <w:t xml:space="preserve">  </w:t>
      </w:r>
      <w:r w:rsidRPr="00D71C54">
        <w:rPr>
          <w:rFonts w:ascii="Book Antiqua" w:hAnsi="Book Antiqua"/>
          <w:lang w:val="es-PR"/>
        </w:rPr>
        <w:t xml:space="preserve">Una resolución emitida contra una persona que padezca de sordera profunda, severa, moderada o leve, o que refleje cualquier otra situación de hipoacusia o condición que le </w:t>
      </w:r>
      <w:r w:rsidRPr="00D71C54">
        <w:rPr>
          <w:rFonts w:ascii="Book Antiqua" w:hAnsi="Book Antiqua"/>
          <w:lang w:val="es-PR"/>
        </w:rPr>
        <w:lastRenderedPageBreak/>
        <w:t>impida comunicarse efectivamente, podría ser declarada nula si a ésta no se le proveyó un intérprete de lenguaje de señas y/o labio lectura, o algún otro acomodo razonable que, conforme a las disposiciones del “</w:t>
      </w:r>
      <w:proofErr w:type="spellStart"/>
      <w:r w:rsidRPr="00D71C54">
        <w:rPr>
          <w:rFonts w:ascii="Book Antiqua" w:hAnsi="Book Antiqua"/>
          <w:lang w:val="es-PR"/>
        </w:rPr>
        <w:t>Americans</w:t>
      </w:r>
      <w:proofErr w:type="spellEnd"/>
      <w:r w:rsidRPr="00D71C54">
        <w:rPr>
          <w:rFonts w:ascii="Book Antiqua" w:hAnsi="Book Antiqua"/>
          <w:lang w:val="es-PR"/>
        </w:rPr>
        <w:t xml:space="preserve"> </w:t>
      </w:r>
      <w:proofErr w:type="spellStart"/>
      <w:r w:rsidRPr="00D71C54">
        <w:rPr>
          <w:rFonts w:ascii="Book Antiqua" w:hAnsi="Book Antiqua"/>
          <w:lang w:val="es-PR"/>
        </w:rPr>
        <w:t>with</w:t>
      </w:r>
      <w:proofErr w:type="spellEnd"/>
      <w:r w:rsidRPr="00D71C54">
        <w:rPr>
          <w:rFonts w:ascii="Book Antiqua" w:hAnsi="Book Antiqua"/>
          <w:lang w:val="es-PR"/>
        </w:rPr>
        <w:t xml:space="preserve"> </w:t>
      </w:r>
      <w:proofErr w:type="spellStart"/>
      <w:r w:rsidRPr="00D71C54">
        <w:rPr>
          <w:rFonts w:ascii="Book Antiqua" w:hAnsi="Book Antiqua"/>
          <w:lang w:val="es-PR"/>
        </w:rPr>
        <w:t>Disabilities</w:t>
      </w:r>
      <w:proofErr w:type="spellEnd"/>
      <w:r w:rsidRPr="00D71C54">
        <w:rPr>
          <w:rFonts w:ascii="Book Antiqua" w:hAnsi="Book Antiqua"/>
          <w:lang w:val="es-PR"/>
        </w:rPr>
        <w:t xml:space="preserve"> </w:t>
      </w:r>
      <w:proofErr w:type="spellStart"/>
      <w:r w:rsidRPr="00D71C54">
        <w:rPr>
          <w:rFonts w:ascii="Book Antiqua" w:hAnsi="Book Antiqua"/>
          <w:lang w:val="es-PR"/>
        </w:rPr>
        <w:t>Act</w:t>
      </w:r>
      <w:proofErr w:type="spellEnd"/>
      <w:r w:rsidRPr="00D71C54">
        <w:rPr>
          <w:rFonts w:ascii="Book Antiqua" w:hAnsi="Book Antiqua"/>
          <w:lang w:val="es-PR"/>
        </w:rPr>
        <w:t>” (Ley Pública 101-336, según enmendada) y de la Ley 136–1996, garantice la efectividad de la comunicación a través del proceso adversativo.</w:t>
      </w:r>
      <w:r w:rsidR="007E0778">
        <w:rPr>
          <w:rFonts w:ascii="Book Antiqua" w:hAnsi="Book Antiqua"/>
          <w:lang w:val="es-PR"/>
        </w:rPr>
        <w:t xml:space="preserve">  </w:t>
      </w:r>
      <w:r w:rsidR="00194905" w:rsidRPr="007E0778">
        <w:rPr>
          <w:rFonts w:ascii="Book Antiqua" w:hAnsi="Book Antiqua"/>
          <w:i/>
          <w:iCs/>
          <w:lang w:val="es-PR"/>
        </w:rPr>
        <w:t>Se incorporará el uso de plataformas digitales para revisión y apelación, uniformando términos con la LPAU para mayor eficiencia.”</w:t>
      </w:r>
    </w:p>
    <w:p w14:paraId="48940CD3" w14:textId="6097E14E" w:rsidR="00194905" w:rsidRPr="00B67B5D" w:rsidRDefault="00194905" w:rsidP="00CF5975">
      <w:pPr>
        <w:pStyle w:val="NormalWeb"/>
        <w:spacing w:line="480" w:lineRule="auto"/>
        <w:ind w:firstLine="720"/>
        <w:jc w:val="both"/>
        <w:rPr>
          <w:rFonts w:ascii="Book Antiqua" w:hAnsi="Book Antiqua"/>
          <w:lang w:val="es-PR"/>
        </w:rPr>
      </w:pPr>
      <w:r w:rsidRPr="00CF5975">
        <w:rPr>
          <w:rStyle w:val="Strong"/>
          <w:rFonts w:ascii="Book Antiqua" w:hAnsi="Book Antiqua"/>
          <w:b w:val="0"/>
          <w:bCs w:val="0"/>
          <w:lang w:val="es-PR"/>
        </w:rPr>
        <w:t xml:space="preserve">Artículo </w:t>
      </w:r>
      <w:r w:rsidR="00CF5975">
        <w:rPr>
          <w:rStyle w:val="Strong"/>
          <w:rFonts w:ascii="Book Antiqua" w:hAnsi="Book Antiqua"/>
          <w:b w:val="0"/>
          <w:bCs w:val="0"/>
          <w:lang w:val="es-PR"/>
        </w:rPr>
        <w:t>5</w:t>
      </w:r>
      <w:r w:rsidRPr="00CF5975">
        <w:rPr>
          <w:rStyle w:val="Strong"/>
          <w:rFonts w:ascii="Book Antiqua" w:hAnsi="Book Antiqua"/>
          <w:b w:val="0"/>
          <w:bCs w:val="0"/>
          <w:lang w:val="es-PR"/>
        </w:rPr>
        <w:t>.</w:t>
      </w:r>
      <w:r w:rsidRPr="00B67B5D">
        <w:rPr>
          <w:rStyle w:val="Strong"/>
          <w:rFonts w:ascii="Book Antiqua" w:hAnsi="Book Antiqua"/>
          <w:lang w:val="es-PR"/>
        </w:rPr>
        <w:t>-</w:t>
      </w:r>
      <w:r w:rsidRPr="00B67B5D">
        <w:rPr>
          <w:rFonts w:ascii="Book Antiqua" w:hAnsi="Book Antiqua"/>
          <w:lang w:val="es-PR"/>
        </w:rPr>
        <w:t xml:space="preserve"> Se enmienda la Sección </w:t>
      </w:r>
      <w:r w:rsidR="00A8518A">
        <w:rPr>
          <w:rFonts w:ascii="Book Antiqua" w:hAnsi="Book Antiqua"/>
          <w:lang w:val="es-PR"/>
        </w:rPr>
        <w:t>7.1</w:t>
      </w:r>
      <w:r w:rsidRPr="00B67B5D">
        <w:rPr>
          <w:rFonts w:ascii="Book Antiqua" w:hAnsi="Book Antiqua"/>
          <w:lang w:val="es-PR"/>
        </w:rPr>
        <w:t xml:space="preserve"> del Capítulo </w:t>
      </w:r>
      <w:r w:rsidR="00A8518A">
        <w:rPr>
          <w:rFonts w:ascii="Book Antiqua" w:hAnsi="Book Antiqua"/>
          <w:lang w:val="es-PR"/>
        </w:rPr>
        <w:t>7</w:t>
      </w:r>
      <w:r w:rsidRPr="00B67B5D">
        <w:rPr>
          <w:rFonts w:ascii="Book Antiqua" w:hAnsi="Book Antiqua"/>
          <w:lang w:val="es-PR"/>
        </w:rPr>
        <w:t xml:space="preserve"> de la Ley Núm. 38</w:t>
      </w:r>
      <w:r w:rsidR="00CF5975">
        <w:rPr>
          <w:rFonts w:ascii="Book Antiqua" w:hAnsi="Book Antiqua"/>
          <w:lang w:val="es-PR"/>
        </w:rPr>
        <w:t>-</w:t>
      </w:r>
      <w:r w:rsidRPr="00B67B5D">
        <w:rPr>
          <w:rFonts w:ascii="Book Antiqua" w:hAnsi="Book Antiqua"/>
          <w:lang w:val="es-PR"/>
        </w:rPr>
        <w:t>2017, según enmendada, para que lea como sigue:</w:t>
      </w:r>
    </w:p>
    <w:p w14:paraId="72BCD5EA" w14:textId="21375D93" w:rsidR="00194905" w:rsidRPr="00B67B5D" w:rsidRDefault="00194905" w:rsidP="00CF5975">
      <w:pPr>
        <w:pStyle w:val="NormalWeb"/>
        <w:spacing w:line="480" w:lineRule="auto"/>
        <w:ind w:firstLine="720"/>
        <w:jc w:val="both"/>
        <w:rPr>
          <w:rFonts w:ascii="Book Antiqua" w:hAnsi="Book Antiqua"/>
          <w:lang w:val="es-PR"/>
        </w:rPr>
      </w:pPr>
      <w:r w:rsidRPr="00B67B5D">
        <w:rPr>
          <w:rFonts w:ascii="Book Antiqua" w:hAnsi="Book Antiqua"/>
          <w:lang w:val="es-PR"/>
        </w:rPr>
        <w:t>“Sección 7</w:t>
      </w:r>
      <w:r w:rsidR="00A8518A">
        <w:rPr>
          <w:rFonts w:ascii="Book Antiqua" w:hAnsi="Book Antiqua"/>
          <w:lang w:val="es-PR"/>
        </w:rPr>
        <w:t>.1</w:t>
      </w:r>
      <w:r w:rsidRPr="00B67B5D">
        <w:rPr>
          <w:rFonts w:ascii="Book Antiqua" w:hAnsi="Book Antiqua"/>
          <w:lang w:val="es-PR"/>
        </w:rPr>
        <w:t xml:space="preserve"> — Multas Administrativas.</w:t>
      </w:r>
    </w:p>
    <w:p w14:paraId="208873A1" w14:textId="3CC7EA39" w:rsidR="009620B8" w:rsidRPr="00B67B5D" w:rsidRDefault="005D771F" w:rsidP="001D0400">
      <w:pPr>
        <w:pStyle w:val="NormalWeb"/>
        <w:spacing w:line="480" w:lineRule="auto"/>
        <w:ind w:firstLine="720"/>
        <w:jc w:val="both"/>
        <w:rPr>
          <w:rFonts w:ascii="Book Antiqua" w:hAnsi="Book Antiqua"/>
          <w:lang w:val="es-PR"/>
        </w:rPr>
      </w:pPr>
      <w:r>
        <w:rPr>
          <w:rFonts w:ascii="Book Antiqua" w:hAnsi="Book Antiqua"/>
          <w:lang w:val="es-PR"/>
        </w:rPr>
        <w:t xml:space="preserve">Toda violación a las leyes que administran las agencias o a los reglamentos emitidos al amparo de las mismas podrá ser penalizada con multas administrativas que </w:t>
      </w:r>
      <w:r w:rsidR="00DD5943">
        <w:rPr>
          <w:rFonts w:ascii="Book Antiqua" w:hAnsi="Book Antiqua"/>
          <w:i/>
          <w:iCs/>
          <w:lang w:val="es-PR"/>
        </w:rPr>
        <w:t xml:space="preserve">se </w:t>
      </w:r>
      <w:proofErr w:type="spellStart"/>
      <w:r w:rsidR="00DD5943">
        <w:rPr>
          <w:rFonts w:ascii="Book Antiqua" w:hAnsi="Book Antiqua"/>
          <w:i/>
          <w:iCs/>
          <w:lang w:val="es-PR"/>
        </w:rPr>
        <w:t>impondran</w:t>
      </w:r>
      <w:proofErr w:type="spellEnd"/>
      <w:r w:rsidR="00DD5943">
        <w:rPr>
          <w:rFonts w:ascii="Book Antiqua" w:hAnsi="Book Antiqua"/>
          <w:i/>
          <w:iCs/>
          <w:lang w:val="es-PR"/>
        </w:rPr>
        <w:t xml:space="preserve"> con  </w:t>
      </w:r>
      <w:r w:rsidR="00DD5943" w:rsidRPr="00DD5943">
        <w:rPr>
          <w:rFonts w:ascii="Book Antiqua" w:hAnsi="Book Antiqua"/>
          <w:i/>
          <w:iCs/>
          <w:lang w:val="es-PR"/>
        </w:rPr>
        <w:t>un mínimo de $500</w:t>
      </w:r>
      <w:r w:rsidR="00DD5943">
        <w:rPr>
          <w:rFonts w:ascii="Book Antiqua" w:hAnsi="Book Antiqua"/>
          <w:lang w:val="es-PR"/>
        </w:rPr>
        <w:t xml:space="preserve">, </w:t>
      </w:r>
      <w:r w:rsidR="004937A0" w:rsidRPr="004937A0">
        <w:rPr>
          <w:rFonts w:ascii="Book Antiqua" w:hAnsi="Book Antiqua"/>
          <w:i/>
          <w:iCs/>
          <w:lang w:val="es-PR"/>
        </w:rPr>
        <w:t>pero</w:t>
      </w:r>
      <w:r w:rsidR="004937A0">
        <w:rPr>
          <w:rFonts w:ascii="Book Antiqua" w:hAnsi="Book Antiqua"/>
          <w:lang w:val="es-PR"/>
        </w:rPr>
        <w:t xml:space="preserve"> </w:t>
      </w:r>
      <w:r>
        <w:rPr>
          <w:rFonts w:ascii="Book Antiqua" w:hAnsi="Book Antiqua"/>
          <w:lang w:val="es-PR"/>
        </w:rPr>
        <w:t>no excederán de</w:t>
      </w:r>
      <w:r w:rsidRPr="00534AC6">
        <w:rPr>
          <w:rFonts w:ascii="Book Antiqua" w:hAnsi="Book Antiqua"/>
          <w:b/>
          <w:bCs/>
          <w:lang w:val="es-PR"/>
        </w:rPr>
        <w:t xml:space="preserve"> </w:t>
      </w:r>
      <w:r w:rsidR="004937A0" w:rsidRPr="00534AC6">
        <w:rPr>
          <w:rFonts w:ascii="Book Antiqua" w:hAnsi="Book Antiqua"/>
          <w:b/>
          <w:bCs/>
          <w:lang w:val="es-PR"/>
        </w:rPr>
        <w:t>[</w:t>
      </w:r>
      <w:r w:rsidRPr="00534AC6">
        <w:rPr>
          <w:rFonts w:ascii="Book Antiqua" w:hAnsi="Book Antiqua"/>
          <w:b/>
          <w:bCs/>
          <w:lang w:val="es-PR"/>
        </w:rPr>
        <w:t>cinco mil (5,000)</w:t>
      </w:r>
      <w:r w:rsidR="004937A0" w:rsidRPr="00534AC6">
        <w:rPr>
          <w:rFonts w:ascii="Book Antiqua" w:hAnsi="Book Antiqua"/>
          <w:b/>
          <w:bCs/>
          <w:lang w:val="es-PR"/>
        </w:rPr>
        <w:t>]</w:t>
      </w:r>
      <w:r>
        <w:rPr>
          <w:rFonts w:ascii="Book Antiqua" w:hAnsi="Book Antiqua"/>
          <w:lang w:val="es-PR"/>
        </w:rPr>
        <w:t xml:space="preserve"> </w:t>
      </w:r>
      <w:r w:rsidR="004937A0">
        <w:rPr>
          <w:rFonts w:ascii="Book Antiqua" w:hAnsi="Book Antiqua"/>
          <w:i/>
          <w:iCs/>
          <w:lang w:val="es-PR"/>
        </w:rPr>
        <w:t>diez mil (</w:t>
      </w:r>
      <w:r w:rsidR="000278CD">
        <w:rPr>
          <w:rFonts w:ascii="Book Antiqua" w:hAnsi="Book Antiqua"/>
          <w:i/>
          <w:iCs/>
          <w:lang w:val="es-PR"/>
        </w:rPr>
        <w:t xml:space="preserve">10,000) </w:t>
      </w:r>
      <w:r>
        <w:rPr>
          <w:rFonts w:ascii="Book Antiqua" w:hAnsi="Book Antiqua"/>
          <w:lang w:val="es-PR"/>
        </w:rPr>
        <w:t>dólares por cada violación.</w:t>
      </w:r>
      <w:r w:rsidR="0059619E">
        <w:rPr>
          <w:rFonts w:ascii="Book Antiqua" w:hAnsi="Book Antiqua"/>
          <w:lang w:val="es-PR"/>
        </w:rPr>
        <w:t xml:space="preserve"> </w:t>
      </w:r>
      <w:r w:rsidR="0059619E" w:rsidRPr="00D57625">
        <w:rPr>
          <w:rFonts w:ascii="Book Antiqua" w:hAnsi="Book Antiqua"/>
          <w:i/>
          <w:iCs/>
          <w:lang w:val="es-PR"/>
        </w:rPr>
        <w:t>Destinadas dichas cantidades a un fondo especial para modernización tecnológica de agencias.</w:t>
      </w:r>
      <w:r w:rsidR="00D57625">
        <w:rPr>
          <w:rFonts w:ascii="Book Antiqua" w:hAnsi="Book Antiqua"/>
          <w:i/>
          <w:iCs/>
          <w:lang w:val="es-PR"/>
        </w:rPr>
        <w:t>”</w:t>
      </w:r>
    </w:p>
    <w:p w14:paraId="0F359985" w14:textId="11A4C8DC" w:rsidR="004C18BD" w:rsidRPr="00D5582F" w:rsidRDefault="009620B8" w:rsidP="00963AD2">
      <w:pPr>
        <w:pStyle w:val="NormalWeb"/>
        <w:spacing w:line="480" w:lineRule="auto"/>
        <w:ind w:firstLine="360"/>
        <w:jc w:val="both"/>
        <w:rPr>
          <w:rFonts w:ascii="Book Antiqua" w:hAnsi="Book Antiqua"/>
          <w:lang w:val="es-PR"/>
        </w:rPr>
      </w:pPr>
      <w:r w:rsidRPr="00963AD2">
        <w:rPr>
          <w:rStyle w:val="Strong"/>
          <w:rFonts w:ascii="Book Antiqua" w:hAnsi="Book Antiqua"/>
          <w:b w:val="0"/>
          <w:bCs w:val="0"/>
          <w:lang w:val="es-PR"/>
        </w:rPr>
        <w:t>Artículo 6.-</w:t>
      </w:r>
      <w:r w:rsidRPr="00B67B5D">
        <w:rPr>
          <w:rFonts w:ascii="Book Antiqua" w:hAnsi="Book Antiqua"/>
          <w:lang w:val="es-PR"/>
        </w:rPr>
        <w:t xml:space="preserve"> La Oficina de Gerencia y Presupuesto (OGP) y el Puerto Rico Innovation and Technology Service (PRITS) coordinarán la implementación tecnológica y someterán un informe conjunto a la Asamblea Legislativa dentro de los ciento ochenta (180) días sobre avances y barreras.</w:t>
      </w:r>
    </w:p>
    <w:p w14:paraId="003701F8" w14:textId="7BB932B2" w:rsidR="006C24FC" w:rsidRPr="00D5582F" w:rsidRDefault="00E10C20" w:rsidP="00D5582F">
      <w:pPr>
        <w:pStyle w:val="NormalWeb"/>
        <w:spacing w:line="480" w:lineRule="auto"/>
        <w:ind w:firstLine="360"/>
        <w:jc w:val="both"/>
        <w:rPr>
          <w:rFonts w:ascii="Book Antiqua" w:hAnsi="Book Antiqua"/>
          <w:lang w:val="es-PR"/>
        </w:rPr>
      </w:pPr>
      <w:r w:rsidRPr="00D5582F">
        <w:rPr>
          <w:rFonts w:ascii="Book Antiqua" w:hAnsi="Book Antiqua"/>
          <w:lang w:val="es-PR"/>
        </w:rPr>
        <w:t>Artículo</w:t>
      </w:r>
      <w:r w:rsidR="00183000" w:rsidRPr="00D5582F">
        <w:rPr>
          <w:rFonts w:ascii="Book Antiqua" w:hAnsi="Book Antiqua"/>
          <w:lang w:val="es-PR"/>
        </w:rPr>
        <w:t xml:space="preserve"> </w:t>
      </w:r>
      <w:r w:rsidR="009620B8">
        <w:rPr>
          <w:rFonts w:ascii="Book Antiqua" w:hAnsi="Book Antiqua"/>
          <w:lang w:val="es-PR"/>
        </w:rPr>
        <w:t>7</w:t>
      </w:r>
      <w:r w:rsidR="008A7397" w:rsidRPr="00D5582F">
        <w:rPr>
          <w:rFonts w:ascii="Book Antiqua" w:hAnsi="Book Antiqua"/>
          <w:lang w:val="es-PR"/>
        </w:rPr>
        <w:t xml:space="preserve">.  - </w:t>
      </w:r>
      <w:r w:rsidR="006C24FC" w:rsidRPr="00D5582F">
        <w:rPr>
          <w:rFonts w:ascii="Book Antiqua" w:hAnsi="Book Antiqua"/>
          <w:lang w:val="es-PR"/>
        </w:rPr>
        <w:t xml:space="preserve">Clausula de Separabilidad. </w:t>
      </w:r>
    </w:p>
    <w:p w14:paraId="010D431E" w14:textId="20B3D9D5" w:rsidR="00183000" w:rsidRPr="00D5582F" w:rsidRDefault="006C24FC" w:rsidP="00D5582F">
      <w:pPr>
        <w:pStyle w:val="NormalWeb"/>
        <w:spacing w:line="480" w:lineRule="auto"/>
        <w:ind w:firstLine="720"/>
        <w:jc w:val="both"/>
        <w:rPr>
          <w:rFonts w:ascii="Book Antiqua" w:hAnsi="Book Antiqua"/>
          <w:lang w:val="es-PR"/>
        </w:rPr>
      </w:pPr>
      <w:r w:rsidRPr="00D5582F">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23099676" w:rsidR="002C493E" w:rsidRPr="00D5582F" w:rsidRDefault="009D6D52" w:rsidP="00D5582F">
      <w:pPr>
        <w:pStyle w:val="NormalWeb"/>
        <w:spacing w:line="480" w:lineRule="auto"/>
        <w:ind w:firstLine="720"/>
        <w:jc w:val="both"/>
        <w:rPr>
          <w:rFonts w:ascii="Book Antiqua" w:hAnsi="Book Antiqua"/>
          <w:lang w:val="es-PR"/>
        </w:rPr>
      </w:pPr>
      <w:r w:rsidRPr="00D5582F">
        <w:rPr>
          <w:rFonts w:ascii="Book Antiqua" w:hAnsi="Book Antiqua"/>
          <w:lang w:val="es-PR"/>
        </w:rPr>
        <w:lastRenderedPageBreak/>
        <w:t xml:space="preserve">Artículo </w:t>
      </w:r>
      <w:r w:rsidR="009620B8">
        <w:rPr>
          <w:rFonts w:ascii="Book Antiqua" w:hAnsi="Book Antiqua"/>
          <w:lang w:val="es-PR"/>
        </w:rPr>
        <w:t>8</w:t>
      </w:r>
      <w:r w:rsidRPr="00D5582F">
        <w:rPr>
          <w:rFonts w:ascii="Book Antiqua" w:hAnsi="Book Antiqua"/>
          <w:lang w:val="es-PR"/>
        </w:rPr>
        <w:t xml:space="preserve">.- </w:t>
      </w:r>
      <w:r w:rsidR="00951359" w:rsidRPr="00D5582F">
        <w:rPr>
          <w:rFonts w:ascii="Book Antiqua" w:hAnsi="Book Antiqua"/>
          <w:lang w:val="es-PR"/>
        </w:rPr>
        <w:t>Vigencia.</w:t>
      </w:r>
    </w:p>
    <w:p w14:paraId="406D960D" w14:textId="244E8406" w:rsidR="004440CB" w:rsidRPr="002C493E" w:rsidRDefault="00A86A98" w:rsidP="00745B40">
      <w:pPr>
        <w:pStyle w:val="NormalWeb"/>
        <w:spacing w:line="480" w:lineRule="auto"/>
        <w:ind w:firstLine="720"/>
        <w:jc w:val="both"/>
        <w:rPr>
          <w:rFonts w:ascii="Book Antiqua" w:hAnsi="Book Antiqua"/>
          <w:lang w:val="es-PR"/>
        </w:rPr>
      </w:pPr>
      <w:r w:rsidRPr="00D5582F">
        <w:rPr>
          <w:rFonts w:ascii="Book Antiqua" w:hAnsi="Book Antiqua"/>
          <w:lang w:val="es-PR"/>
        </w:rPr>
        <w:t>Esta Ley comenzará a regir inmediatamente después de su aprobación</w:t>
      </w:r>
      <w:r w:rsidR="009620B8">
        <w:rPr>
          <w:rFonts w:ascii="Book Antiqua" w:hAnsi="Book Antiqua"/>
          <w:lang w:val="es-PR"/>
        </w:rPr>
        <w:t>.</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21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1A1920"/>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9"/>
  </w:num>
  <w:num w:numId="2" w16cid:durableId="1414276131">
    <w:abstractNumId w:val="13"/>
  </w:num>
  <w:num w:numId="3" w16cid:durableId="295333388">
    <w:abstractNumId w:val="3"/>
  </w:num>
  <w:num w:numId="4" w16cid:durableId="1035276381">
    <w:abstractNumId w:val="41"/>
  </w:num>
  <w:num w:numId="5" w16cid:durableId="577401605">
    <w:abstractNumId w:val="33"/>
  </w:num>
  <w:num w:numId="6" w16cid:durableId="690423038">
    <w:abstractNumId w:val="23"/>
  </w:num>
  <w:num w:numId="7" w16cid:durableId="354580874">
    <w:abstractNumId w:val="43"/>
  </w:num>
  <w:num w:numId="8" w16cid:durableId="782530432">
    <w:abstractNumId w:val="22"/>
  </w:num>
  <w:num w:numId="9" w16cid:durableId="1636059236">
    <w:abstractNumId w:val="40"/>
  </w:num>
  <w:num w:numId="10" w16cid:durableId="1924996564">
    <w:abstractNumId w:val="46"/>
  </w:num>
  <w:num w:numId="11" w16cid:durableId="1423254503">
    <w:abstractNumId w:val="15"/>
  </w:num>
  <w:num w:numId="12" w16cid:durableId="1372459587">
    <w:abstractNumId w:val="24"/>
  </w:num>
  <w:num w:numId="13" w16cid:durableId="1745495407">
    <w:abstractNumId w:val="34"/>
  </w:num>
  <w:num w:numId="14" w16cid:durableId="2125994539">
    <w:abstractNumId w:val="16"/>
  </w:num>
  <w:num w:numId="15" w16cid:durableId="1301962837">
    <w:abstractNumId w:val="37"/>
  </w:num>
  <w:num w:numId="16" w16cid:durableId="1277714500">
    <w:abstractNumId w:val="30"/>
  </w:num>
  <w:num w:numId="17" w16cid:durableId="165676928">
    <w:abstractNumId w:val="44"/>
  </w:num>
  <w:num w:numId="18" w16cid:durableId="1198471232">
    <w:abstractNumId w:val="20"/>
  </w:num>
  <w:num w:numId="19" w16cid:durableId="608318521">
    <w:abstractNumId w:val="25"/>
  </w:num>
  <w:num w:numId="20" w16cid:durableId="390351189">
    <w:abstractNumId w:val="8"/>
  </w:num>
  <w:num w:numId="21" w16cid:durableId="1755662874">
    <w:abstractNumId w:val="1"/>
  </w:num>
  <w:num w:numId="22" w16cid:durableId="1725446384">
    <w:abstractNumId w:val="6"/>
  </w:num>
  <w:num w:numId="23" w16cid:durableId="1903249987">
    <w:abstractNumId w:val="12"/>
  </w:num>
  <w:num w:numId="24" w16cid:durableId="1322928102">
    <w:abstractNumId w:val="39"/>
  </w:num>
  <w:num w:numId="25" w16cid:durableId="182980968">
    <w:abstractNumId w:val="42"/>
  </w:num>
  <w:num w:numId="26" w16cid:durableId="438991848">
    <w:abstractNumId w:val="29"/>
  </w:num>
  <w:num w:numId="27" w16cid:durableId="984700002">
    <w:abstractNumId w:val="2"/>
  </w:num>
  <w:num w:numId="28" w16cid:durableId="122968854">
    <w:abstractNumId w:val="32"/>
  </w:num>
  <w:num w:numId="29" w16cid:durableId="2116631758">
    <w:abstractNumId w:val="49"/>
  </w:num>
  <w:num w:numId="30" w16cid:durableId="1030305821">
    <w:abstractNumId w:val="26"/>
  </w:num>
  <w:num w:numId="31" w16cid:durableId="250897778">
    <w:abstractNumId w:val="38"/>
  </w:num>
  <w:num w:numId="32" w16cid:durableId="1231694464">
    <w:abstractNumId w:val="18"/>
  </w:num>
  <w:num w:numId="33" w16cid:durableId="1630669016">
    <w:abstractNumId w:val="10"/>
  </w:num>
  <w:num w:numId="34" w16cid:durableId="411703063">
    <w:abstractNumId w:val="31"/>
  </w:num>
  <w:num w:numId="35" w16cid:durableId="1220701045">
    <w:abstractNumId w:val="27"/>
  </w:num>
  <w:num w:numId="36" w16cid:durableId="1760373807">
    <w:abstractNumId w:val="21"/>
  </w:num>
  <w:num w:numId="37" w16cid:durableId="1565137492">
    <w:abstractNumId w:val="19"/>
  </w:num>
  <w:num w:numId="38" w16cid:durableId="1455783447">
    <w:abstractNumId w:val="11"/>
  </w:num>
  <w:num w:numId="39" w16cid:durableId="1510833509">
    <w:abstractNumId w:val="17"/>
  </w:num>
  <w:num w:numId="40" w16cid:durableId="1642540911">
    <w:abstractNumId w:val="4"/>
  </w:num>
  <w:num w:numId="41" w16cid:durableId="1202476375">
    <w:abstractNumId w:val="7"/>
  </w:num>
  <w:num w:numId="42" w16cid:durableId="1247959002">
    <w:abstractNumId w:val="0"/>
  </w:num>
  <w:num w:numId="43" w16cid:durableId="1326056317">
    <w:abstractNumId w:val="45"/>
  </w:num>
  <w:num w:numId="44" w16cid:durableId="121388338">
    <w:abstractNumId w:val="14"/>
  </w:num>
  <w:num w:numId="45" w16cid:durableId="1464498208">
    <w:abstractNumId w:val="28"/>
  </w:num>
  <w:num w:numId="46" w16cid:durableId="772358419">
    <w:abstractNumId w:val="36"/>
  </w:num>
  <w:num w:numId="47" w16cid:durableId="1621453626">
    <w:abstractNumId w:val="48"/>
  </w:num>
  <w:num w:numId="48" w16cid:durableId="594677209">
    <w:abstractNumId w:val="47"/>
  </w:num>
  <w:num w:numId="49" w16cid:durableId="1004434931">
    <w:abstractNumId w:val="5"/>
  </w:num>
  <w:num w:numId="50" w16cid:durableId="5503131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2B08"/>
    <w:rsid w:val="0002397F"/>
    <w:rsid w:val="000243FA"/>
    <w:rsid w:val="00025FD8"/>
    <w:rsid w:val="0002682C"/>
    <w:rsid w:val="000278CD"/>
    <w:rsid w:val="00030BB9"/>
    <w:rsid w:val="00031EC6"/>
    <w:rsid w:val="00032717"/>
    <w:rsid w:val="0003324E"/>
    <w:rsid w:val="0003389C"/>
    <w:rsid w:val="000340B4"/>
    <w:rsid w:val="000359C4"/>
    <w:rsid w:val="000402D2"/>
    <w:rsid w:val="0004258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47BD9"/>
    <w:rsid w:val="00154CC2"/>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57F3"/>
    <w:rsid w:val="001B7DFE"/>
    <w:rsid w:val="001C1E7B"/>
    <w:rsid w:val="001C29F0"/>
    <w:rsid w:val="001D0400"/>
    <w:rsid w:val="001D133A"/>
    <w:rsid w:val="001D350F"/>
    <w:rsid w:val="001E0121"/>
    <w:rsid w:val="001E0E8A"/>
    <w:rsid w:val="001E2596"/>
    <w:rsid w:val="001E443E"/>
    <w:rsid w:val="001E4777"/>
    <w:rsid w:val="001E5BA9"/>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66AA"/>
    <w:rsid w:val="00226CD6"/>
    <w:rsid w:val="00230D46"/>
    <w:rsid w:val="00234E2E"/>
    <w:rsid w:val="00235B5F"/>
    <w:rsid w:val="00236A24"/>
    <w:rsid w:val="002370A7"/>
    <w:rsid w:val="00241498"/>
    <w:rsid w:val="0024736B"/>
    <w:rsid w:val="00251830"/>
    <w:rsid w:val="00251906"/>
    <w:rsid w:val="0025618A"/>
    <w:rsid w:val="0026049B"/>
    <w:rsid w:val="002605F2"/>
    <w:rsid w:val="00260857"/>
    <w:rsid w:val="002628AD"/>
    <w:rsid w:val="002639FB"/>
    <w:rsid w:val="00264DD2"/>
    <w:rsid w:val="00264FE6"/>
    <w:rsid w:val="00266239"/>
    <w:rsid w:val="00273A10"/>
    <w:rsid w:val="002770D6"/>
    <w:rsid w:val="002802AC"/>
    <w:rsid w:val="002804E9"/>
    <w:rsid w:val="00280A19"/>
    <w:rsid w:val="00280E92"/>
    <w:rsid w:val="00281004"/>
    <w:rsid w:val="0028281B"/>
    <w:rsid w:val="002835B3"/>
    <w:rsid w:val="0028653A"/>
    <w:rsid w:val="0029084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D76"/>
    <w:rsid w:val="003A6FB2"/>
    <w:rsid w:val="003A7168"/>
    <w:rsid w:val="003B1E10"/>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8BB"/>
    <w:rsid w:val="004D0B94"/>
    <w:rsid w:val="004D469B"/>
    <w:rsid w:val="004D7889"/>
    <w:rsid w:val="004D7AD3"/>
    <w:rsid w:val="004E03A3"/>
    <w:rsid w:val="004E1F83"/>
    <w:rsid w:val="004E1FCC"/>
    <w:rsid w:val="004E6526"/>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12A06"/>
    <w:rsid w:val="0052400A"/>
    <w:rsid w:val="00524799"/>
    <w:rsid w:val="0052740C"/>
    <w:rsid w:val="00530C0A"/>
    <w:rsid w:val="005315CE"/>
    <w:rsid w:val="00532057"/>
    <w:rsid w:val="00534AC6"/>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6ADE"/>
    <w:rsid w:val="00577DC5"/>
    <w:rsid w:val="005837A7"/>
    <w:rsid w:val="00585009"/>
    <w:rsid w:val="005854CF"/>
    <w:rsid w:val="005857DE"/>
    <w:rsid w:val="0058581F"/>
    <w:rsid w:val="005876EF"/>
    <w:rsid w:val="0059022D"/>
    <w:rsid w:val="00595161"/>
    <w:rsid w:val="0059619E"/>
    <w:rsid w:val="005A0217"/>
    <w:rsid w:val="005A16E7"/>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3DB"/>
    <w:rsid w:val="005D771F"/>
    <w:rsid w:val="005D7788"/>
    <w:rsid w:val="005E0228"/>
    <w:rsid w:val="005E574F"/>
    <w:rsid w:val="005F1EE4"/>
    <w:rsid w:val="005F594B"/>
    <w:rsid w:val="005F5980"/>
    <w:rsid w:val="005F7F5B"/>
    <w:rsid w:val="006042AF"/>
    <w:rsid w:val="00605729"/>
    <w:rsid w:val="00606AD8"/>
    <w:rsid w:val="006110C8"/>
    <w:rsid w:val="00611572"/>
    <w:rsid w:val="006121C8"/>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960"/>
    <w:rsid w:val="00692E2D"/>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3E64"/>
    <w:rsid w:val="007045E0"/>
    <w:rsid w:val="007103DF"/>
    <w:rsid w:val="00712C7F"/>
    <w:rsid w:val="00713652"/>
    <w:rsid w:val="00714053"/>
    <w:rsid w:val="00714B70"/>
    <w:rsid w:val="00715A1A"/>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62497"/>
    <w:rsid w:val="00764EDA"/>
    <w:rsid w:val="00765B7C"/>
    <w:rsid w:val="0076671A"/>
    <w:rsid w:val="00770A42"/>
    <w:rsid w:val="00770BF9"/>
    <w:rsid w:val="007720F8"/>
    <w:rsid w:val="00773C78"/>
    <w:rsid w:val="0078025A"/>
    <w:rsid w:val="00780723"/>
    <w:rsid w:val="00783709"/>
    <w:rsid w:val="00784B6C"/>
    <w:rsid w:val="007851EC"/>
    <w:rsid w:val="007857E4"/>
    <w:rsid w:val="00785CB3"/>
    <w:rsid w:val="00790A86"/>
    <w:rsid w:val="007921E4"/>
    <w:rsid w:val="007929B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2A7C"/>
    <w:rsid w:val="007B65DF"/>
    <w:rsid w:val="007B7B06"/>
    <w:rsid w:val="007C118E"/>
    <w:rsid w:val="007C6CF4"/>
    <w:rsid w:val="007D2EB4"/>
    <w:rsid w:val="007D5155"/>
    <w:rsid w:val="007D7267"/>
    <w:rsid w:val="007D75B0"/>
    <w:rsid w:val="007E0778"/>
    <w:rsid w:val="007E4E29"/>
    <w:rsid w:val="007E66B2"/>
    <w:rsid w:val="007E6CF2"/>
    <w:rsid w:val="007F0749"/>
    <w:rsid w:val="007F50C6"/>
    <w:rsid w:val="007F7D23"/>
    <w:rsid w:val="00802CEF"/>
    <w:rsid w:val="0080348D"/>
    <w:rsid w:val="008052E0"/>
    <w:rsid w:val="00806401"/>
    <w:rsid w:val="0081120D"/>
    <w:rsid w:val="00812B46"/>
    <w:rsid w:val="00815436"/>
    <w:rsid w:val="00815813"/>
    <w:rsid w:val="00816C68"/>
    <w:rsid w:val="008212AB"/>
    <w:rsid w:val="00823396"/>
    <w:rsid w:val="00824CBF"/>
    <w:rsid w:val="00825BC8"/>
    <w:rsid w:val="00826899"/>
    <w:rsid w:val="0083177E"/>
    <w:rsid w:val="00831F8C"/>
    <w:rsid w:val="00833573"/>
    <w:rsid w:val="00835A9D"/>
    <w:rsid w:val="00836B8C"/>
    <w:rsid w:val="0084380E"/>
    <w:rsid w:val="00843BB4"/>
    <w:rsid w:val="00844FA3"/>
    <w:rsid w:val="00845753"/>
    <w:rsid w:val="008457DF"/>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D1E26"/>
    <w:rsid w:val="008D3E1F"/>
    <w:rsid w:val="008D3FBF"/>
    <w:rsid w:val="008D419D"/>
    <w:rsid w:val="008D43B4"/>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6169"/>
    <w:rsid w:val="009366D7"/>
    <w:rsid w:val="00941428"/>
    <w:rsid w:val="00943F1B"/>
    <w:rsid w:val="00944448"/>
    <w:rsid w:val="00944ED0"/>
    <w:rsid w:val="00951328"/>
    <w:rsid w:val="00951359"/>
    <w:rsid w:val="009513AB"/>
    <w:rsid w:val="00955ABD"/>
    <w:rsid w:val="00956587"/>
    <w:rsid w:val="009575E0"/>
    <w:rsid w:val="009620B8"/>
    <w:rsid w:val="00962DC1"/>
    <w:rsid w:val="00963AD2"/>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6B79"/>
    <w:rsid w:val="00A275C3"/>
    <w:rsid w:val="00A304E2"/>
    <w:rsid w:val="00A30C65"/>
    <w:rsid w:val="00A333DE"/>
    <w:rsid w:val="00A34E70"/>
    <w:rsid w:val="00A35192"/>
    <w:rsid w:val="00A36B6A"/>
    <w:rsid w:val="00A375DC"/>
    <w:rsid w:val="00A37DBE"/>
    <w:rsid w:val="00A4004D"/>
    <w:rsid w:val="00A41339"/>
    <w:rsid w:val="00A460D6"/>
    <w:rsid w:val="00A52DC6"/>
    <w:rsid w:val="00A53CC1"/>
    <w:rsid w:val="00A54F2F"/>
    <w:rsid w:val="00A6299F"/>
    <w:rsid w:val="00A64DBA"/>
    <w:rsid w:val="00A70F05"/>
    <w:rsid w:val="00A71E7F"/>
    <w:rsid w:val="00A724E7"/>
    <w:rsid w:val="00A72859"/>
    <w:rsid w:val="00A82566"/>
    <w:rsid w:val="00A82E85"/>
    <w:rsid w:val="00A84704"/>
    <w:rsid w:val="00A8518A"/>
    <w:rsid w:val="00A8551D"/>
    <w:rsid w:val="00A86A98"/>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5E6F"/>
    <w:rsid w:val="00B073FB"/>
    <w:rsid w:val="00B07E73"/>
    <w:rsid w:val="00B10F02"/>
    <w:rsid w:val="00B1119F"/>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7F79"/>
    <w:rsid w:val="00B42B2B"/>
    <w:rsid w:val="00B435D1"/>
    <w:rsid w:val="00B43931"/>
    <w:rsid w:val="00B44802"/>
    <w:rsid w:val="00B45612"/>
    <w:rsid w:val="00B513B1"/>
    <w:rsid w:val="00B5345A"/>
    <w:rsid w:val="00B57C91"/>
    <w:rsid w:val="00B61ED4"/>
    <w:rsid w:val="00B65256"/>
    <w:rsid w:val="00B65A70"/>
    <w:rsid w:val="00B6781D"/>
    <w:rsid w:val="00B67B5D"/>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090"/>
    <w:rsid w:val="00C5251E"/>
    <w:rsid w:val="00C53B63"/>
    <w:rsid w:val="00C550AE"/>
    <w:rsid w:val="00C6363A"/>
    <w:rsid w:val="00C644C0"/>
    <w:rsid w:val="00C74179"/>
    <w:rsid w:val="00C82DF1"/>
    <w:rsid w:val="00C84887"/>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208"/>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6AC2"/>
    <w:rsid w:val="00E07F22"/>
    <w:rsid w:val="00E1061C"/>
    <w:rsid w:val="00E10C20"/>
    <w:rsid w:val="00E11CAC"/>
    <w:rsid w:val="00E12473"/>
    <w:rsid w:val="00E144E3"/>
    <w:rsid w:val="00E215A9"/>
    <w:rsid w:val="00E2169E"/>
    <w:rsid w:val="00E21EF1"/>
    <w:rsid w:val="00E2470D"/>
    <w:rsid w:val="00E26FCA"/>
    <w:rsid w:val="00E309B3"/>
    <w:rsid w:val="00E35C2F"/>
    <w:rsid w:val="00E36FB5"/>
    <w:rsid w:val="00E404CB"/>
    <w:rsid w:val="00E43449"/>
    <w:rsid w:val="00E45EB2"/>
    <w:rsid w:val="00E47B18"/>
    <w:rsid w:val="00E52618"/>
    <w:rsid w:val="00E5324A"/>
    <w:rsid w:val="00E54169"/>
    <w:rsid w:val="00E54625"/>
    <w:rsid w:val="00E5506D"/>
    <w:rsid w:val="00E57A75"/>
    <w:rsid w:val="00E60B6C"/>
    <w:rsid w:val="00E62FA2"/>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6EB4"/>
    <w:rsid w:val="00EB70EC"/>
    <w:rsid w:val="00EB72F7"/>
    <w:rsid w:val="00EC01DF"/>
    <w:rsid w:val="00EC0A21"/>
    <w:rsid w:val="00EC2DE4"/>
    <w:rsid w:val="00EC4766"/>
    <w:rsid w:val="00EC58B2"/>
    <w:rsid w:val="00EC5B06"/>
    <w:rsid w:val="00EC5DC6"/>
    <w:rsid w:val="00EC6B42"/>
    <w:rsid w:val="00EC7A27"/>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3DA7"/>
    <w:rsid w:val="00F87B4D"/>
    <w:rsid w:val="00F94E52"/>
    <w:rsid w:val="00F974DF"/>
    <w:rsid w:val="00FA0722"/>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4SQX5P7U7WPY-958212181-822619</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https://senpr.sharepoint.com/sites/obralegislativa/_layouts/15/DocIdRedir.aspx?ID=4SQX5P7U7WPY-958212181-822619</Url>
      <Description>4SQX5P7U7WPY-958212181-822619</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40294FB6-19D2-4BC4-A87B-BF7613F8226C}"/>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389FFA0E-F017-4F16-AE58-4642E9EDEA29}"/>
</file>

<file path=docProps/app.xml><?xml version="1.0" encoding="utf-8"?>
<Properties xmlns="http://schemas.openxmlformats.org/officeDocument/2006/extended-properties" xmlns:vt="http://schemas.openxmlformats.org/officeDocument/2006/docPropsVTypes">
  <Template>Medida-V2005</Template>
  <TotalTime>3</TotalTime>
  <Pages>8</Pages>
  <Words>1873</Words>
  <Characters>10563</Characters>
  <Application>Microsoft Office Word</Application>
  <DocSecurity>0</DocSecurity>
  <Lines>185</Lines>
  <Paragraphs>56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2026-01-15T14:23:00Z</dcterms:created>
  <dcterms:modified xsi:type="dcterms:W3CDTF">2026-01-16T19:05:00Z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39dc403f-6f5d-4703-aca0-d32da9968121</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