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B2E9A" w14:textId="77777777" w:rsidR="00673C93" w:rsidRPr="0028416C" w:rsidRDefault="00673C93" w:rsidP="00673C93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 w:rsidRPr="0028416C"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39C794E0" w14:textId="77777777" w:rsidR="00673C93" w:rsidRPr="003F301A" w:rsidRDefault="00673C93" w:rsidP="00673C93">
      <w:pPr>
        <w:jc w:val="center"/>
        <w:rPr>
          <w:rFonts w:ascii="Book Antiqua" w:hAnsi="Book Antiqua"/>
          <w:caps/>
          <w:sz w:val="24"/>
          <w:szCs w:val="24"/>
          <w:lang w:val="es-ES"/>
        </w:rPr>
      </w:pPr>
    </w:p>
    <w:p w14:paraId="38A7216E" w14:textId="4B406ECC" w:rsidR="00673C93" w:rsidRPr="0028416C" w:rsidRDefault="00C23B64" w:rsidP="00673C93">
      <w:pPr>
        <w:jc w:val="both"/>
        <w:rPr>
          <w:rFonts w:ascii="Book Antiqua" w:hAnsi="Book Antiqua"/>
          <w:sz w:val="24"/>
          <w:szCs w:val="32"/>
          <w:lang w:val="es-ES"/>
        </w:rPr>
      </w:pPr>
      <w:r w:rsidRPr="0028416C">
        <w:rPr>
          <w:rFonts w:ascii="Book Antiqua" w:hAnsi="Book Antiqua"/>
          <w:sz w:val="24"/>
          <w:szCs w:val="32"/>
          <w:lang w:val="es-ES"/>
        </w:rPr>
        <w:t>20m</w:t>
      </w:r>
      <w:r w:rsidR="00673C93" w:rsidRPr="0028416C">
        <w:rPr>
          <w:rFonts w:ascii="Book Antiqua" w:hAnsi="Book Antiqua"/>
          <w:sz w:val="24"/>
          <w:szCs w:val="32"/>
          <w:lang w:val="es-ES"/>
        </w:rPr>
        <w:t>a. Asamblea</w:t>
      </w:r>
      <w:r w:rsidR="00673C93" w:rsidRPr="0028416C">
        <w:rPr>
          <w:rFonts w:ascii="Book Antiqua" w:hAnsi="Book Antiqua"/>
          <w:sz w:val="24"/>
          <w:szCs w:val="32"/>
          <w:lang w:val="es-ES"/>
        </w:rPr>
        <w:tab/>
      </w:r>
      <w:r w:rsidR="00673C93" w:rsidRPr="0028416C">
        <w:rPr>
          <w:rFonts w:ascii="Book Antiqua" w:hAnsi="Book Antiqua"/>
          <w:sz w:val="24"/>
          <w:szCs w:val="32"/>
          <w:lang w:val="es-ES"/>
        </w:rPr>
        <w:tab/>
      </w:r>
      <w:r w:rsidR="00673C93" w:rsidRPr="0028416C">
        <w:rPr>
          <w:rFonts w:ascii="Book Antiqua" w:hAnsi="Book Antiqua"/>
          <w:sz w:val="24"/>
          <w:szCs w:val="32"/>
          <w:lang w:val="es-ES"/>
        </w:rPr>
        <w:tab/>
      </w:r>
      <w:r w:rsidR="00673C93" w:rsidRPr="0028416C">
        <w:rPr>
          <w:rFonts w:ascii="Book Antiqua" w:hAnsi="Book Antiqua"/>
          <w:sz w:val="24"/>
          <w:szCs w:val="32"/>
          <w:lang w:val="es-ES"/>
        </w:rPr>
        <w:tab/>
      </w:r>
      <w:r w:rsidR="00673C93" w:rsidRPr="0028416C">
        <w:rPr>
          <w:rFonts w:ascii="Book Antiqua" w:hAnsi="Book Antiqua"/>
          <w:sz w:val="24"/>
          <w:szCs w:val="32"/>
          <w:lang w:val="es-ES"/>
        </w:rPr>
        <w:tab/>
      </w:r>
      <w:r w:rsidR="00673C93" w:rsidRPr="0028416C">
        <w:rPr>
          <w:rFonts w:ascii="Book Antiqua" w:hAnsi="Book Antiqua"/>
          <w:sz w:val="24"/>
          <w:szCs w:val="32"/>
          <w:lang w:val="es-ES"/>
        </w:rPr>
        <w:tab/>
      </w:r>
      <w:r w:rsidR="00673C93" w:rsidRPr="0028416C">
        <w:rPr>
          <w:rFonts w:ascii="Book Antiqua" w:hAnsi="Book Antiqua"/>
          <w:sz w:val="24"/>
          <w:szCs w:val="32"/>
          <w:lang w:val="es-ES"/>
        </w:rPr>
        <w:tab/>
      </w:r>
      <w:r w:rsidR="00673C93" w:rsidRPr="0028416C">
        <w:rPr>
          <w:rFonts w:ascii="Book Antiqua" w:hAnsi="Book Antiqua"/>
          <w:sz w:val="24"/>
          <w:szCs w:val="32"/>
          <w:lang w:val="es-ES"/>
        </w:rPr>
        <w:tab/>
        <w:t xml:space="preserve">           </w:t>
      </w:r>
      <w:r w:rsidR="000A039C" w:rsidRPr="0028416C">
        <w:rPr>
          <w:rFonts w:ascii="Book Antiqua" w:hAnsi="Book Antiqua"/>
          <w:sz w:val="24"/>
          <w:szCs w:val="32"/>
          <w:lang w:val="es-ES"/>
        </w:rPr>
        <w:t>3r</w:t>
      </w:r>
      <w:r w:rsidR="00673C93" w:rsidRPr="0028416C">
        <w:rPr>
          <w:rFonts w:ascii="Book Antiqua" w:hAnsi="Book Antiqua"/>
          <w:sz w:val="24"/>
          <w:szCs w:val="32"/>
          <w:lang w:val="es-ES"/>
        </w:rPr>
        <w:t>a. Sesión</w:t>
      </w:r>
    </w:p>
    <w:p w14:paraId="7EBA3A72" w14:textId="77777777" w:rsidR="00673C93" w:rsidRPr="0028416C" w:rsidRDefault="00673C93" w:rsidP="00673C93">
      <w:pPr>
        <w:ind w:firstLine="561"/>
        <w:jc w:val="both"/>
        <w:rPr>
          <w:rFonts w:ascii="Book Antiqua" w:hAnsi="Book Antiqua"/>
          <w:sz w:val="24"/>
          <w:szCs w:val="32"/>
          <w:lang w:val="es-ES"/>
        </w:rPr>
      </w:pPr>
      <w:r w:rsidRPr="0028416C">
        <w:rPr>
          <w:rFonts w:ascii="Book Antiqua" w:hAnsi="Book Antiqua"/>
          <w:sz w:val="24"/>
          <w:szCs w:val="32"/>
          <w:lang w:val="es-ES"/>
        </w:rPr>
        <w:t xml:space="preserve"> Legislativa</w:t>
      </w:r>
      <w:r w:rsidRPr="0028416C">
        <w:rPr>
          <w:rFonts w:ascii="Book Antiqua" w:hAnsi="Book Antiqua"/>
          <w:sz w:val="24"/>
          <w:szCs w:val="32"/>
          <w:lang w:val="es-ES"/>
        </w:rPr>
        <w:tab/>
      </w:r>
      <w:r w:rsidRPr="0028416C">
        <w:rPr>
          <w:rFonts w:ascii="Book Antiqua" w:hAnsi="Book Antiqua"/>
          <w:sz w:val="24"/>
          <w:szCs w:val="32"/>
          <w:lang w:val="es-ES"/>
        </w:rPr>
        <w:tab/>
      </w:r>
      <w:r w:rsidRPr="0028416C">
        <w:rPr>
          <w:rFonts w:ascii="Book Antiqua" w:hAnsi="Book Antiqua"/>
          <w:sz w:val="24"/>
          <w:szCs w:val="32"/>
          <w:lang w:val="es-ES"/>
        </w:rPr>
        <w:tab/>
      </w:r>
      <w:r w:rsidRPr="0028416C">
        <w:rPr>
          <w:rFonts w:ascii="Book Antiqua" w:hAnsi="Book Antiqua"/>
          <w:sz w:val="24"/>
          <w:szCs w:val="32"/>
          <w:lang w:val="es-ES"/>
        </w:rPr>
        <w:tab/>
      </w:r>
      <w:r w:rsidRPr="0028416C">
        <w:rPr>
          <w:rFonts w:ascii="Book Antiqua" w:hAnsi="Book Antiqua"/>
          <w:sz w:val="24"/>
          <w:szCs w:val="32"/>
          <w:lang w:val="es-ES"/>
        </w:rPr>
        <w:tab/>
      </w:r>
      <w:r w:rsidRPr="0028416C">
        <w:rPr>
          <w:rFonts w:ascii="Book Antiqua" w:hAnsi="Book Antiqua"/>
          <w:sz w:val="24"/>
          <w:szCs w:val="32"/>
          <w:lang w:val="es-ES"/>
        </w:rPr>
        <w:tab/>
      </w:r>
      <w:r w:rsidRPr="0028416C">
        <w:rPr>
          <w:rFonts w:ascii="Book Antiqua" w:hAnsi="Book Antiqua"/>
          <w:sz w:val="24"/>
          <w:szCs w:val="32"/>
          <w:lang w:val="es-ES"/>
        </w:rPr>
        <w:tab/>
      </w:r>
      <w:r w:rsidRPr="0028416C">
        <w:rPr>
          <w:rFonts w:ascii="Book Antiqua" w:hAnsi="Book Antiqua"/>
          <w:sz w:val="24"/>
          <w:szCs w:val="32"/>
          <w:lang w:val="es-ES"/>
        </w:rPr>
        <w:tab/>
      </w:r>
      <w:r w:rsidRPr="0028416C">
        <w:rPr>
          <w:rFonts w:ascii="Book Antiqua" w:hAnsi="Book Antiqua"/>
          <w:sz w:val="24"/>
          <w:szCs w:val="32"/>
          <w:lang w:val="es-ES"/>
        </w:rPr>
        <w:tab/>
        <w:t xml:space="preserve">      Ordinaria</w:t>
      </w:r>
    </w:p>
    <w:p w14:paraId="49611E2D" w14:textId="77777777" w:rsidR="00673C93" w:rsidRPr="0028416C" w:rsidRDefault="00673C93" w:rsidP="00673C93">
      <w:pPr>
        <w:ind w:firstLine="561"/>
        <w:jc w:val="both"/>
        <w:rPr>
          <w:rFonts w:ascii="Book Antiqua" w:hAnsi="Book Antiqua"/>
          <w:sz w:val="24"/>
          <w:szCs w:val="24"/>
          <w:lang w:val="es-ES"/>
        </w:rPr>
      </w:pPr>
    </w:p>
    <w:p w14:paraId="2DCF7A71" w14:textId="77777777" w:rsidR="00673C93" w:rsidRPr="003F301A" w:rsidRDefault="00673C93" w:rsidP="00673C93">
      <w:pPr>
        <w:jc w:val="center"/>
        <w:rPr>
          <w:rFonts w:ascii="Book Antiqua" w:hAnsi="Book Antiqua"/>
          <w:b/>
          <w:bCs/>
          <w:sz w:val="36"/>
          <w:szCs w:val="36"/>
          <w:lang w:val="es-ES"/>
        </w:rPr>
      </w:pPr>
      <w:r w:rsidRPr="003F301A">
        <w:rPr>
          <w:rFonts w:ascii="Book Antiqua" w:hAnsi="Book Antiqua"/>
          <w:b/>
          <w:bCs/>
          <w:caps/>
          <w:sz w:val="36"/>
          <w:szCs w:val="36"/>
          <w:lang w:val="es-ES"/>
        </w:rPr>
        <w:t>Cámara</w:t>
      </w:r>
      <w:r w:rsidRPr="003F301A">
        <w:rPr>
          <w:rFonts w:ascii="Book Antiqua" w:hAnsi="Book Antiqua"/>
          <w:b/>
          <w:bCs/>
          <w:sz w:val="36"/>
          <w:szCs w:val="36"/>
          <w:lang w:val="es-ES"/>
        </w:rPr>
        <w:t xml:space="preserve"> DE REPRESENTANTES</w:t>
      </w:r>
    </w:p>
    <w:p w14:paraId="0B990F94" w14:textId="77777777" w:rsidR="00673C93" w:rsidRPr="003F301A" w:rsidRDefault="00673C93" w:rsidP="00673C93">
      <w:pPr>
        <w:jc w:val="center"/>
        <w:rPr>
          <w:rFonts w:ascii="Book Antiqua" w:hAnsi="Book Antiqua"/>
          <w:sz w:val="24"/>
          <w:szCs w:val="24"/>
          <w:lang w:val="es-ES"/>
        </w:rPr>
      </w:pPr>
    </w:p>
    <w:p w14:paraId="09F76208" w14:textId="659130AE" w:rsidR="00673C93" w:rsidRPr="003F301A" w:rsidRDefault="00124F63" w:rsidP="00673C93">
      <w:pPr>
        <w:jc w:val="center"/>
        <w:rPr>
          <w:rFonts w:ascii="Book Antiqua" w:hAnsi="Book Antiqua"/>
          <w:b/>
          <w:bCs/>
          <w:szCs w:val="24"/>
          <w:lang w:val="es-ES"/>
        </w:rPr>
      </w:pPr>
      <w:r w:rsidRPr="003F301A">
        <w:rPr>
          <w:rFonts w:ascii="Book Antiqua" w:hAnsi="Book Antiqua"/>
          <w:b/>
          <w:bCs/>
          <w:sz w:val="52"/>
          <w:szCs w:val="52"/>
          <w:lang w:val="es-ES"/>
        </w:rPr>
        <w:t xml:space="preserve">P. de la C. </w:t>
      </w:r>
      <w:r w:rsidR="00446C2D" w:rsidRPr="003F301A">
        <w:rPr>
          <w:rFonts w:ascii="Book Antiqua" w:hAnsi="Book Antiqua"/>
          <w:b/>
          <w:bCs/>
          <w:sz w:val="52"/>
          <w:szCs w:val="52"/>
          <w:lang w:val="es-ES"/>
        </w:rPr>
        <w:t>1052</w:t>
      </w:r>
    </w:p>
    <w:p w14:paraId="72788866" w14:textId="77777777" w:rsidR="00673C93" w:rsidRPr="003F301A" w:rsidRDefault="00673C93" w:rsidP="00673C93">
      <w:pPr>
        <w:jc w:val="center"/>
        <w:rPr>
          <w:rFonts w:ascii="Book Antiqua" w:hAnsi="Book Antiqua" w:cs="Arial"/>
          <w:caps/>
          <w:sz w:val="24"/>
          <w:szCs w:val="24"/>
          <w:lang w:val="es-ES"/>
        </w:rPr>
      </w:pPr>
    </w:p>
    <w:p w14:paraId="15159370" w14:textId="076207AB" w:rsidR="00673C93" w:rsidRPr="0028416C" w:rsidRDefault="00446C2D" w:rsidP="00673C93">
      <w:pPr>
        <w:jc w:val="center"/>
        <w:rPr>
          <w:rFonts w:ascii="Book Antiqua" w:hAnsi="Book Antiqua" w:cs="Arial"/>
          <w:caps/>
          <w:sz w:val="24"/>
          <w:szCs w:val="32"/>
          <w:lang w:val="es-ES"/>
        </w:rPr>
      </w:pPr>
      <w:r>
        <w:rPr>
          <w:rFonts w:ascii="Book Antiqua" w:hAnsi="Book Antiqua" w:cs="Arial"/>
          <w:caps/>
          <w:sz w:val="24"/>
          <w:szCs w:val="32"/>
          <w:lang w:val="es-ES"/>
        </w:rPr>
        <w:t>14</w:t>
      </w:r>
      <w:r w:rsidR="00C23B64" w:rsidRPr="0028416C">
        <w:rPr>
          <w:rFonts w:ascii="Book Antiqua" w:hAnsi="Book Antiqua" w:cs="Arial"/>
          <w:caps/>
          <w:sz w:val="24"/>
          <w:szCs w:val="32"/>
          <w:lang w:val="es-ES"/>
        </w:rPr>
        <w:t xml:space="preserve"> de </w:t>
      </w:r>
      <w:r w:rsidR="000A039C" w:rsidRPr="0028416C">
        <w:rPr>
          <w:rFonts w:ascii="Book Antiqua" w:hAnsi="Book Antiqua" w:cs="Arial"/>
          <w:caps/>
          <w:sz w:val="24"/>
          <w:szCs w:val="32"/>
          <w:lang w:val="es-ES"/>
        </w:rPr>
        <w:t>ENERO</w:t>
      </w:r>
      <w:r w:rsidR="00C23B64" w:rsidRPr="0028416C">
        <w:rPr>
          <w:rFonts w:ascii="Book Antiqua" w:hAnsi="Book Antiqua" w:cs="Arial"/>
          <w:caps/>
          <w:sz w:val="24"/>
          <w:szCs w:val="32"/>
          <w:lang w:val="es-ES"/>
        </w:rPr>
        <w:t xml:space="preserve"> de 202</w:t>
      </w:r>
      <w:r w:rsidR="000A039C" w:rsidRPr="0028416C">
        <w:rPr>
          <w:rFonts w:ascii="Book Antiqua" w:hAnsi="Book Antiqua" w:cs="Arial"/>
          <w:caps/>
          <w:sz w:val="24"/>
          <w:szCs w:val="32"/>
          <w:lang w:val="es-ES"/>
        </w:rPr>
        <w:t>6</w:t>
      </w:r>
    </w:p>
    <w:p w14:paraId="77C5F631" w14:textId="77777777" w:rsidR="00673C93" w:rsidRPr="0028416C" w:rsidRDefault="00673C93" w:rsidP="00673C93">
      <w:pPr>
        <w:jc w:val="center"/>
        <w:rPr>
          <w:rFonts w:ascii="Book Antiqua" w:hAnsi="Book Antiqua" w:cs="Arial"/>
          <w:caps/>
          <w:sz w:val="24"/>
          <w:szCs w:val="32"/>
          <w:lang w:val="es-ES"/>
        </w:rPr>
      </w:pPr>
    </w:p>
    <w:p w14:paraId="0082B316" w14:textId="6DA4A895" w:rsidR="00673C93" w:rsidRPr="0028416C" w:rsidRDefault="00673C93" w:rsidP="00673C93">
      <w:pPr>
        <w:jc w:val="center"/>
        <w:rPr>
          <w:rFonts w:ascii="Book Antiqua" w:hAnsi="Book Antiqua" w:cs="Arial"/>
          <w:i/>
          <w:iCs/>
          <w:sz w:val="24"/>
          <w:szCs w:val="32"/>
          <w:lang w:val="es-ES"/>
        </w:rPr>
      </w:pPr>
      <w:r w:rsidRPr="0028416C">
        <w:rPr>
          <w:rFonts w:ascii="Book Antiqua" w:hAnsi="Book Antiqua" w:cs="Arial"/>
          <w:sz w:val="24"/>
          <w:szCs w:val="32"/>
          <w:lang w:val="es-ES"/>
        </w:rPr>
        <w:t>Presentado por l</w:t>
      </w:r>
      <w:r w:rsidR="00E55DFA">
        <w:rPr>
          <w:rFonts w:ascii="Book Antiqua" w:hAnsi="Book Antiqua" w:cs="Arial"/>
          <w:sz w:val="24"/>
          <w:szCs w:val="32"/>
          <w:lang w:val="es-ES"/>
        </w:rPr>
        <w:t>os</w:t>
      </w:r>
      <w:r w:rsidRPr="0028416C">
        <w:rPr>
          <w:rFonts w:ascii="Book Antiqua" w:hAnsi="Book Antiqua" w:cs="Arial"/>
          <w:sz w:val="24"/>
          <w:szCs w:val="32"/>
          <w:lang w:val="es-ES"/>
        </w:rPr>
        <w:t xml:space="preserve"> representante</w:t>
      </w:r>
      <w:r w:rsidR="00E55DFA">
        <w:rPr>
          <w:rFonts w:ascii="Book Antiqua" w:hAnsi="Book Antiqua" w:cs="Arial"/>
          <w:sz w:val="24"/>
          <w:szCs w:val="32"/>
          <w:lang w:val="es-ES"/>
        </w:rPr>
        <w:t>s</w:t>
      </w:r>
      <w:r w:rsidRPr="0028416C">
        <w:rPr>
          <w:rFonts w:ascii="Book Antiqua" w:hAnsi="Book Antiqua" w:cs="Arial"/>
          <w:sz w:val="24"/>
          <w:szCs w:val="32"/>
          <w:lang w:val="es-ES"/>
        </w:rPr>
        <w:t xml:space="preserve"> </w:t>
      </w:r>
      <w:r w:rsidR="000A039C" w:rsidRPr="0028416C">
        <w:rPr>
          <w:rFonts w:ascii="Book Antiqua" w:hAnsi="Book Antiqua" w:cs="Arial"/>
          <w:i/>
          <w:iCs/>
          <w:sz w:val="24"/>
          <w:szCs w:val="32"/>
          <w:lang w:val="es-ES"/>
        </w:rPr>
        <w:t xml:space="preserve">Nieves Rosario </w:t>
      </w:r>
      <w:r w:rsidR="000A039C" w:rsidRPr="003F301A">
        <w:rPr>
          <w:rFonts w:ascii="Book Antiqua" w:hAnsi="Book Antiqua" w:cs="Arial"/>
          <w:sz w:val="24"/>
          <w:szCs w:val="32"/>
          <w:lang w:val="es-ES"/>
        </w:rPr>
        <w:t>y</w:t>
      </w:r>
      <w:r w:rsidR="000A039C" w:rsidRPr="0028416C">
        <w:rPr>
          <w:rFonts w:ascii="Book Antiqua" w:hAnsi="Book Antiqua" w:cs="Arial"/>
          <w:i/>
          <w:iCs/>
          <w:sz w:val="24"/>
          <w:szCs w:val="32"/>
          <w:lang w:val="es-ES"/>
        </w:rPr>
        <w:t xml:space="preserve"> Jiménez Torres</w:t>
      </w:r>
    </w:p>
    <w:p w14:paraId="311CFB14" w14:textId="77777777" w:rsidR="00673C93" w:rsidRPr="0028416C" w:rsidRDefault="00673C93" w:rsidP="00673C93">
      <w:pPr>
        <w:jc w:val="center"/>
        <w:rPr>
          <w:rFonts w:ascii="Book Antiqua" w:hAnsi="Book Antiqua" w:cs="Arial"/>
          <w:sz w:val="24"/>
          <w:szCs w:val="32"/>
          <w:lang w:val="es-ES"/>
        </w:rPr>
      </w:pPr>
    </w:p>
    <w:p w14:paraId="3FD90EED" w14:textId="3C6263B3" w:rsidR="00673C93" w:rsidRPr="0028416C" w:rsidRDefault="00673C93" w:rsidP="00673C93">
      <w:pPr>
        <w:jc w:val="center"/>
        <w:rPr>
          <w:rFonts w:ascii="Book Antiqua" w:hAnsi="Book Antiqua"/>
          <w:sz w:val="24"/>
          <w:szCs w:val="24"/>
          <w:lang w:val="es-ES"/>
        </w:rPr>
      </w:pPr>
      <w:r w:rsidRPr="0028416C">
        <w:rPr>
          <w:rFonts w:ascii="Book Antiqua" w:hAnsi="Book Antiqua"/>
          <w:sz w:val="24"/>
          <w:szCs w:val="24"/>
          <w:lang w:val="es-ES"/>
        </w:rPr>
        <w:t xml:space="preserve">Referido a </w:t>
      </w:r>
      <w:r w:rsidR="00911F9E" w:rsidRPr="0028416C">
        <w:rPr>
          <w:rFonts w:ascii="Book Antiqua" w:hAnsi="Book Antiqua"/>
          <w:sz w:val="24"/>
          <w:szCs w:val="24"/>
          <w:lang w:val="es-ES"/>
        </w:rPr>
        <w:t xml:space="preserve">la Comisión </w:t>
      </w:r>
      <w:r w:rsidR="00C23B64" w:rsidRPr="0028416C">
        <w:rPr>
          <w:rFonts w:ascii="Book Antiqua" w:hAnsi="Book Antiqua"/>
          <w:sz w:val="24"/>
          <w:szCs w:val="24"/>
          <w:lang w:val="es-ES"/>
        </w:rPr>
        <w:t xml:space="preserve">de </w:t>
      </w:r>
      <w:r w:rsidR="000366F4">
        <w:rPr>
          <w:rFonts w:ascii="Book Antiqua" w:hAnsi="Book Antiqua"/>
          <w:sz w:val="24"/>
          <w:szCs w:val="24"/>
          <w:lang w:val="es-ES"/>
        </w:rPr>
        <w:t>Asuntos del Consumidor</w:t>
      </w:r>
    </w:p>
    <w:p w14:paraId="051E6538" w14:textId="77777777" w:rsidR="00673C93" w:rsidRPr="0028416C" w:rsidRDefault="00673C93" w:rsidP="00673C93">
      <w:pPr>
        <w:jc w:val="center"/>
        <w:rPr>
          <w:rFonts w:ascii="Book Antiqua" w:hAnsi="Book Antiqua"/>
          <w:sz w:val="24"/>
          <w:szCs w:val="32"/>
          <w:lang w:val="es-ES"/>
        </w:rPr>
      </w:pPr>
    </w:p>
    <w:p w14:paraId="7A1DB94E" w14:textId="77777777" w:rsidR="00673C93" w:rsidRPr="003F301A" w:rsidRDefault="00673C93" w:rsidP="00673C93">
      <w:pPr>
        <w:jc w:val="center"/>
        <w:rPr>
          <w:rFonts w:ascii="Book Antiqua" w:hAnsi="Book Antiqua"/>
          <w:b/>
          <w:bCs/>
          <w:sz w:val="28"/>
          <w:szCs w:val="28"/>
          <w:lang w:val="es-ES"/>
        </w:rPr>
      </w:pPr>
      <w:r w:rsidRPr="003F301A">
        <w:rPr>
          <w:rFonts w:ascii="Book Antiqua" w:hAnsi="Book Antiqua"/>
          <w:b/>
          <w:bCs/>
          <w:sz w:val="28"/>
          <w:szCs w:val="28"/>
          <w:lang w:val="es-ES"/>
        </w:rPr>
        <w:t>LEY</w:t>
      </w:r>
    </w:p>
    <w:p w14:paraId="615AECBB" w14:textId="77777777" w:rsidR="00673C93" w:rsidRPr="003F301A" w:rsidRDefault="00673C93" w:rsidP="00673C93">
      <w:pPr>
        <w:jc w:val="center"/>
        <w:rPr>
          <w:rFonts w:ascii="Book Antiqua" w:hAnsi="Book Antiqua"/>
          <w:sz w:val="24"/>
          <w:szCs w:val="24"/>
          <w:lang w:val="es-ES"/>
        </w:rPr>
      </w:pPr>
    </w:p>
    <w:p w14:paraId="1B6C5DF4" w14:textId="4A0240DA" w:rsidR="003843AC" w:rsidRPr="0028416C" w:rsidRDefault="004C169A" w:rsidP="006110C4">
      <w:pPr>
        <w:pStyle w:val="BodyTextIndent2"/>
        <w:spacing w:after="0" w:line="240" w:lineRule="auto"/>
        <w:ind w:left="630" w:hanging="630"/>
        <w:jc w:val="both"/>
        <w:rPr>
          <w:rFonts w:ascii="Book Antiqua" w:hAnsi="Book Antiqua"/>
          <w:sz w:val="24"/>
          <w:szCs w:val="24"/>
          <w:lang w:val="es-ES"/>
        </w:rPr>
      </w:pPr>
      <w:r w:rsidRPr="0028416C">
        <w:rPr>
          <w:rFonts w:ascii="Book Antiqua" w:hAnsi="Book Antiqua"/>
          <w:sz w:val="24"/>
          <w:szCs w:val="24"/>
          <w:lang w:val="es-ES"/>
        </w:rPr>
        <w:t xml:space="preserve">Para añadir unos nuevos </w:t>
      </w:r>
      <w:r w:rsidR="0028416C" w:rsidRPr="0028416C">
        <w:rPr>
          <w:rFonts w:ascii="Book Antiqua" w:hAnsi="Book Antiqua"/>
          <w:sz w:val="24"/>
          <w:szCs w:val="24"/>
          <w:lang w:val="es-ES"/>
        </w:rPr>
        <w:t>Artículos 2</w:t>
      </w:r>
      <w:r w:rsidRPr="0028416C">
        <w:rPr>
          <w:rFonts w:ascii="Book Antiqua" w:hAnsi="Book Antiqua"/>
          <w:sz w:val="24"/>
          <w:szCs w:val="24"/>
          <w:lang w:val="es-ES"/>
        </w:rPr>
        <w:t>A y 2B a la Ley Núm. 132-2015, según enmendada, conocida como "Ley para la Preservación de la Buena Fe y Seguridad del Consumidor en la Contratación y Terminación de los Contratos sobre Bienes y Servicios", a los fines de definir y prohibir expresamente el uso de "patrones oscuros" (dark patterns); establecer requisitos de transparencia en la notificación de renovaciones automáticas; y para otros fines relacionados.</w:t>
      </w:r>
    </w:p>
    <w:p w14:paraId="275D1A4E" w14:textId="77777777" w:rsidR="003843AC" w:rsidRPr="0028416C" w:rsidRDefault="003843AC" w:rsidP="00BB2D32">
      <w:pPr>
        <w:pStyle w:val="BodyTextIndent2"/>
        <w:spacing w:after="0" w:line="240" w:lineRule="auto"/>
        <w:ind w:left="540" w:hanging="540"/>
        <w:jc w:val="both"/>
        <w:rPr>
          <w:rFonts w:ascii="Book Antiqua" w:hAnsi="Book Antiqua"/>
          <w:sz w:val="24"/>
          <w:szCs w:val="24"/>
          <w:lang w:val="es-ES"/>
        </w:rPr>
      </w:pPr>
    </w:p>
    <w:p w14:paraId="39C6F2CF" w14:textId="77777777" w:rsidR="00F85F88" w:rsidRPr="0028416C" w:rsidRDefault="003843AC" w:rsidP="00F85F88">
      <w:pPr>
        <w:jc w:val="center"/>
        <w:rPr>
          <w:rFonts w:ascii="Book Antiqua" w:hAnsi="Book Antiqua"/>
          <w:sz w:val="24"/>
          <w:szCs w:val="24"/>
          <w:lang w:val="es-ES"/>
        </w:rPr>
      </w:pPr>
      <w:r w:rsidRPr="0028416C">
        <w:rPr>
          <w:rFonts w:ascii="Book Antiqua" w:hAnsi="Book Antiqua"/>
          <w:sz w:val="24"/>
          <w:szCs w:val="24"/>
          <w:lang w:val="es-ES"/>
        </w:rPr>
        <w:t>EXPOSICIÓN DE MOTIVOS</w:t>
      </w:r>
    </w:p>
    <w:p w14:paraId="21E74D19" w14:textId="77777777" w:rsidR="000B5FE3" w:rsidRPr="0028416C" w:rsidRDefault="003676C0" w:rsidP="000B5FE3">
      <w:pPr>
        <w:jc w:val="both"/>
        <w:rPr>
          <w:rFonts w:ascii="Book Antiqua" w:hAnsi="Book Antiqua"/>
          <w:sz w:val="24"/>
          <w:szCs w:val="24"/>
          <w:lang w:val="es-ES"/>
        </w:rPr>
      </w:pPr>
      <w:r w:rsidRPr="0028416C">
        <w:rPr>
          <w:rFonts w:ascii="Book Antiqua" w:hAnsi="Book Antiqua"/>
          <w:sz w:val="24"/>
          <w:szCs w:val="24"/>
          <w:lang w:val="es-ES"/>
        </w:rPr>
        <w:tab/>
      </w:r>
    </w:p>
    <w:p w14:paraId="61BD9E14" w14:textId="3F7FA44C" w:rsidR="00F60102" w:rsidRPr="0028416C" w:rsidRDefault="00F60102" w:rsidP="00F60102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28416C">
        <w:rPr>
          <w:rFonts w:ascii="Book Antiqua" w:hAnsi="Book Antiqua"/>
          <w:sz w:val="24"/>
          <w:szCs w:val="24"/>
          <w:lang w:val="es-ES"/>
        </w:rPr>
        <w:t>La economía digital ha transformado la manera en que los consumidores en Puerto Rico adquieren bienes y servicios. El modelo de negocios basado en suscripciones y membresías de renovación automática ha proliferado, abarcando desde gimnasios y servicios de "streaming", hasta aplicaciones de software y entregas periódicas de productos.</w:t>
      </w:r>
    </w:p>
    <w:p w14:paraId="42664493" w14:textId="77777777" w:rsidR="00F60102" w:rsidRPr="0028416C" w:rsidRDefault="00F60102" w:rsidP="00F60102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6861A280" w14:textId="77777777" w:rsidR="00F60102" w:rsidRPr="0028416C" w:rsidRDefault="00F60102" w:rsidP="00F60102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28416C">
        <w:rPr>
          <w:rFonts w:ascii="Book Antiqua" w:hAnsi="Book Antiqua"/>
          <w:sz w:val="24"/>
          <w:szCs w:val="24"/>
          <w:lang w:val="es-ES"/>
        </w:rPr>
        <w:t>Si bien este modelo ofrece conveniencia, también ha dado paso a prácticas comerciales injustas conocidas como "patrones oscuros" (dark patterns). Con frecuencia, los consumidores se encuentran atrapados en ciclos de pagos recurrentes debido a procesos de cancelación deliberadamente complejos. Mientras que suscribirse toma segundos y un solo "clic", cancelar a menudo requiere llamadas telefónicas con largos tiempos de espera, visitas presenciales en horarios laborables o la navegación por menús laberínticos diseñados para disuadir la baja del servicio.</w:t>
      </w:r>
    </w:p>
    <w:p w14:paraId="04A4064F" w14:textId="77777777" w:rsidR="00F60102" w:rsidRPr="0028416C" w:rsidRDefault="00F60102" w:rsidP="00F60102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4105A8C9" w14:textId="77777777" w:rsidR="003F301A" w:rsidRDefault="003F301A" w:rsidP="00F60102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2392B734" w14:textId="58A80647" w:rsidR="00F60102" w:rsidRPr="0028416C" w:rsidRDefault="00F60102" w:rsidP="00F60102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28416C">
        <w:rPr>
          <w:rFonts w:ascii="Book Antiqua" w:hAnsi="Book Antiqua"/>
          <w:sz w:val="24"/>
          <w:szCs w:val="24"/>
          <w:lang w:val="es-ES"/>
        </w:rPr>
        <w:lastRenderedPageBreak/>
        <w:t>Esta asimetría entre la facilidad de entrada y la dificultad de salida atenta contra la libertad de elección del consumidor y afecta su bolsillo. La Comisión Federal de Comercio (FTC, por sus siglas en inglés) y diversas jurisdicciones a nivel mundial han comenzado a implementar la regla de "Click-to-Cancel": si es fácil entrar, debe ser igual de fácil salir.</w:t>
      </w:r>
    </w:p>
    <w:p w14:paraId="24BB6BE3" w14:textId="77777777" w:rsidR="00FD0B90" w:rsidRPr="0028416C" w:rsidRDefault="00FD0B90" w:rsidP="00F60102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7BBEA65E" w14:textId="2AADBE4B" w:rsidR="00E23D61" w:rsidRPr="0028416C" w:rsidRDefault="00E23D61" w:rsidP="00E23D61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28416C">
        <w:rPr>
          <w:rFonts w:ascii="Book Antiqua" w:hAnsi="Book Antiqua"/>
          <w:sz w:val="24"/>
          <w:szCs w:val="24"/>
          <w:lang w:val="es-ES"/>
        </w:rPr>
        <w:t>Esta situación es particularmente nociva en industrias como la de los gimnasios y las telecomunicaciones en Puerto Rico. Es de conocimiento público que muchos centros de acondicionamiento físico exigen cartas certificadas o visitas presenciales en horarios restrictivos para procesar una baja, incluso cuando el cliente se inscribió en línea o por teléfono. Del mismo modo, los proveedores de telefonía e internet a menudo imponen barreras artificiales para evitar la portabilidad o la cancelación de servicios.</w:t>
      </w:r>
    </w:p>
    <w:p w14:paraId="4E8B09B3" w14:textId="77777777" w:rsidR="00F60102" w:rsidRPr="0028416C" w:rsidRDefault="00F60102" w:rsidP="00E23D61">
      <w:pPr>
        <w:jc w:val="both"/>
        <w:rPr>
          <w:rFonts w:ascii="Book Antiqua" w:hAnsi="Book Antiqua"/>
          <w:sz w:val="24"/>
          <w:szCs w:val="24"/>
          <w:lang w:val="es-ES"/>
        </w:rPr>
      </w:pPr>
    </w:p>
    <w:p w14:paraId="323EE73C" w14:textId="77777777" w:rsidR="003F301A" w:rsidRDefault="00F60102" w:rsidP="003F301A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28416C">
        <w:rPr>
          <w:rFonts w:ascii="Book Antiqua" w:hAnsi="Book Antiqua"/>
          <w:sz w:val="24"/>
          <w:szCs w:val="24"/>
          <w:lang w:val="es-ES"/>
        </w:rPr>
        <w:t>Es política pública de esta Asamblea Legislativa asegurar que los consumidores puertorriqueños tengan mecanismos claros, sencillos y expeditos para terminar relaciones contractuales, evitando cargos no deseados por servicios que ya no utilizan o no desean.</w:t>
      </w:r>
    </w:p>
    <w:p w14:paraId="496F10DF" w14:textId="104E988C" w:rsidR="00EB49EF" w:rsidRPr="0028416C" w:rsidRDefault="003676C0" w:rsidP="003F301A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28416C">
        <w:rPr>
          <w:rFonts w:ascii="Book Antiqua" w:hAnsi="Book Antiqua"/>
          <w:sz w:val="24"/>
          <w:szCs w:val="24"/>
          <w:lang w:val="es-ES"/>
        </w:rPr>
        <w:tab/>
      </w:r>
    </w:p>
    <w:p w14:paraId="70D8AD86" w14:textId="77777777" w:rsidR="003F301A" w:rsidRPr="003F301A" w:rsidRDefault="003F301A" w:rsidP="003F301A">
      <w:pPr>
        <w:spacing w:line="480" w:lineRule="auto"/>
        <w:rPr>
          <w:rFonts w:ascii="Book Antiqua" w:hAnsi="Book Antiqua"/>
          <w:i/>
          <w:color w:val="000000"/>
          <w:sz w:val="24"/>
          <w:szCs w:val="24"/>
          <w:lang w:val="es-ES"/>
        </w:rPr>
      </w:pPr>
      <w:r w:rsidRPr="003F301A">
        <w:rPr>
          <w:rFonts w:ascii="Book Antiqua" w:hAnsi="Book Antiqua"/>
          <w:i/>
          <w:color w:val="000000"/>
          <w:sz w:val="24"/>
          <w:szCs w:val="24"/>
          <w:lang w:val="es-ES"/>
        </w:rPr>
        <w:t>DECRÉTASE POR LA ASAMBLEA LEGISLATIVA DE PUERTO RICO:</w:t>
      </w:r>
    </w:p>
    <w:p w14:paraId="75F11150" w14:textId="77777777" w:rsidR="003843AC" w:rsidRPr="0028416C" w:rsidRDefault="003843AC" w:rsidP="003F301A">
      <w:pPr>
        <w:pStyle w:val="BodyTextIndent"/>
        <w:spacing w:after="0" w:line="480" w:lineRule="auto"/>
        <w:ind w:left="0" w:firstLine="720"/>
        <w:jc w:val="both"/>
        <w:rPr>
          <w:rFonts w:ascii="Book Antiqua" w:hAnsi="Book Antiqua"/>
          <w:sz w:val="24"/>
          <w:szCs w:val="24"/>
          <w:lang w:val="es-ES"/>
        </w:rPr>
        <w:sectPr w:rsidR="003843AC" w:rsidRPr="0028416C" w:rsidSect="00BB2D32">
          <w:headerReference w:type="even" r:id="rId7"/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70B2972" w14:textId="35FC9AB8" w:rsidR="00B84510" w:rsidRPr="00B84510" w:rsidRDefault="00B84510" w:rsidP="003F301A">
      <w:pPr>
        <w:pStyle w:val="BodyTextIndent2"/>
        <w:spacing w:after="0"/>
        <w:ind w:firstLine="360"/>
        <w:jc w:val="both"/>
        <w:rPr>
          <w:rFonts w:ascii="Book Antiqua" w:hAnsi="Book Antiqua"/>
          <w:sz w:val="24"/>
          <w:szCs w:val="24"/>
          <w:lang w:val="es-ES"/>
        </w:rPr>
      </w:pPr>
      <w:r w:rsidRPr="0028416C">
        <w:rPr>
          <w:rFonts w:ascii="Book Antiqua" w:hAnsi="Book Antiqua"/>
          <w:sz w:val="24"/>
          <w:szCs w:val="24"/>
          <w:lang w:val="es-ES"/>
        </w:rPr>
        <w:t>Sección</w:t>
      </w:r>
      <w:r w:rsidR="009C06FA" w:rsidRPr="009C06FA">
        <w:rPr>
          <w:rFonts w:ascii="Book Antiqua" w:hAnsi="Book Antiqua"/>
          <w:sz w:val="24"/>
          <w:szCs w:val="24"/>
          <w:lang w:val="es-ES"/>
        </w:rPr>
        <w:t xml:space="preserve"> 1.- </w:t>
      </w:r>
      <w:r w:rsidRPr="00B84510">
        <w:rPr>
          <w:rFonts w:ascii="Book Antiqua" w:hAnsi="Book Antiqua"/>
          <w:sz w:val="24"/>
          <w:szCs w:val="24"/>
          <w:lang w:val="es-ES"/>
        </w:rPr>
        <w:t>Se añaden unos nuevos Artículos 2A y 2B a la Ley Núm. 132-2015, según enmendada, para que lean como sigue:</w:t>
      </w:r>
    </w:p>
    <w:p w14:paraId="1241E844" w14:textId="77777777" w:rsidR="00B84510" w:rsidRPr="00B84510" w:rsidRDefault="00B84510" w:rsidP="003F301A">
      <w:pPr>
        <w:pStyle w:val="BodyTextIndent2"/>
        <w:spacing w:after="0"/>
        <w:ind w:firstLine="360"/>
        <w:jc w:val="both"/>
        <w:rPr>
          <w:rFonts w:ascii="Book Antiqua" w:hAnsi="Book Antiqua"/>
          <w:i/>
          <w:iCs/>
          <w:sz w:val="24"/>
          <w:szCs w:val="24"/>
          <w:lang w:val="es-ES"/>
        </w:rPr>
      </w:pPr>
      <w:r w:rsidRPr="00B84510">
        <w:rPr>
          <w:rFonts w:ascii="Book Antiqua" w:hAnsi="Book Antiqua"/>
          <w:i/>
          <w:iCs/>
          <w:sz w:val="24"/>
          <w:szCs w:val="24"/>
          <w:lang w:val="es-ES"/>
        </w:rPr>
        <w:t>"Artículo 2A.- Prohibición de Obstáculos Generales.</w:t>
      </w:r>
    </w:p>
    <w:p w14:paraId="057827C3" w14:textId="55ABB3E2" w:rsidR="00B84510" w:rsidRPr="00B84510" w:rsidRDefault="00B84510" w:rsidP="003F301A">
      <w:pPr>
        <w:pStyle w:val="BodyTextIndent2"/>
        <w:spacing w:after="0"/>
        <w:ind w:firstLine="360"/>
        <w:jc w:val="both"/>
        <w:rPr>
          <w:rFonts w:ascii="Book Antiqua" w:hAnsi="Book Antiqua"/>
          <w:i/>
          <w:iCs/>
          <w:sz w:val="24"/>
          <w:szCs w:val="24"/>
          <w:lang w:val="es-ES"/>
        </w:rPr>
      </w:pPr>
      <w:r w:rsidRPr="00B84510">
        <w:rPr>
          <w:rFonts w:ascii="Book Antiqua" w:hAnsi="Book Antiqua"/>
          <w:i/>
          <w:iCs/>
          <w:sz w:val="24"/>
          <w:szCs w:val="24"/>
          <w:lang w:val="es-ES"/>
        </w:rPr>
        <w:t>Se prohíbe el uso de técnicas de diseño engañoso ('patrones oscuros' o dark patterns), menús de navegación complejos, procesos repetitivos injustificados o tiempos de espera excesivos en líneas telefónicas diseñados para disuadir, obstaculizar o retrasar la cancelación de un contrato o suscripción.</w:t>
      </w:r>
      <w:r w:rsidR="00867EA9" w:rsidRPr="0028416C">
        <w:rPr>
          <w:rFonts w:ascii="Book Antiqua" w:hAnsi="Book Antiqua"/>
          <w:i/>
          <w:iCs/>
          <w:sz w:val="24"/>
          <w:szCs w:val="24"/>
          <w:lang w:val="es-ES"/>
        </w:rPr>
        <w:t xml:space="preserve"> La prohibición incluye cualquier interfaz de usuario, técnica de diseño web, arquitectura de decisión o proceso de interacción implementado por un proveedor de bienes o servicios que tenga el efecto o propósito sustancial de subvertir o perjudicar la autonomía, la toma de decisiones o la elección del usuario. Esto incluye, pero no se limita a, el uso de preguntas confusas, la ocultación de información clave, la navegación forzada por menús complejos para realizar una baja, o cualquier diseño engañoso destinado a disuadir la </w:t>
      </w:r>
      <w:r w:rsidR="00867EA9" w:rsidRPr="0028416C">
        <w:rPr>
          <w:rFonts w:ascii="Book Antiqua" w:hAnsi="Book Antiqua"/>
          <w:i/>
          <w:iCs/>
          <w:sz w:val="24"/>
          <w:szCs w:val="24"/>
          <w:lang w:val="es-ES"/>
        </w:rPr>
        <w:lastRenderedPageBreak/>
        <w:t>cancelación de un servicio."</w:t>
      </w:r>
    </w:p>
    <w:p w14:paraId="6D9A1A03" w14:textId="77777777" w:rsidR="00B84510" w:rsidRPr="00B84510" w:rsidRDefault="00B84510" w:rsidP="003F301A">
      <w:pPr>
        <w:pStyle w:val="BodyTextIndent2"/>
        <w:spacing w:after="0"/>
        <w:ind w:firstLine="360"/>
        <w:jc w:val="both"/>
        <w:rPr>
          <w:rFonts w:ascii="Book Antiqua" w:hAnsi="Book Antiqua"/>
          <w:i/>
          <w:iCs/>
          <w:sz w:val="24"/>
          <w:szCs w:val="24"/>
          <w:lang w:val="es-ES"/>
        </w:rPr>
      </w:pPr>
      <w:r w:rsidRPr="00B84510">
        <w:rPr>
          <w:rFonts w:ascii="Book Antiqua" w:hAnsi="Book Antiqua"/>
          <w:i/>
          <w:iCs/>
          <w:sz w:val="24"/>
          <w:szCs w:val="24"/>
          <w:lang w:val="es-ES"/>
        </w:rPr>
        <w:t>Artículo 2B.- Transparencia en la Renovación.</w:t>
      </w:r>
    </w:p>
    <w:p w14:paraId="4BE4CB71" w14:textId="77777777" w:rsidR="00B84510" w:rsidRPr="00B84510" w:rsidRDefault="00B84510" w:rsidP="003F301A">
      <w:pPr>
        <w:pStyle w:val="BodyTextIndent2"/>
        <w:spacing w:after="0"/>
        <w:ind w:firstLine="360"/>
        <w:jc w:val="both"/>
        <w:rPr>
          <w:rFonts w:ascii="Book Antiqua" w:hAnsi="Book Antiqua"/>
          <w:i/>
          <w:iCs/>
          <w:sz w:val="24"/>
          <w:szCs w:val="24"/>
          <w:lang w:val="es-ES"/>
        </w:rPr>
      </w:pPr>
      <w:r w:rsidRPr="00B84510">
        <w:rPr>
          <w:rFonts w:ascii="Book Antiqua" w:hAnsi="Book Antiqua"/>
          <w:i/>
          <w:iCs/>
          <w:sz w:val="24"/>
          <w:szCs w:val="24"/>
          <w:lang w:val="es-ES"/>
        </w:rPr>
        <w:t>Antes de procesar el cargo de una renovación anual de cualquier contrato de servicio o suscripción, el proveedor deberá notificar al consumidor con al menos treinta (30) días de antelación al vencimiento del término. Dicha notificación deberá indicar claramente el monto a ser cobrado, la fecha de la transacción y proveer un enlace directo o método inmediato para cancelar el servicio si el consumidor así lo desea."</w:t>
      </w:r>
    </w:p>
    <w:p w14:paraId="176075E9" w14:textId="04F2E0A8" w:rsidR="002B7F3E" w:rsidRPr="0028416C" w:rsidRDefault="0028416C" w:rsidP="003F301A">
      <w:pPr>
        <w:pStyle w:val="BodyTextIndent2"/>
        <w:spacing w:after="0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</w:t>
      </w:r>
      <w:r w:rsidR="009C06FA" w:rsidRPr="009C06FA">
        <w:rPr>
          <w:rFonts w:ascii="Book Antiqua" w:hAnsi="Book Antiqua"/>
          <w:sz w:val="24"/>
          <w:szCs w:val="24"/>
          <w:lang w:val="es-ES"/>
        </w:rPr>
        <w:t xml:space="preserve"> </w:t>
      </w:r>
      <w:r w:rsidR="002B7F3E" w:rsidRPr="0028416C">
        <w:rPr>
          <w:rFonts w:ascii="Book Antiqua" w:hAnsi="Book Antiqua"/>
          <w:sz w:val="24"/>
          <w:szCs w:val="24"/>
          <w:lang w:val="es-ES"/>
        </w:rPr>
        <w:t>2</w:t>
      </w:r>
      <w:r w:rsidR="009C06FA" w:rsidRPr="009C06FA">
        <w:rPr>
          <w:rFonts w:ascii="Book Antiqua" w:hAnsi="Book Antiqua"/>
          <w:sz w:val="24"/>
          <w:szCs w:val="24"/>
          <w:lang w:val="es-ES"/>
        </w:rPr>
        <w:t xml:space="preserve">.- Cláusula de Separabilidad. </w:t>
      </w:r>
    </w:p>
    <w:p w14:paraId="46013821" w14:textId="45277FD9" w:rsidR="009C06FA" w:rsidRPr="009C06FA" w:rsidRDefault="009C06FA" w:rsidP="003F301A">
      <w:pPr>
        <w:pStyle w:val="BodyTextIndent2"/>
        <w:spacing w:after="0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9C06FA">
        <w:rPr>
          <w:rFonts w:ascii="Book Antiqua" w:hAnsi="Book Antiqua"/>
          <w:sz w:val="24"/>
          <w:szCs w:val="24"/>
          <w:lang w:val="es-ES"/>
        </w:rPr>
        <w:t>Si alguna parte de esta Ley fuera declarada inconstitucional, no invalidará las demás disposiciones.</w:t>
      </w:r>
    </w:p>
    <w:p w14:paraId="261AB125" w14:textId="3C0A8806" w:rsidR="00277132" w:rsidRPr="0028416C" w:rsidRDefault="0028416C" w:rsidP="003F301A">
      <w:pPr>
        <w:pStyle w:val="BodyTextIndent2"/>
        <w:spacing w:after="0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</w:t>
      </w:r>
      <w:r w:rsidR="009C06FA" w:rsidRPr="009C06FA">
        <w:rPr>
          <w:rFonts w:ascii="Book Antiqua" w:hAnsi="Book Antiqua"/>
          <w:sz w:val="24"/>
          <w:szCs w:val="24"/>
          <w:lang w:val="es-ES"/>
        </w:rPr>
        <w:t xml:space="preserve"> </w:t>
      </w:r>
      <w:r w:rsidR="002B7F3E" w:rsidRPr="0028416C">
        <w:rPr>
          <w:rFonts w:ascii="Book Antiqua" w:hAnsi="Book Antiqua"/>
          <w:sz w:val="24"/>
          <w:szCs w:val="24"/>
          <w:lang w:val="es-ES"/>
        </w:rPr>
        <w:t>3</w:t>
      </w:r>
      <w:r w:rsidR="009C06FA" w:rsidRPr="009C06FA">
        <w:rPr>
          <w:rFonts w:ascii="Book Antiqua" w:hAnsi="Book Antiqua"/>
          <w:sz w:val="24"/>
          <w:szCs w:val="24"/>
          <w:lang w:val="es-ES"/>
        </w:rPr>
        <w:t xml:space="preserve">.- Vigencia. </w:t>
      </w:r>
    </w:p>
    <w:p w14:paraId="3499D218" w14:textId="6515E2CD" w:rsidR="00FA67AD" w:rsidRPr="0028416C" w:rsidRDefault="002B7F3E" w:rsidP="003F301A">
      <w:pPr>
        <w:pStyle w:val="BodyTextIndent2"/>
        <w:spacing w:after="0"/>
        <w:ind w:firstLine="360"/>
        <w:jc w:val="both"/>
        <w:rPr>
          <w:rFonts w:ascii="Book Antiqua" w:hAnsi="Book Antiqua"/>
          <w:sz w:val="24"/>
          <w:szCs w:val="24"/>
          <w:lang w:val="es-ES"/>
        </w:rPr>
      </w:pPr>
      <w:r w:rsidRPr="0028416C">
        <w:rPr>
          <w:rFonts w:ascii="Book Antiqua" w:hAnsi="Book Antiqua"/>
          <w:sz w:val="24"/>
          <w:szCs w:val="24"/>
          <w:lang w:val="es-ES"/>
        </w:rPr>
        <w:t>Esta Ley entrará en vigor inmediatamente después de su aprobación.</w:t>
      </w:r>
    </w:p>
    <w:sectPr w:rsidR="00FA67AD" w:rsidRPr="0028416C" w:rsidSect="00BB2D32">
      <w:headerReference w:type="even" r:id="rId9"/>
      <w:headerReference w:type="default" r:id="rId10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28275" w14:textId="77777777" w:rsidR="00516951" w:rsidRDefault="00516951">
      <w:r>
        <w:separator/>
      </w:r>
    </w:p>
  </w:endnote>
  <w:endnote w:type="continuationSeparator" w:id="0">
    <w:p w14:paraId="095BC88B" w14:textId="77777777" w:rsidR="00516951" w:rsidRDefault="00516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2A3FD" w14:textId="77777777" w:rsidR="00516951" w:rsidRDefault="00516951">
      <w:r>
        <w:separator/>
      </w:r>
    </w:p>
  </w:footnote>
  <w:footnote w:type="continuationSeparator" w:id="0">
    <w:p w14:paraId="32B425F3" w14:textId="77777777" w:rsidR="00516951" w:rsidRDefault="00516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1A3F5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29BE344" w14:textId="77777777" w:rsidR="003843AC" w:rsidRDefault="003843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25173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1F9E">
      <w:rPr>
        <w:rStyle w:val="PageNumber"/>
        <w:noProof/>
      </w:rPr>
      <w:t>2</w:t>
    </w:r>
    <w:r>
      <w:rPr>
        <w:rStyle w:val="PageNumber"/>
      </w:rPr>
      <w:fldChar w:fldCharType="end"/>
    </w:r>
  </w:p>
  <w:p w14:paraId="057B8D09" w14:textId="77777777" w:rsidR="003843AC" w:rsidRDefault="003843AC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A3FBB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4BC4DF" w14:textId="77777777" w:rsidR="003843AC" w:rsidRDefault="003843AC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A3D46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1F9E">
      <w:rPr>
        <w:rStyle w:val="PageNumber"/>
        <w:noProof/>
      </w:rPr>
      <w:t>7</w:t>
    </w:r>
    <w:r>
      <w:rPr>
        <w:rStyle w:val="PageNumber"/>
      </w:rPr>
      <w:fldChar w:fldCharType="end"/>
    </w:r>
  </w:p>
  <w:p w14:paraId="275D7F26" w14:textId="6059A328" w:rsidR="003843AC" w:rsidRDefault="00673C93">
    <w:pPr>
      <w:widowControl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6A9CF1E7" wp14:editId="35E2FEE7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F92B7F" w14:textId="77777777" w:rsidR="003843AC" w:rsidRDefault="003843AC">
                          <w:pPr>
                            <w:widowControl/>
                            <w:rPr>
                              <w:sz w:val="24"/>
                            </w:rPr>
                          </w:pPr>
                        </w:p>
                        <w:p w14:paraId="6F067549" w14:textId="77777777" w:rsidR="003843AC" w:rsidRDefault="003843AC">
                          <w:pPr>
                            <w:widowControl/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9CF1E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CQF3gPgAAAADwEAAA8AAABkcnMvZG93bnJl&#10;di54bWxMT8tug0AMvFfqP6xcqZcqWdJS0hCWqA816jVpPsCAA6isF7GbQP6+zqm9WGOPPI9sM9lO&#10;nWnwrWMDi3kEirh0Vcu1gcP35+wFlA/IFXaOycCFPGzy25sM08qNvKPzPtRKRNinaKAJoU+19mVD&#10;Fv3c9cTCHd1gMcg61LoacBRx2+nHKEq0xZbFocGe3hsqf/Yna+D4NT48r8ZiGw7LXZy8Ybss3MWY&#10;+7vpYy3jdQ0q0BT+PuDaQfJDLsEKd+LKq86AtAkGZos4FiT86ikRUFxP4g46z/T/HvkvAAAA//8D&#10;AFBLAQItABQABgAIAAAAIQC2gziS/gAAAOEBAAATAAAAAAAAAAAAAAAAAAAAAABbQ29udGVudF9U&#10;eXBlc10ueG1sUEsBAi0AFAAGAAgAAAAhADj9If/WAAAAlAEAAAsAAAAAAAAAAAAAAAAALwEAAF9y&#10;ZWxzLy5yZWxzUEsBAi0AFAAGAAgAAAAhADxMOebyAQAAygMAAA4AAAAAAAAAAAAAAAAALgIAAGRy&#10;cy9lMm9Eb2MueG1sUEsBAi0AFAAGAAgAAAAhACQF3gPgAAAADwEAAA8AAAAAAAAAAAAAAAAATAQA&#10;AGRycy9kb3ducmV2LnhtbFBLBQYAAAAABAAEAPMAAABZBQAAAAA=&#10;" o:allowincell="f" stroked="f">
              <v:textbox>
                <w:txbxContent>
                  <w:p w14:paraId="21F92B7F" w14:textId="77777777" w:rsidR="003843AC" w:rsidRDefault="003843AC">
                    <w:pPr>
                      <w:widowControl/>
                      <w:rPr>
                        <w:sz w:val="24"/>
                      </w:rPr>
                    </w:pPr>
                  </w:p>
                  <w:p w14:paraId="6F067549" w14:textId="77777777" w:rsidR="003843AC" w:rsidRDefault="003843AC">
                    <w:pPr>
                      <w:widowControl/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D51F3"/>
    <w:multiLevelType w:val="hybridMultilevel"/>
    <w:tmpl w:val="8D3A5774"/>
    <w:lvl w:ilvl="0" w:tplc="7E1A20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2142E2"/>
    <w:multiLevelType w:val="hybridMultilevel"/>
    <w:tmpl w:val="584015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7DD17F8E"/>
    <w:multiLevelType w:val="hybridMultilevel"/>
    <w:tmpl w:val="D758D678"/>
    <w:lvl w:ilvl="0" w:tplc="4EB27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8154463">
    <w:abstractNumId w:val="1"/>
  </w:num>
  <w:num w:numId="2" w16cid:durableId="454448339">
    <w:abstractNumId w:val="2"/>
  </w:num>
  <w:num w:numId="3" w16cid:durableId="1839616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3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8AB"/>
    <w:rsid w:val="00006AC4"/>
    <w:rsid w:val="00012440"/>
    <w:rsid w:val="000274F4"/>
    <w:rsid w:val="000366F4"/>
    <w:rsid w:val="00046683"/>
    <w:rsid w:val="00063004"/>
    <w:rsid w:val="00065852"/>
    <w:rsid w:val="00084AD4"/>
    <w:rsid w:val="00085207"/>
    <w:rsid w:val="000929E4"/>
    <w:rsid w:val="00095A8F"/>
    <w:rsid w:val="000A039C"/>
    <w:rsid w:val="000A4092"/>
    <w:rsid w:val="000A50E7"/>
    <w:rsid w:val="000A589A"/>
    <w:rsid w:val="000A5F5D"/>
    <w:rsid w:val="000A7242"/>
    <w:rsid w:val="000B1061"/>
    <w:rsid w:val="000B5FE3"/>
    <w:rsid w:val="000B78C4"/>
    <w:rsid w:val="000C1AC1"/>
    <w:rsid w:val="000D2AF4"/>
    <w:rsid w:val="000F5E37"/>
    <w:rsid w:val="00124F63"/>
    <w:rsid w:val="001436A4"/>
    <w:rsid w:val="00146E6D"/>
    <w:rsid w:val="00150785"/>
    <w:rsid w:val="00155D63"/>
    <w:rsid w:val="00174D3E"/>
    <w:rsid w:val="00184377"/>
    <w:rsid w:val="00187D7B"/>
    <w:rsid w:val="00196EB0"/>
    <w:rsid w:val="001A0F94"/>
    <w:rsid w:val="001A1640"/>
    <w:rsid w:val="001A5A1C"/>
    <w:rsid w:val="001B2B24"/>
    <w:rsid w:val="001C259C"/>
    <w:rsid w:val="001C3F21"/>
    <w:rsid w:val="001D6816"/>
    <w:rsid w:val="001E3D56"/>
    <w:rsid w:val="001E4227"/>
    <w:rsid w:val="001F2AD3"/>
    <w:rsid w:val="001F64FE"/>
    <w:rsid w:val="002319DE"/>
    <w:rsid w:val="002375C2"/>
    <w:rsid w:val="00271748"/>
    <w:rsid w:val="00277132"/>
    <w:rsid w:val="00281443"/>
    <w:rsid w:val="0028416C"/>
    <w:rsid w:val="002844B3"/>
    <w:rsid w:val="0028642B"/>
    <w:rsid w:val="002B7F3E"/>
    <w:rsid w:val="002D75CA"/>
    <w:rsid w:val="002F21ED"/>
    <w:rsid w:val="00312DC6"/>
    <w:rsid w:val="003143E0"/>
    <w:rsid w:val="00330D4B"/>
    <w:rsid w:val="00356EDF"/>
    <w:rsid w:val="0036636E"/>
    <w:rsid w:val="003676C0"/>
    <w:rsid w:val="003843AC"/>
    <w:rsid w:val="00387011"/>
    <w:rsid w:val="003A3CFA"/>
    <w:rsid w:val="003D299D"/>
    <w:rsid w:val="003D3ED0"/>
    <w:rsid w:val="003E44AE"/>
    <w:rsid w:val="003E63B3"/>
    <w:rsid w:val="003F301A"/>
    <w:rsid w:val="003F4FF9"/>
    <w:rsid w:val="003F530A"/>
    <w:rsid w:val="00423E55"/>
    <w:rsid w:val="00446C2D"/>
    <w:rsid w:val="00450884"/>
    <w:rsid w:val="004532F2"/>
    <w:rsid w:val="00461212"/>
    <w:rsid w:val="00471D9F"/>
    <w:rsid w:val="00483627"/>
    <w:rsid w:val="0049211E"/>
    <w:rsid w:val="00492F3D"/>
    <w:rsid w:val="004A7A6D"/>
    <w:rsid w:val="004B1CD0"/>
    <w:rsid w:val="004B3913"/>
    <w:rsid w:val="004C169A"/>
    <w:rsid w:val="004C6B37"/>
    <w:rsid w:val="004D0902"/>
    <w:rsid w:val="004D1BD8"/>
    <w:rsid w:val="004D67E5"/>
    <w:rsid w:val="004F2541"/>
    <w:rsid w:val="004F7B17"/>
    <w:rsid w:val="00506AD5"/>
    <w:rsid w:val="00511B28"/>
    <w:rsid w:val="00516951"/>
    <w:rsid w:val="00536BBF"/>
    <w:rsid w:val="005454D5"/>
    <w:rsid w:val="005537D6"/>
    <w:rsid w:val="00564B76"/>
    <w:rsid w:val="00572133"/>
    <w:rsid w:val="005732CF"/>
    <w:rsid w:val="00575820"/>
    <w:rsid w:val="005A27CB"/>
    <w:rsid w:val="005C361E"/>
    <w:rsid w:val="005C7614"/>
    <w:rsid w:val="005D34A1"/>
    <w:rsid w:val="006110C4"/>
    <w:rsid w:val="006244EA"/>
    <w:rsid w:val="00627B2A"/>
    <w:rsid w:val="006319DB"/>
    <w:rsid w:val="006556B9"/>
    <w:rsid w:val="00673C93"/>
    <w:rsid w:val="0067433B"/>
    <w:rsid w:val="00696BCE"/>
    <w:rsid w:val="006A0E70"/>
    <w:rsid w:val="006A1550"/>
    <w:rsid w:val="006A2DAF"/>
    <w:rsid w:val="006A3972"/>
    <w:rsid w:val="006B0589"/>
    <w:rsid w:val="006E4CAD"/>
    <w:rsid w:val="006F3779"/>
    <w:rsid w:val="00700BEC"/>
    <w:rsid w:val="00705703"/>
    <w:rsid w:val="00715F04"/>
    <w:rsid w:val="007235BE"/>
    <w:rsid w:val="00724158"/>
    <w:rsid w:val="00744C80"/>
    <w:rsid w:val="007725D4"/>
    <w:rsid w:val="007A274E"/>
    <w:rsid w:val="007B1FF7"/>
    <w:rsid w:val="007B5096"/>
    <w:rsid w:val="007C2522"/>
    <w:rsid w:val="007C4D7F"/>
    <w:rsid w:val="007C7748"/>
    <w:rsid w:val="007D02B9"/>
    <w:rsid w:val="007D2926"/>
    <w:rsid w:val="007D2B55"/>
    <w:rsid w:val="007E2BF6"/>
    <w:rsid w:val="0081463E"/>
    <w:rsid w:val="00840E0D"/>
    <w:rsid w:val="00840FA1"/>
    <w:rsid w:val="00852F2C"/>
    <w:rsid w:val="008578FC"/>
    <w:rsid w:val="00862BEB"/>
    <w:rsid w:val="008665D2"/>
    <w:rsid w:val="00867899"/>
    <w:rsid w:val="00867EA9"/>
    <w:rsid w:val="0087057B"/>
    <w:rsid w:val="00890027"/>
    <w:rsid w:val="00896C0D"/>
    <w:rsid w:val="00896CEF"/>
    <w:rsid w:val="00897DA9"/>
    <w:rsid w:val="008A57C2"/>
    <w:rsid w:val="008A61FD"/>
    <w:rsid w:val="008C4F6D"/>
    <w:rsid w:val="008D0A88"/>
    <w:rsid w:val="008D5726"/>
    <w:rsid w:val="008E502C"/>
    <w:rsid w:val="008F7DEE"/>
    <w:rsid w:val="00900A97"/>
    <w:rsid w:val="0091197A"/>
    <w:rsid w:val="00911F9E"/>
    <w:rsid w:val="00916EC7"/>
    <w:rsid w:val="009209B0"/>
    <w:rsid w:val="00922655"/>
    <w:rsid w:val="009237B2"/>
    <w:rsid w:val="009272EC"/>
    <w:rsid w:val="00936644"/>
    <w:rsid w:val="00936F29"/>
    <w:rsid w:val="00961048"/>
    <w:rsid w:val="009B289F"/>
    <w:rsid w:val="009C06FA"/>
    <w:rsid w:val="009D1E80"/>
    <w:rsid w:val="009E6095"/>
    <w:rsid w:val="009F3AA9"/>
    <w:rsid w:val="009F5743"/>
    <w:rsid w:val="00A03736"/>
    <w:rsid w:val="00A049F6"/>
    <w:rsid w:val="00A04F17"/>
    <w:rsid w:val="00A069B7"/>
    <w:rsid w:val="00A3165B"/>
    <w:rsid w:val="00A3184D"/>
    <w:rsid w:val="00A44350"/>
    <w:rsid w:val="00A50199"/>
    <w:rsid w:val="00A63B84"/>
    <w:rsid w:val="00A94EE4"/>
    <w:rsid w:val="00A96750"/>
    <w:rsid w:val="00A97761"/>
    <w:rsid w:val="00AA2591"/>
    <w:rsid w:val="00AE43A4"/>
    <w:rsid w:val="00AF273A"/>
    <w:rsid w:val="00B04451"/>
    <w:rsid w:val="00B12CDA"/>
    <w:rsid w:val="00B145A5"/>
    <w:rsid w:val="00B24AB1"/>
    <w:rsid w:val="00B3446E"/>
    <w:rsid w:val="00B43649"/>
    <w:rsid w:val="00B50F72"/>
    <w:rsid w:val="00B719AE"/>
    <w:rsid w:val="00B77FF1"/>
    <w:rsid w:val="00B80109"/>
    <w:rsid w:val="00B84510"/>
    <w:rsid w:val="00B90C3F"/>
    <w:rsid w:val="00B94A16"/>
    <w:rsid w:val="00BB0AE7"/>
    <w:rsid w:val="00BB28F3"/>
    <w:rsid w:val="00BB2D32"/>
    <w:rsid w:val="00BC0F2E"/>
    <w:rsid w:val="00BD6AF5"/>
    <w:rsid w:val="00BF05C9"/>
    <w:rsid w:val="00BF542E"/>
    <w:rsid w:val="00C164CA"/>
    <w:rsid w:val="00C23B64"/>
    <w:rsid w:val="00C27AD3"/>
    <w:rsid w:val="00C3255C"/>
    <w:rsid w:val="00C3527C"/>
    <w:rsid w:val="00C36EF7"/>
    <w:rsid w:val="00C42A3B"/>
    <w:rsid w:val="00C63D31"/>
    <w:rsid w:val="00C678AB"/>
    <w:rsid w:val="00C82454"/>
    <w:rsid w:val="00CA4682"/>
    <w:rsid w:val="00CA7955"/>
    <w:rsid w:val="00CB1DC8"/>
    <w:rsid w:val="00CB616A"/>
    <w:rsid w:val="00CC3AA8"/>
    <w:rsid w:val="00CC7366"/>
    <w:rsid w:val="00CD3C85"/>
    <w:rsid w:val="00CF0593"/>
    <w:rsid w:val="00CF0C7C"/>
    <w:rsid w:val="00CF5EF5"/>
    <w:rsid w:val="00CF61EA"/>
    <w:rsid w:val="00D00DD0"/>
    <w:rsid w:val="00D01701"/>
    <w:rsid w:val="00D05F30"/>
    <w:rsid w:val="00D54698"/>
    <w:rsid w:val="00D5488F"/>
    <w:rsid w:val="00D556C2"/>
    <w:rsid w:val="00D669D9"/>
    <w:rsid w:val="00DA0D90"/>
    <w:rsid w:val="00DB4E75"/>
    <w:rsid w:val="00DC26D0"/>
    <w:rsid w:val="00DC3265"/>
    <w:rsid w:val="00DC4219"/>
    <w:rsid w:val="00DE7F05"/>
    <w:rsid w:val="00DF57B6"/>
    <w:rsid w:val="00E23D61"/>
    <w:rsid w:val="00E25D2B"/>
    <w:rsid w:val="00E37A6C"/>
    <w:rsid w:val="00E55DFA"/>
    <w:rsid w:val="00E564E6"/>
    <w:rsid w:val="00E57784"/>
    <w:rsid w:val="00E57FE0"/>
    <w:rsid w:val="00E60811"/>
    <w:rsid w:val="00E713DA"/>
    <w:rsid w:val="00E766AE"/>
    <w:rsid w:val="00EA7C1B"/>
    <w:rsid w:val="00EB49EF"/>
    <w:rsid w:val="00EB5AF8"/>
    <w:rsid w:val="00EC1E85"/>
    <w:rsid w:val="00ED6934"/>
    <w:rsid w:val="00EF5E38"/>
    <w:rsid w:val="00F00DB1"/>
    <w:rsid w:val="00F2793F"/>
    <w:rsid w:val="00F403AF"/>
    <w:rsid w:val="00F479D4"/>
    <w:rsid w:val="00F535AA"/>
    <w:rsid w:val="00F60102"/>
    <w:rsid w:val="00F62E29"/>
    <w:rsid w:val="00F658AF"/>
    <w:rsid w:val="00F85F88"/>
    <w:rsid w:val="00F85FFD"/>
    <w:rsid w:val="00FA1DC8"/>
    <w:rsid w:val="00FA67AD"/>
    <w:rsid w:val="00FC41FB"/>
    <w:rsid w:val="00FD0B90"/>
    <w:rsid w:val="00FD28F5"/>
    <w:rsid w:val="00FD591E"/>
    <w:rsid w:val="00FF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151C705"/>
  <w15:chartTrackingRefBased/>
  <w15:docId w15:val="{A1B44E14-35D4-4329-AD4D-D3F086D9D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78FC"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E57784"/>
    <w:pPr>
      <w:spacing w:line="180" w:lineRule="auto"/>
      <w:jc w:val="center"/>
      <w:outlineLvl w:val="0"/>
    </w:pPr>
    <w:rPr>
      <w:b/>
      <w:i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0305F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level1">
    <w:name w:val="_leve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el2">
    <w:name w:val="_leve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el3">
    <w:name w:val="_leve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el4">
    <w:name w:val="_leve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el5">
    <w:name w:val="_leve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el6">
    <w:name w:val="_leve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el7">
    <w:name w:val="_leve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el8">
    <w:name w:val="_leve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el9">
    <w:name w:val="_leve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sl1">
    <w:name w:val="_levs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sl2">
    <w:name w:val="_levs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sl3">
    <w:name w:val="_levs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sl4">
    <w:name w:val="_levs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sl5">
    <w:name w:val="_levs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sl6">
    <w:name w:val="_levs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sl7">
    <w:name w:val="_levs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sl8">
    <w:name w:val="_levs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sl9">
    <w:name w:val="_levs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nl1">
    <w:name w:val="_levn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nl2">
    <w:name w:val="_levn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nl3">
    <w:name w:val="_levn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nl4">
    <w:name w:val="_levn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nl5">
    <w:name w:val="_levn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nl6">
    <w:name w:val="_levn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nl7">
    <w:name w:val="_levn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nl8">
    <w:name w:val="_levn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nl9">
    <w:name w:val="_levn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character" w:customStyle="1" w:styleId="DefaultPara">
    <w:name w:val="Default Para"/>
    <w:rsid w:val="00E57784"/>
  </w:style>
  <w:style w:type="character" w:customStyle="1" w:styleId="FootnoteRef">
    <w:name w:val="Footnote Ref"/>
    <w:rsid w:val="00E57784"/>
  </w:style>
  <w:style w:type="paragraph" w:styleId="Header">
    <w:name w:val="header"/>
    <w:basedOn w:val="Normal"/>
    <w:link w:val="HeaderChar"/>
    <w:uiPriority w:val="99"/>
    <w:rsid w:val="00E57784"/>
    <w:pPr>
      <w:tabs>
        <w:tab w:val="left" w:pos="0"/>
        <w:tab w:val="center" w:pos="4320"/>
        <w:tab w:val="right" w:pos="8640"/>
        <w:tab w:val="left" w:pos="9360"/>
      </w:tabs>
      <w:jc w:val="both"/>
    </w:pPr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305FD"/>
  </w:style>
  <w:style w:type="character" w:styleId="PageNumber">
    <w:name w:val="page number"/>
    <w:uiPriority w:val="99"/>
    <w:rsid w:val="00E57784"/>
    <w:rPr>
      <w:rFonts w:cs="Times New Roman"/>
    </w:rPr>
  </w:style>
  <w:style w:type="paragraph" w:customStyle="1" w:styleId="BodyTextI2">
    <w:name w:val="Body Text I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720"/>
      <w:jc w:val="both"/>
    </w:pPr>
    <w:rPr>
      <w:sz w:val="28"/>
    </w:rPr>
  </w:style>
  <w:style w:type="paragraph" w:styleId="Title">
    <w:name w:val="Title"/>
    <w:basedOn w:val="Normal"/>
    <w:link w:val="TitleChar"/>
    <w:uiPriority w:val="10"/>
    <w:qFormat/>
    <w:rsid w:val="00E57784"/>
    <w:pPr>
      <w:jc w:val="center"/>
    </w:pPr>
    <w:rPr>
      <w:noProof/>
      <w:sz w:val="32"/>
    </w:rPr>
  </w:style>
  <w:style w:type="character" w:customStyle="1" w:styleId="TitleChar">
    <w:name w:val="Title Char"/>
    <w:link w:val="Title"/>
    <w:uiPriority w:val="10"/>
    <w:rsid w:val="000305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Footer">
    <w:name w:val="footer"/>
    <w:basedOn w:val="Normal"/>
    <w:link w:val="FooterChar"/>
    <w:uiPriority w:val="99"/>
    <w:rsid w:val="00E57784"/>
    <w:pPr>
      <w:tabs>
        <w:tab w:val="center" w:pos="4320"/>
        <w:tab w:val="right" w:pos="8640"/>
        <w:tab w:val="right" w:pos="9360"/>
      </w:tabs>
      <w:jc w:val="both"/>
    </w:pPr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305FD"/>
  </w:style>
  <w:style w:type="paragraph" w:customStyle="1" w:styleId="BodyTextI1">
    <w:name w:val="Body Text I1"/>
    <w:rsid w:val="00E57784"/>
    <w:pPr>
      <w:widowControl w:val="0"/>
      <w:tabs>
        <w:tab w:val="left" w:pos="-1008"/>
        <w:tab w:val="left" w:pos="-288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6912"/>
        <w:tab w:val="left" w:pos="7632"/>
        <w:tab w:val="left" w:pos="8352"/>
        <w:tab w:val="left" w:pos="9072"/>
        <w:tab w:val="right" w:pos="9360"/>
      </w:tabs>
      <w:spacing w:line="480" w:lineRule="auto"/>
      <w:ind w:firstLine="1152"/>
      <w:jc w:val="both"/>
    </w:pPr>
    <w:rPr>
      <w:sz w:val="24"/>
    </w:rPr>
  </w:style>
  <w:style w:type="paragraph" w:customStyle="1" w:styleId="BodyTextIn">
    <w:name w:val="Body Text In"/>
    <w:rsid w:val="00E57784"/>
    <w:pPr>
      <w:widowControl w:val="0"/>
      <w:tabs>
        <w:tab w:val="left" w:pos="-1008"/>
        <w:tab w:val="left" w:pos="-288"/>
        <w:tab w:val="left" w:pos="720"/>
        <w:tab w:val="left" w:pos="990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7632"/>
        <w:tab w:val="left" w:pos="8352"/>
        <w:tab w:val="left" w:pos="9072"/>
        <w:tab w:val="right" w:pos="9360"/>
      </w:tabs>
      <w:spacing w:line="480" w:lineRule="auto"/>
      <w:ind w:left="-90" w:firstLine="810"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rsid w:val="00E57784"/>
    <w:pPr>
      <w:tabs>
        <w:tab w:val="left" w:pos="-1440"/>
        <w:tab w:val="left" w:pos="-720"/>
        <w:tab w:val="left" w:pos="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480" w:lineRule="auto"/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305FD"/>
  </w:style>
  <w:style w:type="character" w:styleId="LineNumber">
    <w:name w:val="line number"/>
    <w:uiPriority w:val="99"/>
    <w:rsid w:val="00A03736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36636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305FD"/>
  </w:style>
  <w:style w:type="paragraph" w:styleId="BodyTextIndent2">
    <w:name w:val="Body Text Indent 2"/>
    <w:basedOn w:val="Normal"/>
    <w:link w:val="BodyTextIndent2Char"/>
    <w:uiPriority w:val="99"/>
    <w:rsid w:val="0036636E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305FD"/>
  </w:style>
  <w:style w:type="paragraph" w:styleId="BodyTextIndent3">
    <w:name w:val="Body Text Indent 3"/>
    <w:basedOn w:val="Normal"/>
    <w:link w:val="BodyTextIndent3Char"/>
    <w:uiPriority w:val="99"/>
    <w:rsid w:val="0036636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0305FD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1F2AD3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link w:val="DocumentMap"/>
    <w:uiPriority w:val="99"/>
    <w:semiHidden/>
    <w:rsid w:val="000305FD"/>
    <w:rPr>
      <w:sz w:val="0"/>
      <w:szCs w:val="0"/>
    </w:rPr>
  </w:style>
  <w:style w:type="character" w:customStyle="1" w:styleId="apple-converted-space">
    <w:name w:val="apple-converted-space"/>
    <w:rsid w:val="00063004"/>
  </w:style>
  <w:style w:type="character" w:styleId="Strong">
    <w:name w:val="Strong"/>
    <w:uiPriority w:val="22"/>
    <w:qFormat/>
    <w:rsid w:val="00063004"/>
    <w:rPr>
      <w:b/>
      <w:bCs/>
    </w:rPr>
  </w:style>
  <w:style w:type="paragraph" w:styleId="BalloonText">
    <w:name w:val="Balloon Text"/>
    <w:basedOn w:val="Normal"/>
    <w:link w:val="BalloonTextChar"/>
    <w:rsid w:val="00FF52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52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4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670</Words>
  <Characters>3917</Characters>
  <Application>Microsoft Office Word</Application>
  <DocSecurity>0</DocSecurity>
  <Lines>85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VOrtiz</dc:creator>
  <cp:keywords/>
  <dc:description/>
  <cp:lastModifiedBy>Gladys J. Burgos Torres</cp:lastModifiedBy>
  <cp:revision>5</cp:revision>
  <cp:lastPrinted>2019-04-25T14:23:00Z</cp:lastPrinted>
  <dcterms:created xsi:type="dcterms:W3CDTF">2026-01-14T20:48:00Z</dcterms:created>
  <dcterms:modified xsi:type="dcterms:W3CDTF">2026-01-15T18:51:00Z</dcterms:modified>
</cp:coreProperties>
</file>