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22112" w14:textId="77777777" w:rsidR="00E01B53" w:rsidRPr="00353ECC" w:rsidRDefault="00E01B53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sz w:val="28"/>
          <w:szCs w:val="28"/>
          <w:lang w:val="es-ES_tradnl"/>
          <w14:ligatures w14:val="none"/>
        </w:rPr>
      </w:pPr>
      <w:bookmarkStart w:id="0" w:name="_Hlk145669412"/>
      <w:r w:rsidRPr="00353ECC">
        <w:rPr>
          <w:rFonts w:ascii="Book Antiqua" w:eastAsia="Times New Roman" w:hAnsi="Book Antiqua"/>
          <w:kern w:val="0"/>
          <w:sz w:val="28"/>
          <w:szCs w:val="28"/>
          <w:lang w:val="es-PR"/>
          <w14:ligatures w14:val="none"/>
        </w:rPr>
        <w:t>GOBIERNO</w:t>
      </w:r>
      <w:r w:rsidRPr="00353ECC">
        <w:rPr>
          <w:rFonts w:ascii="Book Antiqua" w:eastAsia="Times New Roman" w:hAnsi="Book Antiqua"/>
          <w:kern w:val="0"/>
          <w:sz w:val="28"/>
          <w:szCs w:val="28"/>
          <w:lang w:val="es-ES_tradnl"/>
          <w14:ligatures w14:val="none"/>
        </w:rPr>
        <w:t xml:space="preserve"> DE PUERTO RICO</w:t>
      </w:r>
    </w:p>
    <w:p w14:paraId="119B741A" w14:textId="77777777" w:rsidR="00E01B53" w:rsidRPr="00353ECC" w:rsidRDefault="00E01B53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lang w:val="es-ES_tradnl"/>
          <w14:ligatures w14:val="none"/>
        </w:rPr>
      </w:pPr>
    </w:p>
    <w:p w14:paraId="13C1C4A4" w14:textId="77777777" w:rsidR="00E01B53" w:rsidRPr="00353ECC" w:rsidRDefault="00E01B53" w:rsidP="00353E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20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Pr="00353ECC">
        <w:rPr>
          <w:rFonts w:ascii="Book Antiqua" w:eastAsia="Times New Roman" w:hAnsi="Book Antiqua"/>
          <w:kern w:val="0"/>
          <w:szCs w:val="20"/>
          <w:vertAlign w:val="superscript"/>
          <w:lang w:val="es-PR"/>
          <w14:ligatures w14:val="none"/>
        </w:rPr>
        <w:t>m</w:t>
      </w:r>
      <w:r w:rsidRPr="00353ECC">
        <w:rPr>
          <w:rFonts w:ascii="Book Antiqua" w:eastAsia="Times New Roman" w:hAnsi="Book Antiqua"/>
          <w:kern w:val="0"/>
          <w:szCs w:val="20"/>
          <w:vertAlign w:val="superscript"/>
          <w:lang w:val="es-ES_tradnl"/>
          <w14:ligatures w14:val="none"/>
        </w:rPr>
        <w:t>a.</w:t>
      </w: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ab/>
        <w:t>Asamblea</w:t>
      </w: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ab/>
        <w:t xml:space="preserve">3 </w:t>
      </w:r>
      <w:r w:rsidRPr="00353ECC">
        <w:rPr>
          <w:rFonts w:ascii="Book Antiqua" w:eastAsia="Times New Roman" w:hAnsi="Book Antiqua"/>
          <w:kern w:val="0"/>
          <w:szCs w:val="20"/>
          <w:vertAlign w:val="superscript"/>
          <w:lang w:val="es-PR"/>
          <w14:ligatures w14:val="none"/>
        </w:rPr>
        <w:t>ra</w:t>
      </w:r>
      <w:r w:rsidRPr="00353ECC">
        <w:rPr>
          <w:rFonts w:ascii="Book Antiqua" w:eastAsia="Times New Roman" w:hAnsi="Book Antiqua"/>
          <w:kern w:val="0"/>
          <w:szCs w:val="20"/>
          <w:vertAlign w:val="superscript"/>
          <w:lang w:val="es-ES_tradnl"/>
          <w14:ligatures w14:val="none"/>
        </w:rPr>
        <w:t>.</w:t>
      </w: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ab/>
        <w:t>Sesión</w:t>
      </w:r>
    </w:p>
    <w:p w14:paraId="0BA18E17" w14:textId="77777777" w:rsidR="00E01B53" w:rsidRPr="00353ECC" w:rsidRDefault="00E01B53" w:rsidP="00353E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ab/>
        <w:t>Legislativa</w:t>
      </w: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ab/>
      </w: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ab/>
        <w:t>Ordinaria</w:t>
      </w:r>
    </w:p>
    <w:p w14:paraId="4FD4B8E9" w14:textId="77777777" w:rsidR="00E01B53" w:rsidRPr="00353ECC" w:rsidRDefault="00E01B53" w:rsidP="00353ECC">
      <w:pPr>
        <w:suppressLineNumbers/>
        <w:spacing w:after="0" w:line="240" w:lineRule="auto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</w:p>
    <w:p w14:paraId="2EC69119" w14:textId="77777777" w:rsidR="00E01B53" w:rsidRPr="00353ECC" w:rsidRDefault="00E01B53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bCs/>
          <w:kern w:val="0"/>
          <w:sz w:val="36"/>
          <w:szCs w:val="36"/>
          <w:lang w:val="es-ES_tradnl"/>
          <w14:ligatures w14:val="none"/>
        </w:rPr>
      </w:pPr>
      <w:r w:rsidRPr="00353ECC">
        <w:rPr>
          <w:rFonts w:ascii="Book Antiqua" w:eastAsia="Times New Roman" w:hAnsi="Book Antiqua"/>
          <w:b/>
          <w:b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71A0E08E" w14:textId="77777777" w:rsidR="00353ECC" w:rsidRPr="00353ECC" w:rsidRDefault="00353ECC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bCs/>
          <w:kern w:val="0"/>
          <w:lang w:val="es-ES_tradnl"/>
          <w14:ligatures w14:val="none"/>
        </w:rPr>
      </w:pPr>
    </w:p>
    <w:p w14:paraId="12B92661" w14:textId="087F68C0" w:rsidR="00E01B53" w:rsidRPr="00353ECC" w:rsidRDefault="00E01B53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sz w:val="52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b/>
          <w:kern w:val="0"/>
          <w:sz w:val="52"/>
          <w:szCs w:val="20"/>
          <w:lang w:val="es-ES_tradnl"/>
          <w14:ligatures w14:val="none"/>
        </w:rPr>
        <w:t xml:space="preserve">P. de la C. </w:t>
      </w:r>
      <w:r w:rsidR="00356A5F" w:rsidRPr="00353ECC">
        <w:rPr>
          <w:rFonts w:ascii="Book Antiqua" w:eastAsia="Times New Roman" w:hAnsi="Book Antiqua"/>
          <w:b/>
          <w:kern w:val="0"/>
          <w:sz w:val="52"/>
          <w:szCs w:val="20"/>
          <w:lang w:val="es-ES_tradnl"/>
          <w14:ligatures w14:val="none"/>
        </w:rPr>
        <w:t>1063</w:t>
      </w:r>
    </w:p>
    <w:p w14:paraId="286E926D" w14:textId="77777777" w:rsidR="00353ECC" w:rsidRPr="00353ECC" w:rsidRDefault="00353ECC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lang w:val="es-ES_tradnl"/>
          <w14:ligatures w14:val="none"/>
        </w:rPr>
      </w:pPr>
    </w:p>
    <w:p w14:paraId="640216DA" w14:textId="3F08C32B" w:rsidR="00E01B53" w:rsidRPr="00353ECC" w:rsidRDefault="00356A5F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19 </w:t>
      </w:r>
      <w:r w:rsidR="00E01B53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DE </w:t>
      </w:r>
      <w:r w:rsidR="00333275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ENERO</w:t>
      </w:r>
      <w:r w:rsidR="00E01B53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DE 202</w:t>
      </w:r>
      <w:r w:rsidR="00333275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6</w:t>
      </w:r>
    </w:p>
    <w:p w14:paraId="169A42E4" w14:textId="77777777" w:rsidR="00353ECC" w:rsidRPr="00353ECC" w:rsidRDefault="00353ECC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</w:p>
    <w:p w14:paraId="3F338B34" w14:textId="77777777" w:rsidR="00E01B53" w:rsidRPr="00353ECC" w:rsidRDefault="00E01B53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Presentado por la representante </w:t>
      </w:r>
      <w:r w:rsidRPr="00414AAE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Pérez Ramírez</w:t>
      </w: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</w:t>
      </w:r>
    </w:p>
    <w:p w14:paraId="511E8C2B" w14:textId="77777777" w:rsidR="00353ECC" w:rsidRPr="00353ECC" w:rsidRDefault="00353ECC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i/>
          <w:kern w:val="0"/>
          <w:szCs w:val="20"/>
          <w:lang w:val="es-ES_tradnl"/>
          <w14:ligatures w14:val="none"/>
        </w:rPr>
      </w:pPr>
    </w:p>
    <w:p w14:paraId="377013D8" w14:textId="10E20ED4" w:rsidR="00E01B53" w:rsidRPr="00353ECC" w:rsidRDefault="00E01B53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iCs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iCs/>
          <w:kern w:val="0"/>
          <w:szCs w:val="20"/>
          <w:lang w:val="es-ES_tradnl"/>
          <w14:ligatures w14:val="none"/>
        </w:rPr>
        <w:t xml:space="preserve">Referido a la Comisión de </w:t>
      </w:r>
      <w:r w:rsidR="00036B02" w:rsidRPr="00036B02">
        <w:rPr>
          <w:rFonts w:ascii="Book Antiqua" w:eastAsia="Times New Roman" w:hAnsi="Book Antiqua"/>
          <w:iCs/>
          <w:kern w:val="0"/>
          <w:szCs w:val="20"/>
          <w:lang w:val="es-ES_tradnl"/>
          <w14:ligatures w14:val="none"/>
        </w:rPr>
        <w:t>Desarrollo Económico</w:t>
      </w:r>
    </w:p>
    <w:p w14:paraId="61B62A05" w14:textId="77777777" w:rsidR="00E01B53" w:rsidRPr="00353ECC" w:rsidRDefault="00E01B53" w:rsidP="00353ECC">
      <w:pPr>
        <w:suppressLineNumbers/>
        <w:spacing w:after="0" w:line="240" w:lineRule="auto"/>
        <w:jc w:val="both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</w:p>
    <w:p w14:paraId="2476F8E1" w14:textId="77777777" w:rsidR="00E01B53" w:rsidRPr="00353ECC" w:rsidRDefault="00E01B53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sz w:val="28"/>
          <w:szCs w:val="28"/>
          <w:lang w:val="es-ES_tradnl"/>
          <w14:ligatures w14:val="none"/>
        </w:rPr>
      </w:pPr>
      <w:r w:rsidRPr="00353ECC">
        <w:rPr>
          <w:rFonts w:ascii="Book Antiqua" w:eastAsia="Times New Roman" w:hAnsi="Book Antiqua"/>
          <w:b/>
          <w:kern w:val="0"/>
          <w:sz w:val="28"/>
          <w:szCs w:val="28"/>
          <w:lang w:val="es-ES_tradnl"/>
          <w14:ligatures w14:val="none"/>
        </w:rPr>
        <w:t>LEY</w:t>
      </w:r>
    </w:p>
    <w:p w14:paraId="10F1C7B9" w14:textId="77777777" w:rsidR="004372B1" w:rsidRPr="00353ECC" w:rsidRDefault="004372B1" w:rsidP="00353ECC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szCs w:val="20"/>
          <w:lang w:val="es-ES_tradnl"/>
          <w14:ligatures w14:val="none"/>
        </w:rPr>
      </w:pPr>
    </w:p>
    <w:p w14:paraId="305ADF97" w14:textId="78C477FB" w:rsidR="00885606" w:rsidRPr="00353ECC" w:rsidRDefault="00E01B53" w:rsidP="00353ECC">
      <w:pPr>
        <w:suppressLineNumbers/>
        <w:spacing w:after="0" w:line="240" w:lineRule="auto"/>
        <w:ind w:hanging="360"/>
        <w:jc w:val="both"/>
        <w:rPr>
          <w:rFonts w:ascii="Book Antiqua" w:eastAsia="Times New Roman" w:hAnsi="Book Antiqua"/>
          <w:kern w:val="0"/>
          <w:lang w:val="es-ES_tradnl"/>
          <w14:ligatures w14:val="none"/>
        </w:rPr>
      </w:pPr>
      <w:r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Para </w:t>
      </w:r>
      <w:r w:rsidR="00023E30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enmendar </w:t>
      </w:r>
      <w:r w:rsidR="005D223A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el inciso (1)</w:t>
      </w:r>
      <w:r w:rsidR="00AE340A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del apartado </w:t>
      </w:r>
      <w:r w:rsidR="005D223A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(e) del Artículo 16 </w:t>
      </w:r>
      <w:r w:rsidR="008A43C3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del Título IV </w:t>
      </w:r>
      <w:r w:rsidR="005D223A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de la Ley</w:t>
      </w:r>
      <w:r w:rsidR="008A43C3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 </w:t>
      </w:r>
      <w:r w:rsidR="005D223A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Núm.</w:t>
      </w:r>
      <w:r w:rsidR="008A43C3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 </w:t>
      </w:r>
      <w:r w:rsidR="005D223A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75 de 24 de junio de 1975, según enmendada, conocida como “Ley Orgánica de la Junta de Planificación de Puerto Rico”, </w:t>
      </w:r>
      <w:bookmarkStart w:id="1" w:name="_Hlk216872865"/>
      <w:r w:rsidR="005D223A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a fin de </w:t>
      </w:r>
      <w:r w:rsidR="00926868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que la Junta de Planificación requiera dentro de su reglamentación </w:t>
      </w:r>
      <w:bookmarkStart w:id="2" w:name="_Hlk216778913"/>
      <w:r w:rsidR="00926868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una inspección estructural </w:t>
      </w:r>
      <w:r w:rsidR="0086343B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“</w:t>
      </w:r>
      <w:r w:rsidR="0086343B" w:rsidRPr="00353ECC">
        <w:rPr>
          <w:rFonts w:ascii="Book Antiqua" w:eastAsia="Times New Roman" w:hAnsi="Book Antiqua"/>
          <w:i/>
          <w:iCs/>
          <w:kern w:val="0"/>
          <w:lang w:val="es-ES_tradnl"/>
          <w14:ligatures w14:val="none"/>
        </w:rPr>
        <w:t>milestone inspection</w:t>
      </w:r>
      <w:r w:rsidR="0086343B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” </w:t>
      </w:r>
      <w:r w:rsidR="00926868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a edificaciones </w:t>
      </w:r>
      <w:r w:rsidR="00884105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de </w:t>
      </w:r>
      <w:r w:rsidR="005660DD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más de </w:t>
      </w:r>
      <w:r w:rsidR="00884105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treinta (30) años de construidas, </w:t>
      </w:r>
      <w:r w:rsidR="00926868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públicas o pri</w:t>
      </w:r>
      <w:r w:rsidR="00BB2A68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vadas</w:t>
      </w:r>
      <w:r w:rsidR="00884105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,</w:t>
      </w:r>
      <w:r w:rsidR="00BB2A68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con capacidad </w:t>
      </w:r>
      <w:r w:rsidR="008B7FF5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para albergar a una cantidad</w:t>
      </w:r>
      <w:r w:rsidR="00646C4C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BB2A68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mayor de mil (1,000) personas</w:t>
      </w:r>
      <w:r w:rsidR="00A4606D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, así como cada diez (10) años subsecuentemente; </w:t>
      </w:r>
      <w:r w:rsidR="00333275" w:rsidRPr="00353ECC">
        <w:rPr>
          <w:rFonts w:ascii="Book Antiqua" w:hAnsi="Book Antiqua"/>
          <w:lang w:val="es-ES_tradnl"/>
        </w:rPr>
        <w:t>disponer mediante reglamentación los requisitos mínimos de los informes, divulgación y cumplimiento con las inspecciones estructurales;</w:t>
      </w:r>
      <w:r w:rsidR="00FE5F06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y facultar a la </w:t>
      </w:r>
      <w:r w:rsidR="00B65874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Oficina</w:t>
      </w:r>
      <w:r w:rsidR="00885606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B65874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de Gerencia </w:t>
      </w:r>
      <w:r w:rsidR="002D1033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de</w:t>
      </w:r>
      <w:r w:rsidR="00B65874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Permisos </w:t>
      </w:r>
      <w:r w:rsidR="0062194F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(</w:t>
      </w:r>
      <w:r w:rsidR="00FE5F06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OGPe</w:t>
      </w:r>
      <w:r w:rsidR="0062194F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)</w:t>
      </w:r>
      <w:r w:rsidR="00E91CCC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, así como</w:t>
      </w:r>
      <w:r w:rsidR="00FE5F06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a los municipios</w:t>
      </w:r>
      <w:r w:rsidR="006F4329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, a requerir y hacer efectivo la inspección estructural </w:t>
      </w:r>
      <w:r w:rsidR="00F46002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para este tipo de edificación</w:t>
      </w:r>
      <w:r w:rsidR="00FE5F06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270646" w:rsidRPr="00353ECC">
        <w:rPr>
          <w:rFonts w:ascii="Book Antiqua" w:eastAsia="Times New Roman" w:hAnsi="Book Antiqua"/>
          <w:kern w:val="0"/>
          <w:lang w:val="es-ES_tradnl"/>
          <w14:ligatures w14:val="none"/>
        </w:rPr>
        <w:t>en el proceso de permisos de construcción</w:t>
      </w:r>
      <w:bookmarkEnd w:id="2"/>
      <w:r w:rsidR="00F46002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ante ellos.</w:t>
      </w:r>
    </w:p>
    <w:bookmarkEnd w:id="1"/>
    <w:p w14:paraId="35BDAD7F" w14:textId="77777777" w:rsidR="004372B1" w:rsidRPr="00353ECC" w:rsidRDefault="004372B1" w:rsidP="00353ECC">
      <w:pPr>
        <w:suppressLineNumbers/>
        <w:spacing w:after="0" w:line="240" w:lineRule="auto"/>
        <w:ind w:hanging="360"/>
        <w:jc w:val="center"/>
        <w:rPr>
          <w:rFonts w:ascii="Book Antiqua" w:eastAsia="Times New Roman" w:hAnsi="Book Antiqua"/>
          <w:b/>
          <w:kern w:val="0"/>
          <w:szCs w:val="20"/>
          <w:lang w:val="es-ES_tradnl"/>
          <w14:ligatures w14:val="none"/>
        </w:rPr>
      </w:pPr>
    </w:p>
    <w:p w14:paraId="60EF5D23" w14:textId="3D13A56A" w:rsidR="00E01B53" w:rsidRPr="00353ECC" w:rsidRDefault="00E01B53" w:rsidP="00353ECC">
      <w:pPr>
        <w:suppressLineNumbers/>
        <w:spacing w:after="0" w:line="240" w:lineRule="auto"/>
        <w:ind w:hanging="360"/>
        <w:jc w:val="center"/>
        <w:rPr>
          <w:rFonts w:ascii="Book Antiqua" w:eastAsia="Times New Roman" w:hAnsi="Book Antiqua"/>
          <w:bCs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bCs/>
          <w:kern w:val="0"/>
          <w:szCs w:val="20"/>
          <w:lang w:val="es-ES_tradnl"/>
          <w14:ligatures w14:val="none"/>
        </w:rPr>
        <w:t>EXPOSICIÓN DE MOTIVOS</w:t>
      </w:r>
    </w:p>
    <w:p w14:paraId="7FB03088" w14:textId="77777777" w:rsidR="004372B1" w:rsidRPr="00353ECC" w:rsidRDefault="004372B1" w:rsidP="00353EC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4484D573" w14:textId="48B5C0BF" w:rsidR="00306E9C" w:rsidRPr="00353ECC" w:rsidRDefault="00E01B53" w:rsidP="00353EC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La </w:t>
      </w:r>
      <w:r w:rsidR="00306E9C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Constitución de Puerto Rico se fundament</w:t>
      </w:r>
      <w:r w:rsidR="006A05EC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 en el principio de propulsar el bienestar general de la población, así como en </w:t>
      </w:r>
      <w:r w:rsidR="0079169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afianzar todos los derechos fun</w:t>
      </w:r>
      <w:r w:rsidR="00AD5E6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</w:t>
      </w:r>
      <w:r w:rsidR="0079169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amentales humanos</w:t>
      </w:r>
      <w:r w:rsidR="00AD5E6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</w:t>
      </w:r>
      <w:r w:rsidR="0063401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F24DE0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Conforme a esta visión,</w:t>
      </w:r>
      <w:r w:rsidR="0063401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se consignó en</w:t>
      </w:r>
      <w:r w:rsidR="00C06D66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</w:t>
      </w:r>
      <w:r w:rsidR="0063401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Sección 18 de</w:t>
      </w:r>
      <w:r w:rsidR="00C06D66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 Artículo</w:t>
      </w:r>
      <w:r w:rsidR="0063401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II que </w:t>
      </w:r>
      <w:r w:rsidR="00B9186A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los derechos </w:t>
      </w:r>
      <w:r w:rsidR="00C06D66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 ella </w:t>
      </w:r>
      <w:r w:rsidR="00B9186A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dispuestos </w:t>
      </w:r>
      <w:r w:rsidR="0063401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no </w:t>
      </w:r>
      <w:r w:rsidR="00A9008E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disminuiría</w:t>
      </w:r>
      <w:r w:rsidR="00B9186A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n</w:t>
      </w:r>
      <w:r w:rsidR="00A9008E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 potestad conferida a la Asamblea Legislativa para aprobar </w:t>
      </w:r>
      <w:r w:rsidR="00054475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legislación que atienda asuntos relativos a la salud, seguridad pública y servicios esenciales.</w:t>
      </w:r>
    </w:p>
    <w:p w14:paraId="42A1324E" w14:textId="77777777" w:rsidR="004372B1" w:rsidRPr="00353ECC" w:rsidRDefault="004372B1" w:rsidP="00353EC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31D99E4F" w14:textId="1065BDE5" w:rsidR="00306E9C" w:rsidRPr="00353ECC" w:rsidRDefault="000F7132" w:rsidP="00353EC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En atención a esta afirmación, y a</w:t>
      </w:r>
      <w:r w:rsidR="00C06D66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nte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 necesidad de vivienda</w:t>
      </w:r>
      <w:r w:rsidR="00C06D66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en la Isla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así como </w:t>
      </w:r>
      <w:r w:rsidR="00645C88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edificaciones y construcciones que albergan entidades que ofrecen a la </w:t>
      </w:r>
      <w:r w:rsidR="0053252C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ciudadanía servicios públicos, se acogió la Ley Núm. 75 de 24 de junio de 1975, según enmendada, </w:t>
      </w:r>
      <w:r w:rsidR="0053252C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 xml:space="preserve">conocía como “Ley Orgánica de la Junta de Planificación de Puerto Rico”. El objetivo principal para la adopción de esta legislación fue </w:t>
      </w:r>
      <w:r w:rsidR="000C6DFC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orientar el desarrollo integral en Puerto</w:t>
      </w:r>
      <w:r w:rsidR="004372B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 </w:t>
      </w:r>
      <w:r w:rsidR="000C6DFC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Rico, para que este fuese </w:t>
      </w:r>
      <w:r w:rsidR="003959BE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coordinado, </w:t>
      </w:r>
      <w:r w:rsidR="0087697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efectivo</w:t>
      </w:r>
      <w:r w:rsidR="003959BE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</w:t>
      </w:r>
      <w:r w:rsidR="0087697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D52162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asequible</w:t>
      </w:r>
      <w:r w:rsidR="0087697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D52162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tomando en consideración </w:t>
      </w:r>
      <w:r w:rsidR="0087697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las necesidades sociales, de recursos humanos, ambientales, físicas y económicas, presentes y futuras. Todo lo anterior en aras de </w:t>
      </w:r>
      <w:r w:rsidR="00215F9F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promover</w:t>
      </w:r>
      <w:r w:rsidR="00B84E4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orden, solidez económica, bienestar general y seguridad.</w:t>
      </w:r>
    </w:p>
    <w:p w14:paraId="3261712C" w14:textId="77777777" w:rsidR="004372B1" w:rsidRPr="00353ECC" w:rsidRDefault="004372B1" w:rsidP="00353EC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014AB3C7" w14:textId="080FB721" w:rsidR="00561C68" w:rsidRPr="00353ECC" w:rsidRDefault="00B76FDB" w:rsidP="00353EC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Señalamos además, que la Junta de Planificación está autorizada en virtud de la Ley Núm. 75, </w:t>
      </w:r>
      <w:r w:rsidRPr="00353ECC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supra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8F7A8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DF519D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para </w:t>
      </w:r>
      <w:r w:rsidR="008F7A8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elaborar y aprobar un marco de acción reglamentaria </w:t>
      </w:r>
      <w:r w:rsidR="00E5128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cuando medien </w:t>
      </w:r>
      <w:r w:rsidR="001F57D9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emergencias,</w:t>
      </w:r>
      <w:r w:rsidR="00AE2C2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o </w:t>
      </w:r>
      <w:r w:rsidR="001F57D9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esté en peligro inminente la salud y seguridad, así como el bienestar general de la población.</w:t>
      </w:r>
      <w:r w:rsidR="00AD232E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 tenor con </w:t>
      </w:r>
      <w:r w:rsidR="00DF519D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este principio,</w:t>
      </w:r>
      <w:r w:rsidR="00AD232E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se adopt</w:t>
      </w:r>
      <w:r w:rsidR="003F6D72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ó el</w:t>
      </w:r>
      <w:r w:rsidR="00AD232E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434CE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Código de Construcción</w:t>
      </w:r>
      <w:r w:rsidR="003F6D72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de 2018</w:t>
      </w:r>
      <w:r w:rsidR="008203F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disponiéndose las normas mínimas, permisos, uso de tierra, certificaciones y licencias. Este tipo de Código ha sido enmendado subsiguientemente para atemperar las normas a la nueva tecnología y normas de seguridad</w:t>
      </w:r>
      <w:r w:rsidR="005F1132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en términos ambientales, residenciales, edificaciones, mecánicos, relativo al fuego</w:t>
      </w:r>
      <w:r w:rsidR="00606B36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a la energía de conservación, entre otras.</w:t>
      </w:r>
      <w:r w:rsidR="008203F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303C0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 términos de edificaciones </w:t>
      </w:r>
      <w:r w:rsidR="00C42B1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que alberguen gran número de personas</w:t>
      </w:r>
      <w:r w:rsidR="001F39A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</w:t>
      </w:r>
      <w:r w:rsidR="0095446D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aunque se disponen inspecciones generales, se ha entendido que con el paso del tiempo se deterioran y no se requiere de forma </w:t>
      </w:r>
      <w:r w:rsidR="00C42B1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obligatoria la realización de inspección para certificar la seguridad</w:t>
      </w:r>
      <w:r w:rsidR="001F39A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. A nivel de los distintos estados federales, se han adoptado las inspecciones </w:t>
      </w:r>
      <w:r w:rsidR="002F2D77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estructurales</w:t>
      </w:r>
      <w:r w:rsidR="00331E7F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 edificaciones antiguas, conocidas com</w:t>
      </w:r>
      <w:r w:rsidR="0055009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o “</w:t>
      </w:r>
      <w:r w:rsidR="0055009B" w:rsidRPr="00353ECC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milestone</w:t>
      </w:r>
      <w:r w:rsidR="000C47A2" w:rsidRPr="00353ECC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 xml:space="preserve"> inspections</w:t>
      </w:r>
      <w:r w:rsidR="0055009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”</w:t>
      </w:r>
      <w:r w:rsidR="00C65C89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las cuales buscan</w:t>
      </w:r>
      <w:r w:rsidR="00290AA0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asegurar la seguridad e integridad estructural de</w:t>
      </w:r>
      <w:r w:rsidR="00E6534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331E7F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</w:t>
      </w:r>
      <w:r w:rsidR="003D1D1F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ste tipo de edificación</w:t>
      </w:r>
      <w:r w:rsidR="00290AA0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al identificar el deterioro</w:t>
      </w:r>
      <w:r w:rsidR="0066490D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en balcones, techos, paredes de carga y zapata.</w:t>
      </w:r>
      <w:r w:rsidR="00C42B1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</w:p>
    <w:p w14:paraId="1E62D93B" w14:textId="77777777" w:rsidR="004372B1" w:rsidRPr="00353ECC" w:rsidRDefault="004372B1" w:rsidP="00353EC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77C69E44" w14:textId="5B6A519E" w:rsidR="004372B1" w:rsidRPr="00353ECC" w:rsidRDefault="00FA15E7" w:rsidP="00353EC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Debido a los colapsos y fallas</w:t>
      </w:r>
      <w:r w:rsidR="00396E31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en edificaciones antiguas en distintas jurisdicciones federales</w:t>
      </w:r>
      <w:r w:rsidR="007E3C07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, particularmente en el estado de la Florida, se </w:t>
      </w:r>
      <w:r w:rsidR="008216E3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determinó adoptar </w:t>
      </w:r>
      <w:r w:rsidR="007E3C07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las inspecciones por etapa o “</w:t>
      </w:r>
      <w:r w:rsidR="007E3C07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milestone ins</w:t>
      </w:r>
      <w:r w:rsidR="00566A40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pections</w:t>
      </w:r>
      <w:r w:rsidR="00566A40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” y estudios de reservas para garantizar el mantenimiento estructural de estas edificaciones. </w:t>
      </w:r>
      <w:r w:rsidR="00C64DBF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La Asamblea Legislativa estima indispensable que Puerto Rico adopte este tipo de inspección debido al ambiente costero, de alta humedad y sismicidad</w:t>
      </w:r>
      <w:r w:rsidR="00274B51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, así como el envejecimiento del inventario de edificaciones </w:t>
      </w:r>
      <w:r w:rsidR="00546D85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construidas. Por tanto, se acoge como medida preventiva </w:t>
      </w:r>
      <w:r w:rsidR="00A25F63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las inspecciones estructurales</w:t>
      </w:r>
      <w:r w:rsidR="00147137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“</w:t>
      </w:r>
      <w:r w:rsidR="00147137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milestone</w:t>
      </w:r>
      <w:r w:rsidR="00147137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”</w:t>
      </w:r>
      <w:r w:rsidR="00A25F63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para edificaciones de alta ocupación que </w:t>
      </w:r>
      <w:r w:rsidR="009C1CB4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tuvieren más de treinta (30) años de construidas, y </w:t>
      </w:r>
      <w:r w:rsidR="00C92E5D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diez (10) años subsiguientemente, para garantizar a la población puertorriqueña </w:t>
      </w:r>
      <w:r w:rsidR="00DF571B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la seguridad e integridad estructural de las edificaciones</w:t>
      </w:r>
      <w:r w:rsidR="00263579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, y con ello,</w:t>
      </w:r>
      <w:r w:rsidR="00C92E5D"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su seguridad.</w:t>
      </w:r>
      <w:r w:rsidRPr="00353ECC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</w:t>
      </w:r>
    </w:p>
    <w:p w14:paraId="34C4DC8A" w14:textId="77777777" w:rsidR="004372B1" w:rsidRPr="00353ECC" w:rsidRDefault="004372B1" w:rsidP="00353EC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</w:p>
    <w:p w14:paraId="18471366" w14:textId="77777777" w:rsidR="00E01B53" w:rsidRPr="00353ECC" w:rsidRDefault="00E01B53" w:rsidP="00353ECC">
      <w:pPr>
        <w:suppressLineNumbers/>
        <w:spacing w:after="0" w:line="480" w:lineRule="auto"/>
        <w:jc w:val="both"/>
        <w:rPr>
          <w:rFonts w:ascii="Book Antiqua" w:eastAsia="Times New Roman" w:hAnsi="Book Antiqua"/>
          <w:bCs/>
          <w:i/>
          <w:iCs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bCs/>
          <w:i/>
          <w:iCs/>
          <w:kern w:val="0"/>
          <w:szCs w:val="20"/>
          <w:lang w:val="es-PR"/>
          <w14:ligatures w14:val="none"/>
        </w:rPr>
        <w:t>DECRÉTASE POR LA ASAMBLEA LEGISLATIVA DE PUERTO RICO:</w:t>
      </w:r>
    </w:p>
    <w:bookmarkEnd w:id="0"/>
    <w:p w14:paraId="79BFE2A1" w14:textId="790CB051" w:rsidR="00E01B53" w:rsidRPr="00353ECC" w:rsidRDefault="00E01B53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 xml:space="preserve">Artículo 1.- Se </w:t>
      </w:r>
      <w:bookmarkStart w:id="3" w:name="_Hlk210803547"/>
      <w:r w:rsidR="00881F77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enmienda el inciso (1</w:t>
      </w:r>
      <w:r w:rsidR="00ED171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)</w:t>
      </w:r>
      <w:r w:rsidR="00D20E98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del apartado </w:t>
      </w:r>
      <w:r w:rsidR="00ED171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(e) del </w:t>
      </w:r>
      <w:r w:rsidRPr="00353ECC">
        <w:rPr>
          <w:rFonts w:ascii="Book Antiqua" w:eastAsia="Times New Roman" w:hAnsi="Book Antiqua"/>
          <w:kern w:val="0"/>
          <w:lang w:val="es-ES_tradnl"/>
          <w14:ligatures w14:val="none"/>
        </w:rPr>
        <w:t>Artículo</w:t>
      </w:r>
      <w:r w:rsidR="00ED1714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16</w:t>
      </w:r>
      <w:r w:rsidR="008A43C3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del Título IV</w:t>
      </w:r>
      <w:r w:rsidR="00ED1714" w:rsidRPr="00353ECC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de la Ley Núm. 75 de 24 de junio de 1975, según enmendada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bookmarkEnd w:id="3"/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para que se lea como sigue:</w:t>
      </w:r>
    </w:p>
    <w:p w14:paraId="2D74A197" w14:textId="1FDA6E77" w:rsidR="008A43C3" w:rsidRPr="00353ECC" w:rsidRDefault="006308A9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>“</w:t>
      </w:r>
      <w:r w:rsidR="007D46C7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TÍTULO IV.—FUNCIONES Y FACULTADES ESPECIALES DE LA JUNTA</w:t>
      </w:r>
    </w:p>
    <w:p w14:paraId="0542BAC7" w14:textId="77257F5E" w:rsidR="007D46C7" w:rsidRPr="00353ECC" w:rsidRDefault="007D46C7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ab/>
        <w:t>Artículo 13.—</w:t>
      </w:r>
      <w:r w:rsidR="00FC4D0A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Plan de Desarrollo Integral de Puerto Rico</w:t>
      </w:r>
    </w:p>
    <w:p w14:paraId="779AA4E4" w14:textId="49C0A2DA" w:rsidR="00FC4D0A" w:rsidRPr="00353ECC" w:rsidRDefault="00FC4D0A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…</w:t>
      </w:r>
    </w:p>
    <w:p w14:paraId="77830AE9" w14:textId="3DE5F6CD" w:rsidR="00662AF8" w:rsidRPr="00353ECC" w:rsidRDefault="00662AF8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>Artículo 13-A.—</w:t>
      </w:r>
      <w:r w:rsidR="00DE643E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Consulta de Ubicación</w:t>
      </w:r>
    </w:p>
    <w:p w14:paraId="5F5A5453" w14:textId="108E81E5" w:rsidR="00DE643E" w:rsidRPr="00353ECC" w:rsidRDefault="00DE643E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…</w:t>
      </w:r>
    </w:p>
    <w:p w14:paraId="577B5C72" w14:textId="3DB8FD06" w:rsidR="00FC4D0A" w:rsidRPr="00353ECC" w:rsidRDefault="00FC4D0A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>Artículo 14.—</w:t>
      </w:r>
      <w:r w:rsidR="006D5067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Planes de Usos de Terrenos</w:t>
      </w:r>
    </w:p>
    <w:p w14:paraId="44480173" w14:textId="0531E26E" w:rsidR="006D5067" w:rsidRPr="00353ECC" w:rsidRDefault="006D5067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…</w:t>
      </w:r>
    </w:p>
    <w:p w14:paraId="3B431799" w14:textId="4A172B9B" w:rsidR="006D5067" w:rsidRPr="00353ECC" w:rsidRDefault="006D5067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>Artículo 15.—Programa de Inversiones de Cuatro Años.</w:t>
      </w:r>
    </w:p>
    <w:p w14:paraId="6F420485" w14:textId="4CA5E91E" w:rsidR="00E62165" w:rsidRPr="00353ECC" w:rsidRDefault="00E62165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…</w:t>
      </w:r>
    </w:p>
    <w:p w14:paraId="37591D37" w14:textId="0F8FF58A" w:rsidR="00881F77" w:rsidRPr="00353ECC" w:rsidRDefault="00E62165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6308A9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Artículo 16.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—</w:t>
      </w:r>
      <w:r w:rsidR="006308A9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Reglamentos</w:t>
      </w:r>
    </w:p>
    <w:p w14:paraId="229B703F" w14:textId="4DF1CA0E" w:rsidR="006308A9" w:rsidRPr="00353ECC" w:rsidRDefault="006308A9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>La Junta adoptará, entre otros, los siguientes reglamentos</w:t>
      </w:r>
      <w:r w:rsidR="00E335C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:</w:t>
      </w:r>
    </w:p>
    <w:p w14:paraId="724B0769" w14:textId="5A2F5EEA" w:rsidR="00E335C4" w:rsidRPr="00353ECC" w:rsidRDefault="00E62165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 xml:space="preserve">(1) </w:t>
      </w:r>
      <w:r w:rsidR="001810DD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Reglamento de Zonificación</w:t>
      </w:r>
    </w:p>
    <w:p w14:paraId="060B0A42" w14:textId="239C5EBA" w:rsidR="001810DD" w:rsidRPr="00353ECC" w:rsidRDefault="000D37C8" w:rsidP="00353ECC">
      <w:pPr>
        <w:pStyle w:val="ListParagraph"/>
        <w:numPr>
          <w:ilvl w:val="0"/>
          <w:numId w:val="2"/>
        </w:num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b/>
          <w:bCs/>
          <w:kern w:val="0"/>
          <w:szCs w:val="20"/>
          <w:lang w:val="es-PR"/>
          <w14:ligatures w14:val="none"/>
        </w:rPr>
        <w:t>[</w:t>
      </w:r>
      <w:r w:rsidR="00033F7B" w:rsidRPr="00353ECC">
        <w:rPr>
          <w:rFonts w:ascii="Book Antiqua" w:eastAsia="Times New Roman" w:hAnsi="Book Antiqua"/>
          <w:b/>
          <w:bCs/>
          <w:kern w:val="0"/>
          <w:szCs w:val="20"/>
          <w:lang w:val="es-PR"/>
          <w14:ligatures w14:val="none"/>
        </w:rPr>
        <w:t>P</w:t>
      </w:r>
      <w:r w:rsidR="00705CFB" w:rsidRPr="00353ECC">
        <w:rPr>
          <w:rFonts w:ascii="Book Antiqua" w:eastAsia="Times New Roman" w:hAnsi="Book Antiqua"/>
          <w:b/>
          <w:bCs/>
          <w:kern w:val="0"/>
          <w:szCs w:val="20"/>
          <w:lang w:val="es-PR"/>
          <w14:ligatures w14:val="none"/>
        </w:rPr>
        <w:t>ara</w:t>
      </w:r>
      <w:r w:rsidRPr="00353ECC">
        <w:rPr>
          <w:rFonts w:ascii="Book Antiqua" w:eastAsia="Times New Roman" w:hAnsi="Book Antiqua"/>
          <w:b/>
          <w:bCs/>
          <w:kern w:val="0"/>
          <w:szCs w:val="20"/>
          <w:lang w:val="es-PR"/>
          <w14:ligatures w14:val="none"/>
        </w:rPr>
        <w:t>]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Pr="00353ECC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para</w:t>
      </w:r>
      <w:r w:rsidR="00705CF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establecer distritos o zonas, tanto en las áreas urbanas como rurales, el uso y desarrollo de los terrenos y edificios públicos y privados, para tales fines como industria, comercio, transporte, residencia, actividades cívicas y públicas o semipúblicas</w:t>
      </w:r>
      <w:r w:rsidR="00904AD0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deportivas, de recreo, incluyendo playas y balnear</w:t>
      </w:r>
      <w:r w:rsidR="006342EB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i</w:t>
      </w:r>
      <w:r w:rsidR="00904AD0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os</w:t>
      </w:r>
      <w:r w:rsidR="006B1CB2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 Las consultas de ubicación que se aprueben a tenor con esta Ley o la Ley 161-2009, según enmendada, conocida como “Ley para la Reforma del Proceso de Permisos de Puerto Rico”, tendrán la vigencia que aplique según lo dispuesto en el Reglamento</w:t>
      </w:r>
      <w:r w:rsidR="0078450F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 </w:t>
      </w:r>
      <w:r w:rsidR="006B1CB2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Conjunto de Permisos para Obras de Construcción y Usos de Terrenos</w:t>
      </w:r>
      <w:r w:rsidRPr="00353ECC">
        <w:rPr>
          <w:rFonts w:ascii="Book Antiqua" w:eastAsia="Times New Roman" w:hAnsi="Book Antiqua"/>
          <w:b/>
          <w:bCs/>
          <w:kern w:val="0"/>
          <w:szCs w:val="20"/>
          <w:lang w:val="es-PR"/>
          <w14:ligatures w14:val="none"/>
        </w:rPr>
        <w:t>[.]</w:t>
      </w:r>
      <w:r w:rsidRPr="00353ECC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;</w:t>
      </w:r>
    </w:p>
    <w:p w14:paraId="40EED2CE" w14:textId="1C64D74D" w:rsidR="002B079E" w:rsidRPr="00353ECC" w:rsidRDefault="002B079E" w:rsidP="00353ECC">
      <w:pPr>
        <w:pStyle w:val="ListParagraph"/>
        <w:numPr>
          <w:ilvl w:val="0"/>
          <w:numId w:val="2"/>
        </w:num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…</w:t>
      </w:r>
    </w:p>
    <w:p w14:paraId="72CF1C17" w14:textId="513DD4ED" w:rsidR="002B079E" w:rsidRPr="00353ECC" w:rsidRDefault="00391E8D" w:rsidP="00353ECC">
      <w:pPr>
        <w:pStyle w:val="ListParagraph"/>
        <w:numPr>
          <w:ilvl w:val="0"/>
          <w:numId w:val="2"/>
        </w:num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…</w:t>
      </w:r>
    </w:p>
    <w:p w14:paraId="3AC19636" w14:textId="3D7F65A6" w:rsidR="00391E8D" w:rsidRPr="00353ECC" w:rsidRDefault="00391E8D" w:rsidP="00353ECC">
      <w:pPr>
        <w:pStyle w:val="ListParagraph"/>
        <w:numPr>
          <w:ilvl w:val="0"/>
          <w:numId w:val="2"/>
        </w:num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>…</w:t>
      </w:r>
    </w:p>
    <w:p w14:paraId="735A94AD" w14:textId="6AD27AE1" w:rsidR="00AC0695" w:rsidRPr="00353ECC" w:rsidRDefault="001D2942" w:rsidP="00353ECC">
      <w:pPr>
        <w:pStyle w:val="ListParagraph"/>
        <w:numPr>
          <w:ilvl w:val="0"/>
          <w:numId w:val="2"/>
        </w:num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para proveer para la construcción de edificios, incluyendo la altura</w:t>
      </w:r>
      <w:r w:rsidR="00380FC6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 extensión de </w:t>
      </w:r>
      <w:r w:rsidR="00264834" w:rsidRPr="00353ECC">
        <w:rPr>
          <w:rFonts w:ascii="Book Antiqua" w:eastAsia="Times New Roman" w:hAnsi="Book Antiqua"/>
          <w:b/>
          <w:bCs/>
          <w:kern w:val="0"/>
          <w:szCs w:val="20"/>
          <w:lang w:val="es-PR"/>
          <w14:ligatures w14:val="none"/>
        </w:rPr>
        <w:t>[</w:t>
      </w:r>
      <w:r w:rsidR="00380FC6" w:rsidRPr="00353ECC">
        <w:rPr>
          <w:rFonts w:ascii="Book Antiqua" w:eastAsia="Times New Roman" w:hAnsi="Book Antiqua"/>
          <w:b/>
          <w:bCs/>
          <w:kern w:val="0"/>
          <w:szCs w:val="20"/>
          <w:lang w:val="es-PR"/>
          <w14:ligatures w14:val="none"/>
        </w:rPr>
        <w:t>los mismos</w:t>
      </w:r>
      <w:r w:rsidR="00264834" w:rsidRPr="00353ECC">
        <w:rPr>
          <w:rFonts w:ascii="Book Antiqua" w:eastAsia="Times New Roman" w:hAnsi="Book Antiqua"/>
          <w:b/>
          <w:bCs/>
          <w:kern w:val="0"/>
          <w:szCs w:val="20"/>
          <w:lang w:val="es-PR"/>
          <w14:ligatures w14:val="none"/>
        </w:rPr>
        <w:t>]</w:t>
      </w:r>
      <w:r w:rsidR="0026483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264834" w:rsidRPr="00353ECC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estos</w:t>
      </w:r>
      <w:r w:rsidR="00380FC6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y densidad de la población</w:t>
      </w:r>
      <w:r w:rsidR="001767BE" w:rsidRPr="00353ECC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.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 xml:space="preserve"> </w:t>
      </w:r>
      <w:bookmarkStart w:id="4" w:name="_Hlk216872658"/>
      <w:r w:rsidR="000429AF" w:rsidRPr="00353ECC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 xml:space="preserve">Asimismo, se requerirá 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una inspección estructural a edificaciones </w:t>
      </w:r>
      <w:r w:rsidR="0037306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que consten con 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más de treinta (30) años de construidas, públicas o privadas, </w:t>
      </w:r>
      <w:r w:rsidR="0037306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y que tengan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capacidad </w:t>
      </w:r>
      <w:r w:rsidR="006163F7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para albergar a más de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mil (1,000) personas</w:t>
      </w:r>
      <w:r w:rsidR="001F738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. Una vez realizada esta primera inspección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</w:t>
      </w:r>
      <w:r w:rsidR="001F738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cada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diez (10) años subsecuentemente</w:t>
      </w:r>
      <w:r w:rsidR="001F738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se </w:t>
      </w:r>
      <w:r w:rsidR="009B1D50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efectuará otra inspección estructural. </w:t>
      </w:r>
      <w:r w:rsidR="008656A1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La reglamentación contendrá </w:t>
      </w:r>
      <w:r w:rsidR="00B92027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la definición de inspección</w:t>
      </w:r>
      <w:r w:rsidR="002E588A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</w:t>
      </w:r>
      <w:r w:rsidR="008A67E4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de “milestone”</w:t>
      </w:r>
      <w:r w:rsidR="008F57D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</w:t>
      </w:r>
      <w:r w:rsidR="008A67E4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que </w:t>
      </w:r>
      <w:r w:rsidR="008F57D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consistirá de </w:t>
      </w:r>
      <w:r w:rsidR="008A67E4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dos (2) etapas</w:t>
      </w:r>
      <w:r w:rsidR="00DE49AA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, deterioro estructural sustancial, así como </w:t>
      </w:r>
      <w:r w:rsidR="008656A1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los requisitos </w:t>
      </w:r>
      <w:r w:rsidR="00646C4C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que deben observarse </w:t>
      </w:r>
      <w:r w:rsidR="008656A1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en las inspecciones, </w:t>
      </w:r>
      <w:r w:rsidR="00B731CB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entre ellos: evaluación visual y documental por un ingeniero estruc</w:t>
      </w:r>
      <w:r w:rsidR="00FE0B9B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tural </w:t>
      </w:r>
      <w:r w:rsidR="00C57B3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o arquitecto </w:t>
      </w:r>
      <w:r w:rsidR="00FE0B9B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licenciado en Puerto Rico para identificar signos como</w:t>
      </w:r>
      <w:r w:rsidR="006406F6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:</w:t>
      </w:r>
      <w:r w:rsidR="00FE0B9B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grietas, corrosión, deformaciones, asentamientos, filtraciones y revisar las carga</w:t>
      </w:r>
      <w:r w:rsidR="00B30426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s</w:t>
      </w:r>
      <w:r w:rsidR="00FE0B9B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de ocupación, historial de mantenimiento</w:t>
      </w:r>
      <w:r w:rsidR="00235EE8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y eventos extraordinarios</w:t>
      </w:r>
      <w:r w:rsidR="00F918B2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</w:t>
      </w:r>
      <w:r w:rsidR="006D1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en todas las facetas de la estructura</w:t>
      </w:r>
      <w:r w:rsidR="00C57B3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</w:t>
      </w:r>
      <w:r w:rsidR="00F918B2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conocida como la Etapa I</w:t>
      </w:r>
      <w:r w:rsidR="008F57D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y que será completada en un término no mayor de ciento ochenta (180) días</w:t>
      </w:r>
      <w:r w:rsidR="00126FB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a partir de la notificación requiriendo esta inspección</w:t>
      </w:r>
      <w:r w:rsidR="00235EE8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. </w:t>
      </w:r>
    </w:p>
    <w:p w14:paraId="17CB73A7" w14:textId="41AE673C" w:rsidR="00235EE8" w:rsidRPr="00353ECC" w:rsidRDefault="00AC0695" w:rsidP="00353ECC">
      <w:pPr>
        <w:pStyle w:val="ListParagraph"/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ab/>
      </w:r>
      <w:r w:rsidR="00235EE8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Si se detectaren hallazgos significativos</w:t>
      </w:r>
      <w:r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de deterioro</w:t>
      </w:r>
      <w:r w:rsidR="00235EE8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</w:t>
      </w:r>
      <w:r w:rsidR="00F918B2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en la Etapa 2,</w:t>
      </w:r>
      <w:r w:rsidR="00235EE8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se realizarán pruebas</w:t>
      </w:r>
      <w:r w:rsidR="00E92133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 ensayos, sondeos</w:t>
      </w:r>
      <w:r w:rsidR="00235EE8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o estudios </w:t>
      </w:r>
      <w:r w:rsidR="003B26E4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para verificar la corrosión, modelaje analítico sísmico y cargas de viento, emitiéndose un informe diagnóstico y plan de acción.</w:t>
      </w:r>
      <w:r w:rsidR="00A3703A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Para proceder a la Certificación de Seguridad Estructural</w:t>
      </w:r>
      <w:r w:rsidR="00515F4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, que consta de una conclusión firmada y sellada por el ingeniero </w:t>
      </w:r>
      <w:r w:rsidR="000C66BC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licenciado</w:t>
      </w:r>
      <w:r w:rsidR="00515F4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responsable</w:t>
      </w:r>
      <w:r w:rsidR="00351AB0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 se</w:t>
      </w:r>
      <w:r w:rsidR="00515F4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indicará si la estructura es</w:t>
      </w:r>
      <w:r w:rsidR="000C66BC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tá: (a) apta para reparaciones; (b) apta con reparaciones y plazo; y (c) no apta.</w:t>
      </w:r>
      <w:r w:rsidR="00901321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</w:t>
      </w:r>
    </w:p>
    <w:p w14:paraId="6352862F" w14:textId="64D37308" w:rsidR="00395C7B" w:rsidRPr="00353ECC" w:rsidRDefault="00D0739A" w:rsidP="00353ECC">
      <w:pPr>
        <w:tabs>
          <w:tab w:val="left" w:pos="360"/>
        </w:tabs>
        <w:spacing w:after="0" w:line="480" w:lineRule="auto"/>
        <w:ind w:left="360"/>
        <w:jc w:val="both"/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</w:pPr>
      <w:r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lastRenderedPageBreak/>
        <w:tab/>
      </w:r>
      <w:r w:rsidR="00351AB0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L</w:t>
      </w:r>
      <w:r w:rsidR="00911A87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a Junta establecerá </w:t>
      </w:r>
      <w:r w:rsidR="00351AB0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mediante reglamento al respecto</w:t>
      </w:r>
      <w:r w:rsidR="00911A87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</w:t>
      </w:r>
      <w:r w:rsidR="008656A1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la información que contendrán los informes sobre estas</w:t>
      </w:r>
      <w:r w:rsidR="00646C4C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 que serán remitidos a la Junta de Planificación</w:t>
      </w:r>
      <w:r w:rsidR="0002026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y entidades gubernamentales pertinentes. Asimismo</w:t>
      </w:r>
      <w:r w:rsidR="00ED7116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</w:t>
      </w:r>
      <w:r w:rsidR="00020269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se autoriza </w:t>
      </w:r>
      <w:r w:rsidR="00351AB0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a</w:t>
      </w:r>
      <w:r w:rsidR="00ED7116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la 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Oficina</w:t>
      </w:r>
      <w:r w:rsidR="00E73F3F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 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de Gerencia </w:t>
      </w:r>
      <w:r w:rsidR="00351AB0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de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Permisos </w:t>
      </w:r>
      <w:r w:rsidR="000727EF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(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OGPe</w:t>
      </w:r>
      <w:r w:rsidR="000727EF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)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y los municipios </w:t>
      </w:r>
      <w:r w:rsidR="00351AB0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hacer</w:t>
      </w:r>
      <w:r w:rsidR="00AB2612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efectivo el requerimiento de inspección estructural a este tipo de edificación 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en </w:t>
      </w:r>
      <w:r w:rsidR="00ED7116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los procesos</w:t>
      </w:r>
      <w:r w:rsidR="00DD7EAD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de permisos de construcción</w:t>
      </w:r>
      <w:r w:rsidR="005B3673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</w:t>
      </w:r>
      <w:r w:rsidR="00461171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que les fueren remitid</w:t>
      </w:r>
      <w:r w:rsidR="006052A2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os</w:t>
      </w:r>
      <w:r w:rsidR="00FD6D9E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, dentro de lo cual tendrán que adoptar un registro digital público</w:t>
      </w:r>
      <w:r w:rsidR="00FD60CA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</w:t>
      </w:r>
      <w:r w:rsidR="00351AB0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en el que</w:t>
      </w:r>
      <w:r w:rsidR="00FD60CA" w:rsidRPr="00353ECC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 xml:space="preserve"> conste la certificación de la estructura</w:t>
      </w:r>
      <w:r w:rsidR="005B367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</w:t>
      </w:r>
    </w:p>
    <w:bookmarkEnd w:id="4"/>
    <w:p w14:paraId="5258CC06" w14:textId="29A6CD5E" w:rsidR="00395C7B" w:rsidRPr="00036B02" w:rsidRDefault="00395C7B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pt-PT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>(f)</w:t>
      </w:r>
      <w:r w:rsidR="00CF4908"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 xml:space="preserve"> …</w:t>
      </w:r>
    </w:p>
    <w:p w14:paraId="15701F8D" w14:textId="73F5BBB8" w:rsidR="00395C7B" w:rsidRPr="00036B02" w:rsidRDefault="00395C7B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pt-PT"/>
          <w14:ligatures w14:val="none"/>
        </w:rPr>
      </w:pPr>
      <w:r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ab/>
        <w:t>(g) …</w:t>
      </w:r>
    </w:p>
    <w:p w14:paraId="7BED7082" w14:textId="59C3F61F" w:rsidR="00395C7B" w:rsidRPr="00036B02" w:rsidRDefault="00395C7B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pt-PT"/>
          <w14:ligatures w14:val="none"/>
        </w:rPr>
      </w:pPr>
      <w:r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ab/>
        <w:t>(h) …</w:t>
      </w:r>
    </w:p>
    <w:p w14:paraId="1DF0710A" w14:textId="5DE2AD08" w:rsidR="00395C7B" w:rsidRPr="00036B02" w:rsidRDefault="00395C7B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pt-PT"/>
          <w14:ligatures w14:val="none"/>
        </w:rPr>
      </w:pPr>
      <w:r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ab/>
        <w:t>(i) …</w:t>
      </w:r>
    </w:p>
    <w:p w14:paraId="7E7DAA24" w14:textId="11A67506" w:rsidR="00395C7B" w:rsidRPr="00036B02" w:rsidRDefault="0096587E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pt-PT"/>
          <w14:ligatures w14:val="none"/>
        </w:rPr>
      </w:pPr>
      <w:r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ab/>
      </w:r>
      <w:r w:rsidR="00395C7B"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>(j)…</w:t>
      </w:r>
    </w:p>
    <w:p w14:paraId="055F550F" w14:textId="77777777" w:rsidR="0096587E" w:rsidRPr="00036B02" w:rsidRDefault="0096587E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pt-PT"/>
          <w14:ligatures w14:val="none"/>
        </w:rPr>
      </w:pPr>
      <w:r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ab/>
        <w:t xml:space="preserve">(k) … </w:t>
      </w:r>
    </w:p>
    <w:p w14:paraId="5E98C98B" w14:textId="77777777" w:rsidR="00DA2EE7" w:rsidRPr="00036B02" w:rsidRDefault="00DA2EE7" w:rsidP="00353ECC">
      <w:pPr>
        <w:tabs>
          <w:tab w:val="left" w:pos="18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pt-PT"/>
          <w14:ligatures w14:val="none"/>
        </w:rPr>
      </w:pPr>
      <w:r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ab/>
        <w:t>(2) …</w:t>
      </w:r>
    </w:p>
    <w:p w14:paraId="730B372E" w14:textId="72A2D790" w:rsidR="0096587E" w:rsidRPr="00036B02" w:rsidRDefault="00DA2EE7" w:rsidP="00353ECC">
      <w:pPr>
        <w:tabs>
          <w:tab w:val="left" w:pos="18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pt-PT"/>
          <w14:ligatures w14:val="none"/>
        </w:rPr>
      </w:pPr>
      <w:r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ab/>
        <w:t>(3) …</w:t>
      </w:r>
      <w:r w:rsidR="0096587E"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>“</w:t>
      </w:r>
    </w:p>
    <w:p w14:paraId="34BF9F2D" w14:textId="30E8ABFF" w:rsidR="001A6F11" w:rsidRPr="00353ECC" w:rsidRDefault="00E01B53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ab/>
      </w:r>
      <w:r w:rsidR="001A6F11" w:rsidRPr="00036B02">
        <w:rPr>
          <w:rFonts w:ascii="Book Antiqua" w:eastAsia="Times New Roman" w:hAnsi="Book Antiqua"/>
          <w:kern w:val="0"/>
          <w:szCs w:val="20"/>
          <w:lang w:val="pt-PT"/>
          <w14:ligatures w14:val="none"/>
        </w:rPr>
        <w:t xml:space="preserve">Artículo 2.- </w:t>
      </w:r>
      <w:r w:rsidR="001A6F1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Reglamentación</w:t>
      </w:r>
    </w:p>
    <w:p w14:paraId="364A404A" w14:textId="2070538B" w:rsidR="001A6F11" w:rsidRPr="00353ECC" w:rsidRDefault="001A6F11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 xml:space="preserve">La Junta de Planificación, así como la Oficina de Gerencia </w:t>
      </w:r>
      <w:r w:rsidR="00351AB0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de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Permisos y los municipios adoptarán, en un término de ciento veinte (120) días, </w:t>
      </w:r>
      <w:r w:rsidR="006B0AC4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 consonancia </w:t>
      </w:r>
      <w:r w:rsidR="001F42B6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con 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sus poderes pertinentes otorgados, unas pautas reglamentarias para poner en vigor todos los elementos dispuestos en esta Ley. </w:t>
      </w:r>
    </w:p>
    <w:p w14:paraId="3FA59EDF" w14:textId="29ACF699" w:rsidR="00E01B53" w:rsidRPr="00353ECC" w:rsidRDefault="001A6F11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E01B5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Artículo 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3</w:t>
      </w:r>
      <w:r w:rsidR="00E01B53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.- Separabilidad</w:t>
      </w:r>
    </w:p>
    <w:p w14:paraId="4FCC9F76" w14:textId="77777777" w:rsidR="00E01B53" w:rsidRPr="00353ECC" w:rsidRDefault="00E01B53" w:rsidP="00353EC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ab/>
        <w:t>Si cualquier cláusula, párrafo, subpárrafo, artículo, disposición, sección o parte de esta Ley fuera anulada o declarada inconstitucional por un Tribunal con jurisdicción, la sentencia a tal efecto dictada no afectará, perjudicará, ni invalidará el resto de esta Ley. El efecto de dicha sentencia quedará limitado a la cláusula, párrafo, subpárrafo, artículo, disposición, sección o parte de esta que así hubiere sido anulada o declarada inconstitucional.</w:t>
      </w:r>
    </w:p>
    <w:p w14:paraId="780E5286" w14:textId="3EABDB88" w:rsidR="00E01B53" w:rsidRPr="00353ECC" w:rsidRDefault="00E01B53" w:rsidP="00353ECC">
      <w:pPr>
        <w:spacing w:after="0" w:line="48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Artículo </w:t>
      </w:r>
      <w:r w:rsidR="001A6F11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4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.- Vigencia</w:t>
      </w:r>
    </w:p>
    <w:p w14:paraId="32945CEB" w14:textId="47463155" w:rsidR="00D61E46" w:rsidRPr="00353ECC" w:rsidRDefault="00E01B53" w:rsidP="00353ECC">
      <w:pPr>
        <w:spacing w:after="0" w:line="48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Esta Ley entrará en vigor inmediatamente después de su aprobación, pero será efectiva una vez transcurra el término dispuesto en el Artículo </w:t>
      </w:r>
      <w:r w:rsidR="00921760"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2</w:t>
      </w:r>
      <w:r w:rsidRPr="00353ECC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</w:t>
      </w:r>
    </w:p>
    <w:sectPr w:rsidR="00D61E46" w:rsidRPr="00353ECC" w:rsidSect="000152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08DA8" w14:textId="77777777" w:rsidR="0051214F" w:rsidRDefault="0051214F" w:rsidP="00AF23CB">
      <w:pPr>
        <w:spacing w:after="0" w:line="240" w:lineRule="auto"/>
      </w:pPr>
      <w:r>
        <w:separator/>
      </w:r>
    </w:p>
  </w:endnote>
  <w:endnote w:type="continuationSeparator" w:id="0">
    <w:p w14:paraId="0B0BE5B1" w14:textId="77777777" w:rsidR="0051214F" w:rsidRDefault="0051214F" w:rsidP="00AF2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2622" w14:textId="77777777" w:rsidR="007E7937" w:rsidRDefault="007E7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0BCD" w14:textId="77777777" w:rsidR="007E7937" w:rsidRDefault="007E7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BD238" w14:textId="77777777" w:rsidR="007E7937" w:rsidRDefault="007E7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6121A" w14:textId="77777777" w:rsidR="0051214F" w:rsidRDefault="0051214F" w:rsidP="00AF23CB">
      <w:pPr>
        <w:spacing w:after="0" w:line="240" w:lineRule="auto"/>
      </w:pPr>
      <w:r>
        <w:separator/>
      </w:r>
    </w:p>
  </w:footnote>
  <w:footnote w:type="continuationSeparator" w:id="0">
    <w:p w14:paraId="38A576F4" w14:textId="77777777" w:rsidR="0051214F" w:rsidRDefault="0051214F" w:rsidP="00AF2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0702" w14:textId="5C1DE0CA" w:rsidR="007E7937" w:rsidRDefault="007E7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CE981" w14:textId="01457A0E" w:rsidR="00AF23CB" w:rsidRPr="009F1161" w:rsidRDefault="0051214F">
    <w:pPr>
      <w:pStyle w:val="Header"/>
      <w:jc w:val="center"/>
      <w:rPr>
        <w:rFonts w:ascii="Book Antiqua" w:hAnsi="Book Antiqua"/>
      </w:rPr>
    </w:pPr>
    <w:sdt>
      <w:sdtPr>
        <w:id w:val="-1634709807"/>
        <w:docPartObj>
          <w:docPartGallery w:val="Page Numbers (Top of Page)"/>
          <w:docPartUnique/>
        </w:docPartObj>
      </w:sdtPr>
      <w:sdtEndPr>
        <w:rPr>
          <w:rFonts w:ascii="Book Antiqua" w:hAnsi="Book Antiqua"/>
          <w:noProof/>
        </w:rPr>
      </w:sdtEndPr>
      <w:sdtContent>
        <w:r w:rsidR="00AF23CB" w:rsidRPr="009F1161">
          <w:rPr>
            <w:rFonts w:ascii="Book Antiqua" w:hAnsi="Book Antiqua"/>
          </w:rPr>
          <w:fldChar w:fldCharType="begin"/>
        </w:r>
        <w:r w:rsidR="00AF23CB" w:rsidRPr="009F1161">
          <w:rPr>
            <w:rFonts w:ascii="Book Antiqua" w:hAnsi="Book Antiqua"/>
          </w:rPr>
          <w:instrText xml:space="preserve"> PAGE   \* MERGEFORMAT </w:instrText>
        </w:r>
        <w:r w:rsidR="00AF23CB" w:rsidRPr="009F1161">
          <w:rPr>
            <w:rFonts w:ascii="Book Antiqua" w:hAnsi="Book Antiqua"/>
          </w:rPr>
          <w:fldChar w:fldCharType="separate"/>
        </w:r>
        <w:r w:rsidR="00AF23CB" w:rsidRPr="009F1161">
          <w:rPr>
            <w:rFonts w:ascii="Book Antiqua" w:hAnsi="Book Antiqua"/>
            <w:noProof/>
          </w:rPr>
          <w:t>2</w:t>
        </w:r>
        <w:r w:rsidR="00AF23CB" w:rsidRPr="009F1161">
          <w:rPr>
            <w:rFonts w:ascii="Book Antiqua" w:hAnsi="Book Antiqua"/>
            <w:noProof/>
          </w:rPr>
          <w:fldChar w:fldCharType="end"/>
        </w:r>
      </w:sdtContent>
    </w:sdt>
  </w:p>
  <w:p w14:paraId="5940BD9D" w14:textId="77777777" w:rsidR="00AF23CB" w:rsidRDefault="00AF23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3BD16" w14:textId="5B6C12E6" w:rsidR="007E7937" w:rsidRDefault="007E7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25D1E"/>
    <w:multiLevelType w:val="hybridMultilevel"/>
    <w:tmpl w:val="AE161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AF4695"/>
    <w:multiLevelType w:val="hybridMultilevel"/>
    <w:tmpl w:val="05B44070"/>
    <w:lvl w:ilvl="0" w:tplc="939C3B5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795517">
    <w:abstractNumId w:val="0"/>
  </w:num>
  <w:num w:numId="2" w16cid:durableId="1995183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B53"/>
    <w:rsid w:val="0000764A"/>
    <w:rsid w:val="0001525E"/>
    <w:rsid w:val="00020269"/>
    <w:rsid w:val="00023E30"/>
    <w:rsid w:val="00033F7B"/>
    <w:rsid w:val="00036B02"/>
    <w:rsid w:val="000429AF"/>
    <w:rsid w:val="00054475"/>
    <w:rsid w:val="0005567D"/>
    <w:rsid w:val="000727EF"/>
    <w:rsid w:val="000A1ABF"/>
    <w:rsid w:val="000A6AB0"/>
    <w:rsid w:val="000B5C7B"/>
    <w:rsid w:val="000C47A2"/>
    <w:rsid w:val="000C66BC"/>
    <w:rsid w:val="000C6DFC"/>
    <w:rsid w:val="000D37C8"/>
    <w:rsid w:val="000F7132"/>
    <w:rsid w:val="00102245"/>
    <w:rsid w:val="00115747"/>
    <w:rsid w:val="00126FBD"/>
    <w:rsid w:val="00133FDE"/>
    <w:rsid w:val="00145B03"/>
    <w:rsid w:val="00147137"/>
    <w:rsid w:val="001767BE"/>
    <w:rsid w:val="001810DD"/>
    <w:rsid w:val="001A6F11"/>
    <w:rsid w:val="001D2942"/>
    <w:rsid w:val="001F39A4"/>
    <w:rsid w:val="001F42B6"/>
    <w:rsid w:val="001F57D9"/>
    <w:rsid w:val="001F7389"/>
    <w:rsid w:val="002019E0"/>
    <w:rsid w:val="00215F9F"/>
    <w:rsid w:val="002217C2"/>
    <w:rsid w:val="0022662C"/>
    <w:rsid w:val="00235EE8"/>
    <w:rsid w:val="00263579"/>
    <w:rsid w:val="00264834"/>
    <w:rsid w:val="00270646"/>
    <w:rsid w:val="00271BBC"/>
    <w:rsid w:val="00274B51"/>
    <w:rsid w:val="00275C4B"/>
    <w:rsid w:val="00290AA0"/>
    <w:rsid w:val="002B079E"/>
    <w:rsid w:val="002B19E8"/>
    <w:rsid w:val="002D1033"/>
    <w:rsid w:val="002D3AD3"/>
    <w:rsid w:val="002E588A"/>
    <w:rsid w:val="002F2D77"/>
    <w:rsid w:val="00303C04"/>
    <w:rsid w:val="00306E9C"/>
    <w:rsid w:val="00331E7F"/>
    <w:rsid w:val="00333275"/>
    <w:rsid w:val="00351AB0"/>
    <w:rsid w:val="00353ECC"/>
    <w:rsid w:val="00354146"/>
    <w:rsid w:val="00356A5F"/>
    <w:rsid w:val="00373069"/>
    <w:rsid w:val="00380FC6"/>
    <w:rsid w:val="00391E8D"/>
    <w:rsid w:val="003959BE"/>
    <w:rsid w:val="00395C7B"/>
    <w:rsid w:val="00396E31"/>
    <w:rsid w:val="003A745E"/>
    <w:rsid w:val="003B26E4"/>
    <w:rsid w:val="003D1D1F"/>
    <w:rsid w:val="003E461B"/>
    <w:rsid w:val="003F6D72"/>
    <w:rsid w:val="00414AAE"/>
    <w:rsid w:val="00434CE1"/>
    <w:rsid w:val="004372B1"/>
    <w:rsid w:val="00461171"/>
    <w:rsid w:val="00462AAA"/>
    <w:rsid w:val="004936C5"/>
    <w:rsid w:val="004A79CF"/>
    <w:rsid w:val="004B3AAF"/>
    <w:rsid w:val="004F33A1"/>
    <w:rsid w:val="0051214F"/>
    <w:rsid w:val="00515F4D"/>
    <w:rsid w:val="0053252C"/>
    <w:rsid w:val="00535EE9"/>
    <w:rsid w:val="00543C1A"/>
    <w:rsid w:val="00546D85"/>
    <w:rsid w:val="0055009B"/>
    <w:rsid w:val="00556224"/>
    <w:rsid w:val="00561C68"/>
    <w:rsid w:val="005660DD"/>
    <w:rsid w:val="00566A40"/>
    <w:rsid w:val="00591548"/>
    <w:rsid w:val="005B3673"/>
    <w:rsid w:val="005D223A"/>
    <w:rsid w:val="005F1132"/>
    <w:rsid w:val="005F1923"/>
    <w:rsid w:val="00602643"/>
    <w:rsid w:val="006052A2"/>
    <w:rsid w:val="00606B36"/>
    <w:rsid w:val="006108C5"/>
    <w:rsid w:val="006163F7"/>
    <w:rsid w:val="0062194F"/>
    <w:rsid w:val="00627C5F"/>
    <w:rsid w:val="006308A9"/>
    <w:rsid w:val="0063401B"/>
    <w:rsid w:val="006342EB"/>
    <w:rsid w:val="006406F6"/>
    <w:rsid w:val="00645C88"/>
    <w:rsid w:val="00646C4C"/>
    <w:rsid w:val="00662AF8"/>
    <w:rsid w:val="0066490D"/>
    <w:rsid w:val="00667ED8"/>
    <w:rsid w:val="00676D0C"/>
    <w:rsid w:val="006A05EC"/>
    <w:rsid w:val="006B0AC4"/>
    <w:rsid w:val="006B1CB2"/>
    <w:rsid w:val="006D1EAD"/>
    <w:rsid w:val="006D5067"/>
    <w:rsid w:val="006F3589"/>
    <w:rsid w:val="006F4329"/>
    <w:rsid w:val="00705CFB"/>
    <w:rsid w:val="007114D8"/>
    <w:rsid w:val="00730695"/>
    <w:rsid w:val="007378B1"/>
    <w:rsid w:val="0076016F"/>
    <w:rsid w:val="00777E73"/>
    <w:rsid w:val="0078450F"/>
    <w:rsid w:val="00791693"/>
    <w:rsid w:val="007B1479"/>
    <w:rsid w:val="007D46C7"/>
    <w:rsid w:val="007E3C07"/>
    <w:rsid w:val="007E7937"/>
    <w:rsid w:val="008203F1"/>
    <w:rsid w:val="008216E3"/>
    <w:rsid w:val="00861EBF"/>
    <w:rsid w:val="0086251F"/>
    <w:rsid w:val="0086343B"/>
    <w:rsid w:val="00863665"/>
    <w:rsid w:val="008656A1"/>
    <w:rsid w:val="00876973"/>
    <w:rsid w:val="00876B33"/>
    <w:rsid w:val="00881F77"/>
    <w:rsid w:val="00884105"/>
    <w:rsid w:val="00885606"/>
    <w:rsid w:val="008A43C3"/>
    <w:rsid w:val="008A4E01"/>
    <w:rsid w:val="008A67E4"/>
    <w:rsid w:val="008B7FF5"/>
    <w:rsid w:val="008F57D9"/>
    <w:rsid w:val="008F7A84"/>
    <w:rsid w:val="008F7BA8"/>
    <w:rsid w:val="00901321"/>
    <w:rsid w:val="00904AD0"/>
    <w:rsid w:val="00911A87"/>
    <w:rsid w:val="00921760"/>
    <w:rsid w:val="00922EC2"/>
    <w:rsid w:val="00926868"/>
    <w:rsid w:val="0095446D"/>
    <w:rsid w:val="0096587E"/>
    <w:rsid w:val="009717EF"/>
    <w:rsid w:val="009B1D50"/>
    <w:rsid w:val="009C1CB4"/>
    <w:rsid w:val="009C7AB8"/>
    <w:rsid w:val="009F078F"/>
    <w:rsid w:val="009F1161"/>
    <w:rsid w:val="00A17984"/>
    <w:rsid w:val="00A25F63"/>
    <w:rsid w:val="00A27E32"/>
    <w:rsid w:val="00A3703A"/>
    <w:rsid w:val="00A4606D"/>
    <w:rsid w:val="00A9008E"/>
    <w:rsid w:val="00AB2612"/>
    <w:rsid w:val="00AC0695"/>
    <w:rsid w:val="00AC729F"/>
    <w:rsid w:val="00AD232E"/>
    <w:rsid w:val="00AD5E63"/>
    <w:rsid w:val="00AE0F6E"/>
    <w:rsid w:val="00AE2C2B"/>
    <w:rsid w:val="00AE340A"/>
    <w:rsid w:val="00AF2261"/>
    <w:rsid w:val="00AF23CB"/>
    <w:rsid w:val="00B23C26"/>
    <w:rsid w:val="00B30426"/>
    <w:rsid w:val="00B35D1C"/>
    <w:rsid w:val="00B4081F"/>
    <w:rsid w:val="00B558A9"/>
    <w:rsid w:val="00B65874"/>
    <w:rsid w:val="00B72D58"/>
    <w:rsid w:val="00B731CB"/>
    <w:rsid w:val="00B754EC"/>
    <w:rsid w:val="00B76FDB"/>
    <w:rsid w:val="00B84E41"/>
    <w:rsid w:val="00B9186A"/>
    <w:rsid w:val="00B92027"/>
    <w:rsid w:val="00B94751"/>
    <w:rsid w:val="00BB2A68"/>
    <w:rsid w:val="00BD16E5"/>
    <w:rsid w:val="00BD5CFC"/>
    <w:rsid w:val="00C06D66"/>
    <w:rsid w:val="00C42B11"/>
    <w:rsid w:val="00C57B3D"/>
    <w:rsid w:val="00C64DBF"/>
    <w:rsid w:val="00C65C89"/>
    <w:rsid w:val="00C92E5D"/>
    <w:rsid w:val="00C95BD2"/>
    <w:rsid w:val="00C96BD9"/>
    <w:rsid w:val="00CA054F"/>
    <w:rsid w:val="00CD407B"/>
    <w:rsid w:val="00CD7A8B"/>
    <w:rsid w:val="00CF45A3"/>
    <w:rsid w:val="00CF4908"/>
    <w:rsid w:val="00D0739A"/>
    <w:rsid w:val="00D172B8"/>
    <w:rsid w:val="00D20E98"/>
    <w:rsid w:val="00D52162"/>
    <w:rsid w:val="00D5369C"/>
    <w:rsid w:val="00D55603"/>
    <w:rsid w:val="00D61E46"/>
    <w:rsid w:val="00D91DEA"/>
    <w:rsid w:val="00D94397"/>
    <w:rsid w:val="00DA2EE7"/>
    <w:rsid w:val="00DD3A62"/>
    <w:rsid w:val="00DD7EAD"/>
    <w:rsid w:val="00DE49AA"/>
    <w:rsid w:val="00DE643E"/>
    <w:rsid w:val="00DF519D"/>
    <w:rsid w:val="00DF571B"/>
    <w:rsid w:val="00E01B53"/>
    <w:rsid w:val="00E248B3"/>
    <w:rsid w:val="00E30E1A"/>
    <w:rsid w:val="00E317F6"/>
    <w:rsid w:val="00E335C4"/>
    <w:rsid w:val="00E51281"/>
    <w:rsid w:val="00E62165"/>
    <w:rsid w:val="00E65344"/>
    <w:rsid w:val="00E73F3F"/>
    <w:rsid w:val="00E91CCC"/>
    <w:rsid w:val="00E92133"/>
    <w:rsid w:val="00ED1714"/>
    <w:rsid w:val="00ED7116"/>
    <w:rsid w:val="00EF4833"/>
    <w:rsid w:val="00F140E4"/>
    <w:rsid w:val="00F23B42"/>
    <w:rsid w:val="00F24DE0"/>
    <w:rsid w:val="00F46002"/>
    <w:rsid w:val="00F652B8"/>
    <w:rsid w:val="00F918B2"/>
    <w:rsid w:val="00FA15E7"/>
    <w:rsid w:val="00FC4D0A"/>
    <w:rsid w:val="00FC57FE"/>
    <w:rsid w:val="00FD60CA"/>
    <w:rsid w:val="00FD6D9E"/>
    <w:rsid w:val="00FE0B9B"/>
    <w:rsid w:val="00FE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83F2E3"/>
  <w15:chartTrackingRefBased/>
  <w15:docId w15:val="{78F50863-7FF3-452E-A6C6-875B3AD46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3A1"/>
    <w:pPr>
      <w:spacing w:line="276" w:lineRule="auto"/>
    </w:pPr>
    <w:rPr>
      <w:rFonts w:ascii="Aptos" w:eastAsia="Aptos" w:hAnsi="Aptos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1B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1B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B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B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B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B5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B5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B5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B5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B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1B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B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B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B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B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B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B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B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B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B5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B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B5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B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B53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IntenseEmphasis">
    <w:name w:val="Intense Emphasis"/>
    <w:basedOn w:val="DefaultParagraphFont"/>
    <w:uiPriority w:val="21"/>
    <w:qFormat/>
    <w:rsid w:val="00E01B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B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B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B53"/>
    <w:rPr>
      <w:b/>
      <w:bCs/>
      <w:smallCaps/>
      <w:color w:val="0F4761" w:themeColor="accent1" w:themeShade="BF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9717EF"/>
  </w:style>
  <w:style w:type="paragraph" w:styleId="Header">
    <w:name w:val="header"/>
    <w:basedOn w:val="Normal"/>
    <w:link w:val="HeaderChar"/>
    <w:uiPriority w:val="99"/>
    <w:unhideWhenUsed/>
    <w:rsid w:val="00AF2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3CB"/>
    <w:rPr>
      <w:rFonts w:ascii="Aptos" w:eastAsia="Aptos" w:hAnsi="Aptos" w:cs="Times New Roman"/>
    </w:rPr>
  </w:style>
  <w:style w:type="paragraph" w:styleId="Footer">
    <w:name w:val="footer"/>
    <w:basedOn w:val="Normal"/>
    <w:link w:val="FooterChar"/>
    <w:uiPriority w:val="99"/>
    <w:unhideWhenUsed/>
    <w:rsid w:val="00AF2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3CB"/>
    <w:rPr>
      <w:rFonts w:ascii="Aptos" w:eastAsia="Aptos" w:hAnsi="Aptos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Gladys J. Burgos Torres</cp:lastModifiedBy>
  <cp:revision>5</cp:revision>
  <cp:lastPrinted>2026-01-20T15:32:00Z</cp:lastPrinted>
  <dcterms:created xsi:type="dcterms:W3CDTF">2026-01-19T19:15:00Z</dcterms:created>
  <dcterms:modified xsi:type="dcterms:W3CDTF">2026-01-21T15:56:00Z</dcterms:modified>
</cp:coreProperties>
</file>