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4A8FC" w14:textId="77777777" w:rsidR="00946254" w:rsidRPr="00E563BE" w:rsidRDefault="00CC3A24" w:rsidP="00AD124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185591"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8C37D00" w14:textId="77777777" w:rsidR="00946254" w:rsidRPr="00E563BE" w:rsidRDefault="00946254" w:rsidP="00AD1245">
      <w:pPr>
        <w:jc w:val="center"/>
        <w:rPr>
          <w:rFonts w:ascii="Book Antiqua" w:hAnsi="Book Antiqua"/>
          <w:szCs w:val="24"/>
          <w:lang w:val="es-ES_tradnl"/>
        </w:rPr>
      </w:pPr>
    </w:p>
    <w:p w14:paraId="3E9F3E58" w14:textId="7C46FACD" w:rsidR="00946254" w:rsidRPr="00E563BE" w:rsidRDefault="00185591" w:rsidP="00AD124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</w:t>
      </w:r>
      <w:r w:rsidR="00946254" w:rsidRPr="00E563BE">
        <w:rPr>
          <w:rFonts w:ascii="Book Antiqua" w:hAnsi="Book Antiqua"/>
          <w:szCs w:val="24"/>
          <w:lang w:val="es-ES_tradnl"/>
        </w:rPr>
        <w:t>.</w:t>
      </w:r>
      <w:r w:rsidR="00D916DD" w:rsidRPr="00E563BE">
        <w:rPr>
          <w:rFonts w:ascii="Book Antiqua" w:hAnsi="Book Antiqua"/>
          <w:szCs w:val="24"/>
          <w:lang w:val="es-ES_tradnl"/>
        </w:rPr>
        <w:t xml:space="preserve"> </w:t>
      </w:r>
      <w:r w:rsidR="00142E19" w:rsidRPr="00E563BE">
        <w:rPr>
          <w:rFonts w:ascii="Book Antiqua" w:hAnsi="Book Antiqua"/>
          <w:szCs w:val="24"/>
          <w:lang w:val="es-ES_tradnl"/>
        </w:rPr>
        <w:t>Asamblea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  </w:t>
      </w:r>
      <w:r w:rsidR="00916BD7">
        <w:rPr>
          <w:rFonts w:ascii="Book Antiqua" w:hAnsi="Book Antiqua"/>
          <w:szCs w:val="24"/>
          <w:lang w:val="es-ES_tradnl"/>
        </w:rPr>
        <w:t xml:space="preserve"> </w:t>
      </w:r>
      <w:r w:rsidR="00F11993">
        <w:rPr>
          <w:rFonts w:ascii="Book Antiqua" w:hAnsi="Book Antiqua"/>
          <w:szCs w:val="24"/>
          <w:lang w:val="es-ES_tradnl"/>
        </w:rPr>
        <w:t xml:space="preserve"> </w:t>
      </w:r>
      <w:r w:rsidR="00A964BF">
        <w:rPr>
          <w:rFonts w:ascii="Book Antiqua" w:hAnsi="Book Antiqua"/>
          <w:szCs w:val="24"/>
          <w:lang w:val="es-ES_tradnl"/>
        </w:rPr>
        <w:t>3r</w:t>
      </w:r>
      <w:r w:rsidR="00EE442F">
        <w:rPr>
          <w:rFonts w:ascii="Book Antiqua" w:hAnsi="Book Antiqua"/>
          <w:szCs w:val="24"/>
          <w:lang w:val="es-ES_tradnl"/>
        </w:rPr>
        <w:t>a</w:t>
      </w:r>
      <w:r w:rsidR="00946254" w:rsidRPr="00E563BE">
        <w:rPr>
          <w:rFonts w:ascii="Book Antiqua" w:hAnsi="Book Antiqua"/>
          <w:szCs w:val="24"/>
          <w:lang w:val="es-ES_tradnl"/>
        </w:rPr>
        <w:t>. Sesión</w:t>
      </w:r>
    </w:p>
    <w:p w14:paraId="7E278B89" w14:textId="77777777" w:rsidR="00946254" w:rsidRPr="00E563BE" w:rsidRDefault="00D916DD" w:rsidP="00AD124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     </w:t>
      </w:r>
      <w:r w:rsidR="00F11993">
        <w:rPr>
          <w:rFonts w:ascii="Book Antiqua" w:hAnsi="Book Antiqua"/>
          <w:szCs w:val="24"/>
          <w:lang w:val="es-ES_tradnl"/>
        </w:rPr>
        <w:t xml:space="preserve">  </w:t>
      </w:r>
      <w:r w:rsidRPr="00E563BE">
        <w:rPr>
          <w:rFonts w:ascii="Book Antiqua" w:hAnsi="Book Antiqua"/>
          <w:szCs w:val="24"/>
          <w:lang w:val="es-ES_tradnl"/>
        </w:rPr>
        <w:t xml:space="preserve">  </w:t>
      </w:r>
      <w:r w:rsidR="00E563BE">
        <w:rPr>
          <w:rFonts w:ascii="Book Antiqua" w:hAnsi="Book Antiqua"/>
          <w:szCs w:val="24"/>
          <w:lang w:val="es-ES_tradnl"/>
        </w:rPr>
        <w:t xml:space="preserve"> </w:t>
      </w:r>
      <w:r w:rsidR="004B6FF6" w:rsidRPr="00E563BE">
        <w:rPr>
          <w:rFonts w:ascii="Book Antiqua" w:hAnsi="Book Antiqua"/>
          <w:szCs w:val="24"/>
          <w:lang w:val="es-ES_tradnl"/>
        </w:rPr>
        <w:t xml:space="preserve"> </w:t>
      </w:r>
      <w:r w:rsidR="00946254" w:rsidRPr="00E563BE">
        <w:rPr>
          <w:rFonts w:ascii="Book Antiqua" w:hAnsi="Book Antiqua"/>
          <w:szCs w:val="24"/>
          <w:lang w:val="es-ES_tradnl"/>
        </w:rPr>
        <w:t>Legislativa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</w:t>
      </w:r>
      <w:r w:rsidR="004B6FF6" w:rsidRPr="00E563BE">
        <w:rPr>
          <w:rFonts w:ascii="Book Antiqua" w:hAnsi="Book Antiqua"/>
          <w:szCs w:val="24"/>
          <w:lang w:val="es-ES_tradnl"/>
        </w:rPr>
        <w:t>Ordinaria</w:t>
      </w:r>
    </w:p>
    <w:p w14:paraId="4E20F13E" w14:textId="77777777" w:rsidR="00946254" w:rsidRPr="00E563BE" w:rsidRDefault="00946254" w:rsidP="00AD1245">
      <w:pPr>
        <w:jc w:val="both"/>
        <w:rPr>
          <w:rFonts w:ascii="Book Antiqua" w:hAnsi="Book Antiqua"/>
          <w:szCs w:val="24"/>
          <w:lang w:val="es-PR"/>
        </w:rPr>
      </w:pPr>
    </w:p>
    <w:p w14:paraId="60D3B5B5" w14:textId="77777777" w:rsidR="00946254" w:rsidRPr="00E563BE" w:rsidRDefault="00946254" w:rsidP="00AD1245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34EEC6F5" w14:textId="77777777" w:rsidR="00946254" w:rsidRPr="00E563BE" w:rsidRDefault="00946254" w:rsidP="00AD1245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753758D" w14:textId="1E7073BD" w:rsidR="00946254" w:rsidRPr="00E563BE" w:rsidRDefault="007F22F1" w:rsidP="00AD1245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1D00B4">
        <w:rPr>
          <w:rFonts w:ascii="Book Antiqua" w:hAnsi="Book Antiqua"/>
          <w:sz w:val="52"/>
          <w:szCs w:val="52"/>
          <w:lang w:val="es-ES_tradnl"/>
        </w:rPr>
        <w:t xml:space="preserve"> 264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</w:p>
    <w:p w14:paraId="67D1862D" w14:textId="77777777" w:rsidR="004B6FF6" w:rsidRPr="00E563BE" w:rsidRDefault="004B6FF6" w:rsidP="00AD1245">
      <w:pPr>
        <w:jc w:val="center"/>
        <w:rPr>
          <w:rFonts w:ascii="Book Antiqua" w:hAnsi="Book Antiqua"/>
          <w:lang w:val="es-ES_tradnl"/>
        </w:rPr>
      </w:pPr>
    </w:p>
    <w:p w14:paraId="6C155206" w14:textId="096F3471" w:rsidR="00946254" w:rsidRPr="00E563BE" w:rsidRDefault="003853C1" w:rsidP="00AD1245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ENERO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6</w:t>
      </w:r>
    </w:p>
    <w:p w14:paraId="08F89CAE" w14:textId="77777777" w:rsidR="00D916DD" w:rsidRPr="00E563BE" w:rsidRDefault="00D916DD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449F7349" w14:textId="77777777" w:rsidR="00946254" w:rsidRPr="00E563BE" w:rsidRDefault="00946254" w:rsidP="00AD1245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6A6FAA">
        <w:rPr>
          <w:rFonts w:ascii="Book Antiqua" w:hAnsi="Book Antiqua"/>
          <w:i/>
          <w:szCs w:val="24"/>
          <w:lang w:val="es-ES_tradnl"/>
        </w:rPr>
        <w:t>Santiago Guzmán</w:t>
      </w:r>
    </w:p>
    <w:p w14:paraId="34169A93" w14:textId="77777777" w:rsidR="00D916DD" w:rsidRPr="00E563BE" w:rsidRDefault="00D916DD" w:rsidP="00AD1245">
      <w:pPr>
        <w:jc w:val="center"/>
        <w:rPr>
          <w:rFonts w:ascii="Book Antiqua" w:hAnsi="Book Antiqua"/>
          <w:szCs w:val="24"/>
          <w:lang w:val="es-ES_tradnl"/>
        </w:rPr>
      </w:pPr>
    </w:p>
    <w:p w14:paraId="6234D82F" w14:textId="01395546" w:rsidR="00946254" w:rsidRDefault="00226879" w:rsidP="00AD1245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D25E90">
        <w:rPr>
          <w:rFonts w:ascii="Book Antiqua" w:hAnsi="Book Antiqua"/>
          <w:szCs w:val="24"/>
          <w:lang w:val="es-ES_tradnl"/>
        </w:rPr>
        <w:t xml:space="preserve">la Comisión de </w:t>
      </w:r>
      <w:r w:rsidR="00D25E90" w:rsidRPr="00D25E90">
        <w:rPr>
          <w:rFonts w:ascii="Book Antiqua" w:hAnsi="Book Antiqua"/>
          <w:szCs w:val="24"/>
          <w:lang w:val="es-ES_tradnl"/>
        </w:rPr>
        <w:t>Transportación e Infraestructura</w:t>
      </w:r>
    </w:p>
    <w:p w14:paraId="20567AA9" w14:textId="77777777" w:rsidR="00226879" w:rsidRPr="00E563BE" w:rsidRDefault="00226879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30AC7B57" w14:textId="77777777" w:rsidR="00946254" w:rsidRPr="00E563BE" w:rsidRDefault="00946254" w:rsidP="00AD1245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64047931" w14:textId="77777777" w:rsidR="00946254" w:rsidRPr="00E563BE" w:rsidRDefault="00946254" w:rsidP="00AD1245">
      <w:pPr>
        <w:rPr>
          <w:rFonts w:ascii="Book Antiqua" w:hAnsi="Book Antiqua"/>
          <w:szCs w:val="24"/>
          <w:lang w:val="es-ES_tradnl"/>
        </w:rPr>
      </w:pPr>
    </w:p>
    <w:p w14:paraId="1AAA3CAC" w14:textId="2D23407F" w:rsidR="007B49C8" w:rsidRPr="00AB579E" w:rsidRDefault="0000660A" w:rsidP="00AD1245">
      <w:pPr>
        <w:ind w:left="630" w:hanging="630"/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Para </w:t>
      </w:r>
      <w:bookmarkStart w:id="0" w:name="_Hlk205300551"/>
      <w:r w:rsidR="00BB3778" w:rsidRPr="00BB3778">
        <w:rPr>
          <w:rFonts w:ascii="Book Antiqua" w:hAnsi="Book Antiqua"/>
          <w:lang w:val="es-PR"/>
        </w:rPr>
        <w:t xml:space="preserve">ordenar </w:t>
      </w:r>
      <w:r w:rsidR="00066ABD" w:rsidRPr="00066ABD">
        <w:rPr>
          <w:rFonts w:ascii="Book Antiqua" w:hAnsi="Book Antiqua"/>
          <w:lang w:val="es-PR"/>
        </w:rPr>
        <w:t>al Departamento de Transportación y Obras Públicas (DTOP) a realizar, en un término no mayor de treinta (30) días contados a partir de la vigencia de esta Resolución Conjunta, una inspección de las luminarias ubicadas en la Carretera Estatal PR-165 en la intersección con la PR-865 en el municipio de Toa Baja</w:t>
      </w:r>
      <w:r w:rsidR="00066ABD">
        <w:rPr>
          <w:rFonts w:ascii="Book Antiqua" w:hAnsi="Book Antiqua"/>
          <w:lang w:val="es-PR"/>
        </w:rPr>
        <w:t xml:space="preserve">; evaluar el estado de las luminarias </w:t>
      </w:r>
      <w:r w:rsidR="009523DF">
        <w:rPr>
          <w:rFonts w:ascii="Book Antiqua" w:hAnsi="Book Antiqua"/>
          <w:lang w:val="es-PR"/>
        </w:rPr>
        <w:t xml:space="preserve">en </w:t>
      </w:r>
      <w:r w:rsidR="00501B52">
        <w:rPr>
          <w:rFonts w:ascii="Book Antiqua" w:hAnsi="Book Antiqua"/>
          <w:lang w:val="es-PR"/>
        </w:rPr>
        <w:t>el Km. 1.6 de la Carretera</w:t>
      </w:r>
      <w:r w:rsidR="009523DF">
        <w:rPr>
          <w:rFonts w:ascii="Book Antiqua" w:hAnsi="Book Antiqua"/>
          <w:lang w:val="es-PR"/>
        </w:rPr>
        <w:t xml:space="preserve"> Estatal</w:t>
      </w:r>
      <w:r w:rsidR="00501B52">
        <w:rPr>
          <w:rFonts w:ascii="Book Antiqua" w:hAnsi="Book Antiqua"/>
          <w:lang w:val="es-PR"/>
        </w:rPr>
        <w:t xml:space="preserve"> PR-865</w:t>
      </w:r>
      <w:r w:rsidR="009523DF">
        <w:rPr>
          <w:rFonts w:ascii="Book Antiqua" w:hAnsi="Book Antiqua"/>
          <w:lang w:val="es-PR"/>
        </w:rPr>
        <w:t xml:space="preserve"> en el Barrio Campanilla del municipio de Toa Baja</w:t>
      </w:r>
      <w:r w:rsidR="00257289" w:rsidRPr="00257289">
        <w:rPr>
          <w:rFonts w:ascii="Book Antiqua" w:hAnsi="Book Antiqua"/>
          <w:lang w:val="es-PR"/>
        </w:rPr>
        <w:t>; y para otros fines relacionados</w:t>
      </w:r>
      <w:r w:rsidR="00ED16E7" w:rsidRPr="00ED16E7">
        <w:rPr>
          <w:rFonts w:ascii="Book Antiqua" w:hAnsi="Book Antiqua"/>
          <w:szCs w:val="24"/>
          <w:lang w:val="es-ES_tradnl"/>
        </w:rPr>
        <w:t>.</w:t>
      </w:r>
    </w:p>
    <w:bookmarkEnd w:id="0"/>
    <w:p w14:paraId="0FE64D3B" w14:textId="77777777" w:rsidR="00946254" w:rsidRPr="00E563BE" w:rsidRDefault="00946254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112D937F" w14:textId="77777777" w:rsidR="00946254" w:rsidRDefault="00946254" w:rsidP="00AD1245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58CCBE49" w14:textId="77777777" w:rsidR="00AD1245" w:rsidRPr="00E563BE" w:rsidRDefault="00AD1245" w:rsidP="00AD1245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</w:p>
    <w:p w14:paraId="6E809768" w14:textId="57136173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 xml:space="preserve">La seguridad vial es una responsabilidad ineludible del Gobierno de Puerto Rico y una prioridad para proteger la vida de conductores, peatones y residentes. La iluminación adecuada en las carreteras y en las intersecciones es un componente esencial de la seguridad en la vía pública, ya que mejora la visibilidad y reduce la probabilidad de accidentes, especialmente durante horas de poca luz o en condiciones ambientales adversas. Tras el paso de </w:t>
      </w:r>
      <w:r w:rsidR="009F43EB" w:rsidRPr="006D5C79">
        <w:rPr>
          <w:rFonts w:ascii="Book Antiqua" w:hAnsi="Book Antiqua"/>
          <w:lang w:val="es-PR"/>
        </w:rPr>
        <w:t>huracanes</w:t>
      </w:r>
      <w:r w:rsidRPr="006D5C79">
        <w:rPr>
          <w:rFonts w:ascii="Book Antiqua" w:hAnsi="Book Antiqua"/>
          <w:lang w:val="es-PR"/>
        </w:rPr>
        <w:t xml:space="preserve"> Irma y María por nuestra Isla, el problema con el alumbrado en nuestra red vial se ha agudizado</w:t>
      </w:r>
      <w:r w:rsidR="009F43EB" w:rsidRPr="006D5C79">
        <w:rPr>
          <w:rFonts w:ascii="Book Antiqua" w:hAnsi="Book Antiqua"/>
          <w:lang w:val="es-PR"/>
        </w:rPr>
        <w:t xml:space="preserve"> y, </w:t>
      </w:r>
      <w:r w:rsidR="00343791" w:rsidRPr="006D5C79">
        <w:rPr>
          <w:rFonts w:ascii="Book Antiqua" w:hAnsi="Book Antiqua"/>
          <w:lang w:val="es-PR"/>
        </w:rPr>
        <w:t>hoy en día</w:t>
      </w:r>
      <w:r w:rsidR="009F43EB" w:rsidRPr="006D5C79">
        <w:rPr>
          <w:rFonts w:ascii="Book Antiqua" w:hAnsi="Book Antiqua"/>
          <w:lang w:val="es-PR"/>
        </w:rPr>
        <w:t>, muchas carreteras adolecen de alumbrado adecuado.</w:t>
      </w:r>
    </w:p>
    <w:p w14:paraId="1B104867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0A52FCCF" w14:textId="2BA783AF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>En fechas recientes, la ciudadanía ha expresado preocupación por la falta de luminarias operativas en la Carretera Estatal PR-165 en la intersección con la PR-865 en el municipio de Toa Baja. La ausencia o deficiencia de alumbrado público en esta zona crítica contribuye a un entorno de riesgo para quienes transitan a pie o en vehículo, dificultando la visibilidad nocturna y comprometiendo la seguridad de toda la comunidad.</w:t>
      </w:r>
      <w:r w:rsidR="00A86816" w:rsidRPr="006D5C79">
        <w:rPr>
          <w:rFonts w:ascii="Book Antiqua" w:hAnsi="Book Antiqua"/>
          <w:lang w:val="es-PR"/>
        </w:rPr>
        <w:t xml:space="preserve"> Sobre todo, considerando que el área también </w:t>
      </w:r>
      <w:r w:rsidR="00D5114B" w:rsidRPr="006D5C79">
        <w:rPr>
          <w:rFonts w:ascii="Book Antiqua" w:hAnsi="Book Antiqua"/>
          <w:lang w:val="es-PR"/>
        </w:rPr>
        <w:t xml:space="preserve">brinda un acceso </w:t>
      </w:r>
      <w:r w:rsidR="00A216D7" w:rsidRPr="006D5C79">
        <w:rPr>
          <w:rFonts w:ascii="Book Antiqua" w:hAnsi="Book Antiqua"/>
          <w:lang w:val="es-PR"/>
        </w:rPr>
        <w:t xml:space="preserve">a la </w:t>
      </w:r>
      <w:r w:rsidR="00A216D7" w:rsidRPr="006D5C79">
        <w:rPr>
          <w:rFonts w:ascii="Book Antiqua" w:hAnsi="Book Antiqua"/>
          <w:lang w:val="es-PR"/>
        </w:rPr>
        <w:lastRenderedPageBreak/>
        <w:t>Autopista PR-22, también conocida como el Expreso José De Diego</w:t>
      </w:r>
      <w:r w:rsidR="008B4B96" w:rsidRPr="006D5C79">
        <w:rPr>
          <w:rFonts w:ascii="Book Antiqua" w:hAnsi="Book Antiqua"/>
          <w:lang w:val="es-PR"/>
        </w:rPr>
        <w:t>; siendo ésta la más transitada en Puerto Rico.</w:t>
      </w:r>
    </w:p>
    <w:p w14:paraId="6C4275BB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58A0E8A2" w14:textId="502333ED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 xml:space="preserve">Asimismo, el 19 de enero de 2026, se reportó un incidente fatal en el que un peatón </w:t>
      </w:r>
      <w:r w:rsidR="004317E1" w:rsidRPr="006D5C79">
        <w:rPr>
          <w:rFonts w:ascii="Book Antiqua" w:hAnsi="Book Antiqua"/>
          <w:lang w:val="es-PR"/>
        </w:rPr>
        <w:t xml:space="preserve">de 78 </w:t>
      </w:r>
      <w:r w:rsidR="00D44898" w:rsidRPr="006D5C79">
        <w:rPr>
          <w:rFonts w:ascii="Book Antiqua" w:hAnsi="Book Antiqua"/>
          <w:lang w:val="es-PR"/>
        </w:rPr>
        <w:t>años</w:t>
      </w:r>
      <w:r w:rsidR="004317E1" w:rsidRPr="006D5C79">
        <w:rPr>
          <w:rFonts w:ascii="Book Antiqua" w:hAnsi="Book Antiqua"/>
          <w:lang w:val="es-PR"/>
        </w:rPr>
        <w:t xml:space="preserve"> </w:t>
      </w:r>
      <w:r w:rsidRPr="006D5C79">
        <w:rPr>
          <w:rFonts w:ascii="Book Antiqua" w:hAnsi="Book Antiqua"/>
          <w:lang w:val="es-PR"/>
        </w:rPr>
        <w:t xml:space="preserve">fue atropellado en </w:t>
      </w:r>
      <w:r w:rsidR="004317E1" w:rsidRPr="006D5C79">
        <w:rPr>
          <w:rFonts w:ascii="Book Antiqua" w:hAnsi="Book Antiqua"/>
          <w:lang w:val="es-PR"/>
        </w:rPr>
        <w:t>la Carretera PR-865, Km. 1.6 del Barrio Campanilla de Toa Baja</w:t>
      </w:r>
      <w:r w:rsidRPr="006D5C79">
        <w:rPr>
          <w:rFonts w:ascii="Book Antiqua" w:hAnsi="Book Antiqua"/>
          <w:lang w:val="es-PR"/>
        </w:rPr>
        <w:t>, lo que subraya la necesidad urgente de atender deficiencias en la infraestructura vial que pueden agravar la peligrosidad de nuestras carreteras.</w:t>
      </w:r>
    </w:p>
    <w:p w14:paraId="60ED5692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7610284E" w14:textId="77777777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>El Departamento de Transportación y Obras Públicas (DTOP) tiene la responsabilidad de mantener las carreteras y sus componentes, incluyendo el sistema de iluminación, en condiciones que protejan a los usuarios de la vía. La intersección de la PR-165 con la PR-865 es un punto de convergencia importante para conductores y peatones, y la falta de luminarias funcionales representa un peligro claro que debe corregirse con prontitud.</w:t>
      </w:r>
    </w:p>
    <w:p w14:paraId="31991B08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05A2BC86" w14:textId="5D80B70E" w:rsidR="00916BD7" w:rsidRPr="006D5C79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6D5C79">
        <w:rPr>
          <w:rFonts w:ascii="Book Antiqua" w:hAnsi="Book Antiqua"/>
          <w:lang w:val="es-PR"/>
        </w:rPr>
        <w:t xml:space="preserve">Por lo tanto, corresponde a esta Asamblea Legislativa ordenar al DTOP que atienda y corrija el problema de luminarias en la intersección mencionada a la mayor brevedad posible, con el objetivo de reducir riesgos, evitar tragedias y promover la seguridad vial de los residentes de Toa Baja y de quienes utilizan esta </w:t>
      </w:r>
      <w:r w:rsidR="00D44898" w:rsidRPr="006D5C79">
        <w:rPr>
          <w:rFonts w:ascii="Book Antiqua" w:hAnsi="Book Antiqua"/>
          <w:lang w:val="es-PR"/>
        </w:rPr>
        <w:t>vía estatal</w:t>
      </w:r>
      <w:r w:rsidR="00FE213A" w:rsidRPr="006D5C79">
        <w:rPr>
          <w:rFonts w:ascii="Book Antiqua" w:hAnsi="Book Antiqua"/>
          <w:color w:val="222222"/>
          <w:lang w:val="es-ES"/>
        </w:rPr>
        <w:t>.</w:t>
      </w:r>
    </w:p>
    <w:p w14:paraId="4F27167A" w14:textId="77777777" w:rsidR="006F2AB3" w:rsidRPr="006F2AB3" w:rsidRDefault="006F2AB3" w:rsidP="006F2AB3">
      <w:pPr>
        <w:pStyle w:val="NoSpacing"/>
        <w:rPr>
          <w:lang w:val="es-ES"/>
        </w:rPr>
      </w:pPr>
    </w:p>
    <w:p w14:paraId="29963032" w14:textId="77777777" w:rsidR="00946254" w:rsidRPr="006D5C79" w:rsidRDefault="00946254" w:rsidP="009A25FF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6D5C79">
        <w:rPr>
          <w:rFonts w:ascii="Book Antiqua" w:hAnsi="Book Antiqua"/>
          <w:i/>
          <w:szCs w:val="24"/>
          <w:lang w:val="es-PR"/>
        </w:rPr>
        <w:t>RESU</w:t>
      </w:r>
      <w:r w:rsidR="00500034" w:rsidRPr="006D5C79">
        <w:rPr>
          <w:rFonts w:ascii="Book Antiqua" w:hAnsi="Book Antiqua"/>
          <w:i/>
          <w:szCs w:val="24"/>
          <w:lang w:val="es-PR"/>
        </w:rPr>
        <w:t>É</w:t>
      </w:r>
      <w:r w:rsidRPr="006D5C79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01C3BAE5" w14:textId="77777777" w:rsidR="00D916DD" w:rsidRPr="006D5C79" w:rsidRDefault="00D916DD" w:rsidP="009A25F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  <w:sectPr w:rsidR="00D916DD" w:rsidRPr="006D5C79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CE596AB" w14:textId="3BFA73B6" w:rsidR="00ED16E7" w:rsidRPr="006D5C79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D5C79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6D5C79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6D5C79">
        <w:rPr>
          <w:rFonts w:ascii="Book Antiqua" w:hAnsi="Book Antiqua"/>
          <w:sz w:val="24"/>
          <w:szCs w:val="24"/>
          <w:lang w:val="es-ES"/>
        </w:rPr>
        <w:t xml:space="preserve">Se </w:t>
      </w:r>
      <w:r w:rsidR="00263A9F" w:rsidRPr="006D5C79">
        <w:rPr>
          <w:rFonts w:ascii="Book Antiqua" w:hAnsi="Book Antiqua"/>
          <w:sz w:val="24"/>
          <w:szCs w:val="24"/>
          <w:lang w:val="es-PR"/>
        </w:rPr>
        <w:t>ordena al Departamento de Transportación y Obras Públicas (DTOP) a realizar, en un término no mayor de treinta (30) días contados a partir de la vigencia de esta Resolución Conjunta, una inspección de las luminarias ubicadas en la Carretera Estatal PR-165 en la intersección con la PR-865 en el municipio de Toa Baja</w:t>
      </w:r>
      <w:r w:rsidR="006D5C79" w:rsidRPr="006D5C79">
        <w:rPr>
          <w:rFonts w:ascii="Book Antiqua" w:hAnsi="Book Antiqua"/>
          <w:sz w:val="24"/>
          <w:szCs w:val="24"/>
          <w:lang w:val="es-PR"/>
        </w:rPr>
        <w:t>; y evaluar el estado de las luminarias en el Km. 1.6 de la Carretera Estatal PR-865 en el Barrio Campanilla del municipio de Toa Baja</w:t>
      </w:r>
      <w:r w:rsidR="007C1491" w:rsidRPr="006D5C79">
        <w:rPr>
          <w:rFonts w:ascii="Book Antiqua" w:hAnsi="Book Antiqua"/>
          <w:sz w:val="24"/>
          <w:szCs w:val="24"/>
        </w:rPr>
        <w:t>.</w:t>
      </w:r>
    </w:p>
    <w:p w14:paraId="1ED1EFCC" w14:textId="4024F472" w:rsidR="00ED16E7" w:rsidRPr="006D5C79" w:rsidRDefault="00ED16E7" w:rsidP="005870F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Sección 2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3C14D2" w:rsidRPr="006D5C79">
        <w:rPr>
          <w:rFonts w:ascii="Book Antiqua" w:hAnsi="Book Antiqua"/>
          <w:sz w:val="24"/>
          <w:szCs w:val="24"/>
          <w:lang w:val="es-PR"/>
        </w:rPr>
        <w:t>Luego de la inspección, el DTOP tendrá un término no mayor de noventa (90) días para realizar las acciones correctivas necesarias, incluyendo reparación, sustitución, reinstalación o cualquier gestión técnica requerida para garantizar el funcionamiento adecuado de la iluminación en el área</w:t>
      </w:r>
      <w:r w:rsidR="001A383A" w:rsidRPr="006D5C79">
        <w:rPr>
          <w:rFonts w:ascii="Book Antiqua" w:hAnsi="Book Antiqua"/>
          <w:sz w:val="24"/>
          <w:szCs w:val="24"/>
        </w:rPr>
        <w:t>.</w:t>
      </w:r>
    </w:p>
    <w:p w14:paraId="10B2DAFE" w14:textId="1E833EF4" w:rsidR="001A383A" w:rsidRPr="006D5C79" w:rsidRDefault="001A383A" w:rsidP="00BE5EF2">
      <w:pPr>
        <w:pStyle w:val="BodyText2"/>
        <w:ind w:firstLine="720"/>
        <w:jc w:val="both"/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</w:pPr>
      <w:r w:rsidRPr="006D5C79">
        <w:rPr>
          <w:rFonts w:ascii="Book Antiqua" w:hAnsi="Book Antiqua"/>
          <w:sz w:val="24"/>
          <w:szCs w:val="24"/>
        </w:rPr>
        <w:lastRenderedPageBreak/>
        <w:t>Sección 3.-</w:t>
      </w:r>
      <w:r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El DTOP podrá coordinar los trabajos que correspondan con otras entidades públicas o privadas, incluyendo</w:t>
      </w:r>
      <w:r w:rsidR="0088248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a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LUMA Energy, LLC, cuando sea necesario para cumplir con los propósitos de esta Resolución Conjunta</w:t>
      </w:r>
      <w:r w:rsidR="002C0310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.</w:t>
      </w:r>
    </w:p>
    <w:p w14:paraId="5FD9FF6B" w14:textId="1398A977" w:rsidR="0077776F" w:rsidRPr="006D5C79" w:rsidRDefault="00EF1866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ES"/>
        </w:rPr>
        <w:t>Sección 4.-</w:t>
      </w:r>
      <w:r w:rsidR="0077776F">
        <w:rPr>
          <w:rFonts w:ascii="Book Antiqua" w:eastAsia="Aptos" w:hAnsi="Book Antiqua"/>
          <w:kern w:val="2"/>
          <w:sz w:val="24"/>
          <w:szCs w:val="24"/>
          <w:lang w:val="es-PR"/>
        </w:rPr>
        <w:t xml:space="preserve"> </w:t>
      </w:r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El DTOP rendirá un informe al </w:t>
      </w:r>
      <w:proofErr w:type="gramStart"/>
      <w:r w:rsidR="0077776F" w:rsidRPr="006D5C79">
        <w:rPr>
          <w:rFonts w:ascii="Book Antiqua" w:hAnsi="Book Antiqua"/>
          <w:sz w:val="24"/>
          <w:szCs w:val="24"/>
          <w:lang w:val="es-PR"/>
        </w:rPr>
        <w:t>Presidente</w:t>
      </w:r>
      <w:proofErr w:type="gramEnd"/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 de la Cámara de Representantes y al </w:t>
      </w:r>
      <w:proofErr w:type="gramStart"/>
      <w:r w:rsidR="0077776F" w:rsidRPr="006D5C79">
        <w:rPr>
          <w:rFonts w:ascii="Book Antiqua" w:hAnsi="Book Antiqua"/>
          <w:sz w:val="24"/>
          <w:szCs w:val="24"/>
          <w:lang w:val="es-PR"/>
        </w:rPr>
        <w:t>Presidente</w:t>
      </w:r>
      <w:proofErr w:type="gramEnd"/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 del Senado, por medio de sus res</w:t>
      </w:r>
      <w:r w:rsidR="00EF2D32" w:rsidRPr="006D5C79">
        <w:rPr>
          <w:rFonts w:ascii="Book Antiqua" w:hAnsi="Book Antiqua"/>
          <w:sz w:val="24"/>
          <w:szCs w:val="24"/>
          <w:lang w:val="es-PR"/>
        </w:rPr>
        <w:t>pectivas Secretarías,</w:t>
      </w:r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 dentro de los ciento veinte (120) días siguientes a la vigencia de esta Resolución Conjunta, detallando:</w:t>
      </w:r>
    </w:p>
    <w:p w14:paraId="4928A6AE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(a) los hallazgos de la inspección,</w:t>
      </w:r>
    </w:p>
    <w:p w14:paraId="378F2FE3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(b) las acciones tomadas,</w:t>
      </w:r>
    </w:p>
    <w:p w14:paraId="0B2CE6AB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(c) el estado de las luminarias tras la intervención, y</w:t>
      </w:r>
    </w:p>
    <w:p w14:paraId="3887F4A0" w14:textId="04937507" w:rsidR="009A25FF" w:rsidRPr="006D5C79" w:rsidRDefault="0077776F" w:rsidP="00EF2D32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(d) cualquier recomendación adicional para el mantenimiento preventivo futuro del área.</w:t>
      </w:r>
    </w:p>
    <w:p w14:paraId="52C07A5C" w14:textId="77777777" w:rsidR="00946254" w:rsidRPr="006D5C79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D5C79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EF1866" w:rsidRPr="006D5C79">
        <w:rPr>
          <w:rFonts w:ascii="Book Antiqua" w:hAnsi="Book Antiqua"/>
          <w:sz w:val="24"/>
          <w:szCs w:val="24"/>
          <w:lang w:val="es-PR"/>
        </w:rPr>
        <w:t>5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Esta Resolución Conjunta comenzará a regir inmediatamente después de su aprobación</w:t>
      </w:r>
      <w:r w:rsidR="00BB4199" w:rsidRPr="006D5C79">
        <w:rPr>
          <w:rFonts w:ascii="Book Antiqua" w:hAnsi="Book Antiqua"/>
          <w:sz w:val="24"/>
          <w:szCs w:val="24"/>
        </w:rPr>
        <w:t>.</w:t>
      </w:r>
    </w:p>
    <w:sectPr w:rsidR="00946254" w:rsidRPr="006D5C79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B1779" w14:textId="77777777" w:rsidR="00E03CD5" w:rsidRDefault="00E03CD5">
      <w:r>
        <w:separator/>
      </w:r>
    </w:p>
  </w:endnote>
  <w:endnote w:type="continuationSeparator" w:id="0">
    <w:p w14:paraId="50617D66" w14:textId="77777777" w:rsidR="00E03CD5" w:rsidRDefault="00E0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6A558" w14:textId="77777777" w:rsidR="00E03CD5" w:rsidRDefault="00E03CD5">
      <w:r>
        <w:separator/>
      </w:r>
    </w:p>
  </w:footnote>
  <w:footnote w:type="continuationSeparator" w:id="0">
    <w:p w14:paraId="254776FD" w14:textId="77777777" w:rsidR="00E03CD5" w:rsidRDefault="00E03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56361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DE5BC6"/>
    <w:multiLevelType w:val="hybridMultilevel"/>
    <w:tmpl w:val="25686C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num w:numId="1" w16cid:durableId="323509305">
    <w:abstractNumId w:val="3"/>
  </w:num>
  <w:num w:numId="2" w16cid:durableId="876626097">
    <w:abstractNumId w:val="0"/>
  </w:num>
  <w:num w:numId="3" w16cid:durableId="75908714">
    <w:abstractNumId w:val="1"/>
  </w:num>
  <w:num w:numId="4" w16cid:durableId="10145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660A"/>
    <w:rsid w:val="00011B26"/>
    <w:rsid w:val="00024FAA"/>
    <w:rsid w:val="00025664"/>
    <w:rsid w:val="00042D1A"/>
    <w:rsid w:val="000609F5"/>
    <w:rsid w:val="00066ABD"/>
    <w:rsid w:val="000765A3"/>
    <w:rsid w:val="000817D0"/>
    <w:rsid w:val="000946E8"/>
    <w:rsid w:val="00094F28"/>
    <w:rsid w:val="000957F6"/>
    <w:rsid w:val="000A0F9B"/>
    <w:rsid w:val="000A10A5"/>
    <w:rsid w:val="000A64EE"/>
    <w:rsid w:val="000C60E5"/>
    <w:rsid w:val="000D49C6"/>
    <w:rsid w:val="000E15A4"/>
    <w:rsid w:val="000E5E07"/>
    <w:rsid w:val="000F538E"/>
    <w:rsid w:val="000F7650"/>
    <w:rsid w:val="001338D2"/>
    <w:rsid w:val="00136635"/>
    <w:rsid w:val="00142E19"/>
    <w:rsid w:val="00144CF3"/>
    <w:rsid w:val="0016534E"/>
    <w:rsid w:val="00167E0E"/>
    <w:rsid w:val="00170137"/>
    <w:rsid w:val="001709FA"/>
    <w:rsid w:val="00176AC8"/>
    <w:rsid w:val="00182732"/>
    <w:rsid w:val="00185151"/>
    <w:rsid w:val="00185591"/>
    <w:rsid w:val="001878D8"/>
    <w:rsid w:val="00190578"/>
    <w:rsid w:val="001A371A"/>
    <w:rsid w:val="001A383A"/>
    <w:rsid w:val="001D00B4"/>
    <w:rsid w:val="001E3E80"/>
    <w:rsid w:val="002248E8"/>
    <w:rsid w:val="00226879"/>
    <w:rsid w:val="00243832"/>
    <w:rsid w:val="00253D28"/>
    <w:rsid w:val="00257289"/>
    <w:rsid w:val="00263A9F"/>
    <w:rsid w:val="00267EF8"/>
    <w:rsid w:val="002873F9"/>
    <w:rsid w:val="00287D30"/>
    <w:rsid w:val="002B483E"/>
    <w:rsid w:val="002B7EE1"/>
    <w:rsid w:val="002C0310"/>
    <w:rsid w:val="002C0E9B"/>
    <w:rsid w:val="002D0EE0"/>
    <w:rsid w:val="002D6E26"/>
    <w:rsid w:val="002F6E16"/>
    <w:rsid w:val="00301D1B"/>
    <w:rsid w:val="00304E2C"/>
    <w:rsid w:val="00343791"/>
    <w:rsid w:val="0035699C"/>
    <w:rsid w:val="00361F1F"/>
    <w:rsid w:val="00363D8D"/>
    <w:rsid w:val="003853C1"/>
    <w:rsid w:val="003C14D2"/>
    <w:rsid w:val="003C43E6"/>
    <w:rsid w:val="003C7245"/>
    <w:rsid w:val="003D3004"/>
    <w:rsid w:val="003F1F56"/>
    <w:rsid w:val="004112DF"/>
    <w:rsid w:val="00414C1A"/>
    <w:rsid w:val="004211D3"/>
    <w:rsid w:val="004317E1"/>
    <w:rsid w:val="00443C3D"/>
    <w:rsid w:val="00463485"/>
    <w:rsid w:val="0047329F"/>
    <w:rsid w:val="004845FE"/>
    <w:rsid w:val="004859FF"/>
    <w:rsid w:val="00486254"/>
    <w:rsid w:val="00491A8D"/>
    <w:rsid w:val="00494E39"/>
    <w:rsid w:val="004A2916"/>
    <w:rsid w:val="004B6FF6"/>
    <w:rsid w:val="004C00A5"/>
    <w:rsid w:val="004F1152"/>
    <w:rsid w:val="004F30F9"/>
    <w:rsid w:val="004F3DF5"/>
    <w:rsid w:val="004F5B9D"/>
    <w:rsid w:val="00500034"/>
    <w:rsid w:val="00501B52"/>
    <w:rsid w:val="0052051E"/>
    <w:rsid w:val="005367E3"/>
    <w:rsid w:val="0054285D"/>
    <w:rsid w:val="00566472"/>
    <w:rsid w:val="005870FA"/>
    <w:rsid w:val="005D7F11"/>
    <w:rsid w:val="005E21EF"/>
    <w:rsid w:val="005E60BE"/>
    <w:rsid w:val="00611424"/>
    <w:rsid w:val="00644162"/>
    <w:rsid w:val="00651680"/>
    <w:rsid w:val="00661D5F"/>
    <w:rsid w:val="00672CC9"/>
    <w:rsid w:val="00685411"/>
    <w:rsid w:val="00691481"/>
    <w:rsid w:val="00692F5B"/>
    <w:rsid w:val="006A6FAA"/>
    <w:rsid w:val="006C05AD"/>
    <w:rsid w:val="006D0E3A"/>
    <w:rsid w:val="006D36E6"/>
    <w:rsid w:val="006D5C79"/>
    <w:rsid w:val="006D7438"/>
    <w:rsid w:val="006D77ED"/>
    <w:rsid w:val="006E6CAF"/>
    <w:rsid w:val="006F2AB3"/>
    <w:rsid w:val="00722694"/>
    <w:rsid w:val="0072761D"/>
    <w:rsid w:val="00745D40"/>
    <w:rsid w:val="0077776F"/>
    <w:rsid w:val="007968F0"/>
    <w:rsid w:val="007A1C24"/>
    <w:rsid w:val="007B49C8"/>
    <w:rsid w:val="007B7095"/>
    <w:rsid w:val="007C1491"/>
    <w:rsid w:val="007C4CB9"/>
    <w:rsid w:val="007C5D40"/>
    <w:rsid w:val="007D7FB0"/>
    <w:rsid w:val="007F22F1"/>
    <w:rsid w:val="008112D6"/>
    <w:rsid w:val="00820FD9"/>
    <w:rsid w:val="008460F8"/>
    <w:rsid w:val="00851BE1"/>
    <w:rsid w:val="00867118"/>
    <w:rsid w:val="00870823"/>
    <w:rsid w:val="00876801"/>
    <w:rsid w:val="00882489"/>
    <w:rsid w:val="0088537D"/>
    <w:rsid w:val="00885C65"/>
    <w:rsid w:val="00890148"/>
    <w:rsid w:val="008A5130"/>
    <w:rsid w:val="008B4B96"/>
    <w:rsid w:val="008C18EE"/>
    <w:rsid w:val="008C218B"/>
    <w:rsid w:val="008D5560"/>
    <w:rsid w:val="008E7A0F"/>
    <w:rsid w:val="008F229D"/>
    <w:rsid w:val="0090114F"/>
    <w:rsid w:val="00902915"/>
    <w:rsid w:val="009146CB"/>
    <w:rsid w:val="00916BD7"/>
    <w:rsid w:val="009212A6"/>
    <w:rsid w:val="009304B4"/>
    <w:rsid w:val="00930F8D"/>
    <w:rsid w:val="009328E2"/>
    <w:rsid w:val="00933E59"/>
    <w:rsid w:val="00946254"/>
    <w:rsid w:val="009523DF"/>
    <w:rsid w:val="00971CCD"/>
    <w:rsid w:val="009A25FF"/>
    <w:rsid w:val="009B0CFA"/>
    <w:rsid w:val="009C126B"/>
    <w:rsid w:val="009F0011"/>
    <w:rsid w:val="009F2C32"/>
    <w:rsid w:val="009F43EB"/>
    <w:rsid w:val="00A216D7"/>
    <w:rsid w:val="00A3790D"/>
    <w:rsid w:val="00A37B91"/>
    <w:rsid w:val="00A61E90"/>
    <w:rsid w:val="00A86816"/>
    <w:rsid w:val="00A87D9C"/>
    <w:rsid w:val="00A964BF"/>
    <w:rsid w:val="00AA088B"/>
    <w:rsid w:val="00AA1660"/>
    <w:rsid w:val="00AB014D"/>
    <w:rsid w:val="00AB182B"/>
    <w:rsid w:val="00AB3B24"/>
    <w:rsid w:val="00AB579E"/>
    <w:rsid w:val="00AC6F5F"/>
    <w:rsid w:val="00AD1245"/>
    <w:rsid w:val="00AF42D2"/>
    <w:rsid w:val="00AF590B"/>
    <w:rsid w:val="00B1228C"/>
    <w:rsid w:val="00B211C4"/>
    <w:rsid w:val="00B244F5"/>
    <w:rsid w:val="00B43F63"/>
    <w:rsid w:val="00B5235E"/>
    <w:rsid w:val="00B76CBA"/>
    <w:rsid w:val="00B95325"/>
    <w:rsid w:val="00B95492"/>
    <w:rsid w:val="00B97C6C"/>
    <w:rsid w:val="00BA2795"/>
    <w:rsid w:val="00BA2AF8"/>
    <w:rsid w:val="00BB3778"/>
    <w:rsid w:val="00BB4199"/>
    <w:rsid w:val="00BD184E"/>
    <w:rsid w:val="00BD6E88"/>
    <w:rsid w:val="00BE5EF2"/>
    <w:rsid w:val="00C0060C"/>
    <w:rsid w:val="00C070E8"/>
    <w:rsid w:val="00C10E28"/>
    <w:rsid w:val="00C146F5"/>
    <w:rsid w:val="00C44D0E"/>
    <w:rsid w:val="00C50C95"/>
    <w:rsid w:val="00C700F0"/>
    <w:rsid w:val="00C74110"/>
    <w:rsid w:val="00C84F98"/>
    <w:rsid w:val="00C854F7"/>
    <w:rsid w:val="00C9158E"/>
    <w:rsid w:val="00CC3A24"/>
    <w:rsid w:val="00CC6E3E"/>
    <w:rsid w:val="00CD2149"/>
    <w:rsid w:val="00CE1BD6"/>
    <w:rsid w:val="00CF45A3"/>
    <w:rsid w:val="00D05F89"/>
    <w:rsid w:val="00D1601F"/>
    <w:rsid w:val="00D1772A"/>
    <w:rsid w:val="00D24C2A"/>
    <w:rsid w:val="00D25E90"/>
    <w:rsid w:val="00D44284"/>
    <w:rsid w:val="00D44898"/>
    <w:rsid w:val="00D5114B"/>
    <w:rsid w:val="00D666B4"/>
    <w:rsid w:val="00D67F12"/>
    <w:rsid w:val="00D74667"/>
    <w:rsid w:val="00D76ED7"/>
    <w:rsid w:val="00D84BFC"/>
    <w:rsid w:val="00D90322"/>
    <w:rsid w:val="00D916DD"/>
    <w:rsid w:val="00D94D3A"/>
    <w:rsid w:val="00DB6DFC"/>
    <w:rsid w:val="00DC22DD"/>
    <w:rsid w:val="00DF70A4"/>
    <w:rsid w:val="00E03CD5"/>
    <w:rsid w:val="00E1174E"/>
    <w:rsid w:val="00E13390"/>
    <w:rsid w:val="00E535E4"/>
    <w:rsid w:val="00E563BE"/>
    <w:rsid w:val="00E63438"/>
    <w:rsid w:val="00E67C69"/>
    <w:rsid w:val="00E70BCB"/>
    <w:rsid w:val="00E8315B"/>
    <w:rsid w:val="00EA1168"/>
    <w:rsid w:val="00EB5EAB"/>
    <w:rsid w:val="00EB6CC6"/>
    <w:rsid w:val="00EC520D"/>
    <w:rsid w:val="00ED16E7"/>
    <w:rsid w:val="00ED6CEB"/>
    <w:rsid w:val="00EE0BDB"/>
    <w:rsid w:val="00EE442F"/>
    <w:rsid w:val="00EF1866"/>
    <w:rsid w:val="00EF2D32"/>
    <w:rsid w:val="00F11993"/>
    <w:rsid w:val="00F17367"/>
    <w:rsid w:val="00F24F4B"/>
    <w:rsid w:val="00F420A3"/>
    <w:rsid w:val="00F42E7E"/>
    <w:rsid w:val="00F4598B"/>
    <w:rsid w:val="00F50518"/>
    <w:rsid w:val="00F524B9"/>
    <w:rsid w:val="00F54690"/>
    <w:rsid w:val="00F605AD"/>
    <w:rsid w:val="00F6768E"/>
    <w:rsid w:val="00F91238"/>
    <w:rsid w:val="00F92519"/>
    <w:rsid w:val="00FB3B10"/>
    <w:rsid w:val="00FB4BAE"/>
    <w:rsid w:val="00FE213A"/>
    <w:rsid w:val="00FF22A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D0551B"/>
  <w15:chartTrackingRefBased/>
  <w15:docId w15:val="{15B2352E-E245-48C4-869A-52629269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3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Transportacion</dc:creator>
  <cp:keywords/>
  <cp:lastModifiedBy>Gladys J. Burgos Torres</cp:lastModifiedBy>
  <cp:revision>4</cp:revision>
  <cp:lastPrinted>2016-01-28T14:44:00Z</cp:lastPrinted>
  <dcterms:created xsi:type="dcterms:W3CDTF">2026-01-19T17:50:00Z</dcterms:created>
  <dcterms:modified xsi:type="dcterms:W3CDTF">2026-01-21T15:59:00Z</dcterms:modified>
</cp:coreProperties>
</file>