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0C7F98">
      <w:pPr>
        <w:ind w:left="2160" w:firstLine="720"/>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5C80CC94"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1B3B9F">
        <w:rPr>
          <w:rFonts w:ascii="Book Antiqua" w:hAnsi="Book Antiqua"/>
          <w:b/>
          <w:sz w:val="52"/>
          <w:szCs w:val="52"/>
          <w:lang w:val="es-ES"/>
        </w:rPr>
        <w:t>1065</w:t>
      </w:r>
    </w:p>
    <w:p w14:paraId="35CFB7DE" w14:textId="77777777" w:rsidR="00ED30AA" w:rsidRPr="000E7F54" w:rsidRDefault="00ED30AA" w:rsidP="00ED30AA">
      <w:pPr>
        <w:jc w:val="center"/>
        <w:rPr>
          <w:rFonts w:ascii="Book Antiqua" w:hAnsi="Book Antiqua"/>
          <w:sz w:val="28"/>
          <w:szCs w:val="28"/>
          <w:lang w:val="es-ES"/>
        </w:rPr>
      </w:pPr>
    </w:p>
    <w:p w14:paraId="25A7CA79" w14:textId="52E3CCF7"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2D55BC">
        <w:rPr>
          <w:rFonts w:ascii="Book Antiqua" w:hAnsi="Book Antiqua"/>
          <w:sz w:val="28"/>
          <w:szCs w:val="28"/>
          <w:lang w:val="es-ES"/>
        </w:rPr>
        <w:t>NEGATIVO</w:t>
      </w:r>
    </w:p>
    <w:p w14:paraId="310F564E" w14:textId="77777777" w:rsidR="00ED30AA" w:rsidRPr="000E7F54" w:rsidRDefault="00ED30AA" w:rsidP="000C7F98">
      <w:pPr>
        <w:rPr>
          <w:rFonts w:ascii="Book Antiqua" w:hAnsi="Book Antiqua"/>
          <w:bCs/>
          <w:sz w:val="28"/>
          <w:szCs w:val="28"/>
          <w:lang w:val="es-ES"/>
        </w:rPr>
      </w:pPr>
    </w:p>
    <w:p w14:paraId="346EB9B7" w14:textId="74F103DC" w:rsidR="00ED30AA" w:rsidRPr="000E7F54" w:rsidRDefault="00822844" w:rsidP="00ED30AA">
      <w:pPr>
        <w:jc w:val="center"/>
        <w:rPr>
          <w:rFonts w:ascii="Book Antiqua" w:hAnsi="Book Antiqua"/>
          <w:szCs w:val="24"/>
          <w:lang w:val="es-ES"/>
        </w:rPr>
      </w:pPr>
      <w:r>
        <w:rPr>
          <w:rFonts w:ascii="Book Antiqua" w:hAnsi="Book Antiqua"/>
          <w:bCs/>
          <w:szCs w:val="24"/>
          <w:lang w:val="es-ES"/>
        </w:rPr>
        <w:t>18</w:t>
      </w:r>
      <w:r w:rsidR="00277C23">
        <w:rPr>
          <w:rFonts w:ascii="Book Antiqua" w:hAnsi="Book Antiqua"/>
          <w:bCs/>
          <w:szCs w:val="24"/>
          <w:lang w:val="es-ES"/>
        </w:rPr>
        <w:t xml:space="preserve"> DE</w:t>
      </w:r>
      <w:r w:rsidR="00A21834">
        <w:rPr>
          <w:rFonts w:ascii="Book Antiqua" w:hAnsi="Book Antiqua"/>
          <w:bCs/>
          <w:szCs w:val="24"/>
          <w:lang w:val="es-ES"/>
        </w:rPr>
        <w:t xml:space="preserve"> JUNIO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2DAFBE7" w14:textId="0D90AE97" w:rsidR="0086325E" w:rsidRDefault="00ED30AA" w:rsidP="00ED3F35">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1B3B9F">
        <w:rPr>
          <w:rFonts w:ascii="Book Antiqua" w:hAnsi="Book Antiqua"/>
          <w:b/>
          <w:bCs/>
          <w:szCs w:val="24"/>
          <w:lang w:val="es-ES"/>
        </w:rPr>
        <w:t>1065</w:t>
      </w:r>
      <w:r w:rsidR="0086325E" w:rsidRPr="0086325E">
        <w:rPr>
          <w:rFonts w:ascii="Book Antiqua" w:hAnsi="Book Antiqua"/>
          <w:szCs w:val="24"/>
          <w:lang w:val="es-ES"/>
        </w:rPr>
        <w:t>, así como los memoriales y</w:t>
      </w:r>
      <w:r w:rsidR="00ED3F35">
        <w:rPr>
          <w:rFonts w:ascii="Book Antiqua" w:hAnsi="Book Antiqua"/>
          <w:szCs w:val="24"/>
          <w:lang w:val="es-ES"/>
        </w:rPr>
        <w:t>/o</w:t>
      </w:r>
      <w:r w:rsidR="0086325E" w:rsidRPr="0086325E">
        <w:rPr>
          <w:rFonts w:ascii="Book Antiqua" w:hAnsi="Book Antiqua"/>
          <w:szCs w:val="24"/>
          <w:lang w:val="es-ES"/>
        </w:rPr>
        <w:t xml:space="preserve"> ponencias recibidas, comparece respetuosamente para rendir este </w:t>
      </w:r>
      <w:r w:rsidR="00257C58">
        <w:rPr>
          <w:rFonts w:ascii="Book Antiqua" w:hAnsi="Book Antiqua"/>
          <w:szCs w:val="24"/>
          <w:lang w:val="es-ES"/>
        </w:rPr>
        <w:t xml:space="preserve">Informe </w:t>
      </w:r>
      <w:r w:rsidR="00F82CDD">
        <w:rPr>
          <w:rFonts w:ascii="Book Antiqua" w:hAnsi="Book Antiqua"/>
          <w:szCs w:val="24"/>
          <w:lang w:val="es-ES"/>
        </w:rPr>
        <w:t>Negativo</w:t>
      </w:r>
      <w:r w:rsidR="0086325E" w:rsidRPr="0086325E">
        <w:rPr>
          <w:rFonts w:ascii="Book Antiqua" w:hAnsi="Book Antiqua"/>
          <w:szCs w:val="24"/>
          <w:lang w:val="es-ES"/>
        </w:rPr>
        <w:t xml:space="preserve">, </w:t>
      </w:r>
      <w:r w:rsidR="00257C58">
        <w:rPr>
          <w:rFonts w:ascii="Book Antiqua" w:hAnsi="Book Antiqua"/>
          <w:szCs w:val="24"/>
          <w:lang w:val="es-ES"/>
        </w:rPr>
        <w:t>recomendado que la medida</w:t>
      </w:r>
      <w:r w:rsidR="00F82CDD">
        <w:rPr>
          <w:rFonts w:ascii="Book Antiqua" w:hAnsi="Book Antiqua"/>
          <w:szCs w:val="24"/>
          <w:lang w:val="es-ES"/>
        </w:rPr>
        <w:t xml:space="preserve"> no</w:t>
      </w:r>
      <w:r w:rsidR="00257C58">
        <w:rPr>
          <w:rFonts w:ascii="Book Antiqua" w:hAnsi="Book Antiqua"/>
          <w:szCs w:val="24"/>
          <w:lang w:val="es-ES"/>
        </w:rPr>
        <w:t xml:space="preserve"> sea aprobada. </w:t>
      </w:r>
    </w:p>
    <w:p w14:paraId="306ECD5D" w14:textId="77777777" w:rsidR="00ED3F35" w:rsidRPr="00ED3F35" w:rsidRDefault="00ED3F35" w:rsidP="00ED3F35">
      <w:pPr>
        <w:ind w:firstLine="720"/>
        <w:jc w:val="both"/>
        <w:rPr>
          <w:rFonts w:ascii="Book Antiqua" w:hAnsi="Book Antiqua"/>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D62F9F" w:rsidRDefault="00ED30AA" w:rsidP="00ED30AA">
      <w:pPr>
        <w:jc w:val="center"/>
        <w:rPr>
          <w:rFonts w:ascii="Book Antiqua" w:hAnsi="Book Antiqua"/>
          <w:szCs w:val="24"/>
          <w:lang w:val="es-ES"/>
        </w:rPr>
      </w:pPr>
    </w:p>
    <w:p w14:paraId="3FF83D0F" w14:textId="7758F480" w:rsidR="008D4ABA" w:rsidRPr="00D62F9F" w:rsidRDefault="008617E2" w:rsidP="00257C58">
      <w:pPr>
        <w:tabs>
          <w:tab w:val="left" w:pos="360"/>
        </w:tabs>
        <w:ind w:left="720" w:hanging="720"/>
        <w:jc w:val="both"/>
        <w:rPr>
          <w:rFonts w:ascii="Book Antiqua" w:hAnsi="Book Antiqua"/>
          <w:lang w:val="es-ES"/>
        </w:rPr>
      </w:pPr>
      <w:r w:rsidRPr="00D62F9F">
        <w:rPr>
          <w:rFonts w:ascii="Book Antiqua" w:hAnsi="Book Antiqua"/>
          <w:bCs/>
          <w:szCs w:val="24"/>
          <w:lang w:val="es-ES"/>
        </w:rPr>
        <w:t>“</w:t>
      </w:r>
      <w:r w:rsidR="001B3B9F" w:rsidRPr="00D62F9F">
        <w:rPr>
          <w:rFonts w:ascii="Book Antiqua" w:hAnsi="Book Antiqua"/>
          <w:lang w:val="es-PR"/>
        </w:rPr>
        <w:t xml:space="preserve">Para enmendar los Artículos 1, 2 y 4 de la Ley Núm. 134 de 19 de julio de 1960, según enmendada, conocida como “Ley para Autorizar el Descuento de Cuotas de Asociaciones, Federaciones o Uniones de los Empleados del Gobierno de Puerto Rico”, a los fines de extender el derecho al descuento de cuotas a </w:t>
      </w:r>
      <w:proofErr w:type="gramStart"/>
      <w:r w:rsidR="001B3B9F" w:rsidRPr="00D62F9F">
        <w:rPr>
          <w:rFonts w:ascii="Book Antiqua" w:hAnsi="Book Antiqua"/>
          <w:lang w:val="es-PR"/>
        </w:rPr>
        <w:t>los empleados y las empleadas</w:t>
      </w:r>
      <w:proofErr w:type="gramEnd"/>
      <w:r w:rsidR="001B3B9F" w:rsidRPr="00D62F9F">
        <w:rPr>
          <w:rFonts w:ascii="Book Antiqua" w:hAnsi="Book Antiqua"/>
          <w:lang w:val="es-PR"/>
        </w:rPr>
        <w:t xml:space="preserve"> de carrera de la Rama Judicial</w:t>
      </w:r>
      <w:r w:rsidRPr="00D62F9F">
        <w:rPr>
          <w:rFonts w:ascii="Book Antiqua" w:hAnsi="Book Antiqua"/>
          <w:bCs/>
          <w:szCs w:val="24"/>
          <w:lang w:val="es-ES"/>
        </w:rPr>
        <w:t>.”</w:t>
      </w:r>
    </w:p>
    <w:p w14:paraId="1A6B5788" w14:textId="77777777" w:rsidR="008617E2" w:rsidRPr="001B3B9F" w:rsidRDefault="008617E2" w:rsidP="008617E2">
      <w:pPr>
        <w:ind w:firstLine="720"/>
        <w:rPr>
          <w:rFonts w:ascii="Book Antiqua" w:hAnsi="Book Antiqua"/>
          <w:b/>
          <w:szCs w:val="24"/>
          <w:lang w:val="es-PR"/>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629650ED" w:rsidR="001C0C85" w:rsidRDefault="001C0C85" w:rsidP="001B3B9F">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8617E2">
        <w:rPr>
          <w:rFonts w:ascii="Book Antiqua" w:hAnsi="Book Antiqua"/>
          <w:bCs/>
          <w:szCs w:val="24"/>
          <w:lang w:val="es-ES"/>
        </w:rPr>
        <w:t>solicitó memorial explicativo al</w:t>
      </w:r>
      <w:r w:rsidR="00ED3F35">
        <w:rPr>
          <w:rFonts w:ascii="Book Antiqua" w:hAnsi="Book Antiqua"/>
          <w:bCs/>
          <w:szCs w:val="24"/>
          <w:lang w:val="es-ES"/>
        </w:rPr>
        <w:t xml:space="preserve"> </w:t>
      </w:r>
      <w:r w:rsidR="001B3B9F" w:rsidRPr="001B3B9F">
        <w:rPr>
          <w:rFonts w:ascii="Book Antiqua" w:hAnsi="Book Antiqua"/>
          <w:b/>
          <w:szCs w:val="24"/>
          <w:lang w:val="es-ES"/>
        </w:rPr>
        <w:t>Asociación de Empleados Judiciales (AEJ)</w:t>
      </w:r>
      <w:r w:rsidR="001B3B9F" w:rsidRPr="001B3B9F">
        <w:rPr>
          <w:rStyle w:val="FootnoteReference"/>
          <w:rFonts w:ascii="Book Antiqua" w:hAnsi="Book Antiqua"/>
          <w:b/>
          <w:szCs w:val="24"/>
          <w:lang w:val="es-ES"/>
        </w:rPr>
        <w:footnoteReference w:id="1"/>
      </w:r>
      <w:r w:rsidR="001B3B9F">
        <w:rPr>
          <w:rFonts w:ascii="Book Antiqua" w:hAnsi="Book Antiqua"/>
          <w:bCs/>
          <w:szCs w:val="24"/>
          <w:lang w:val="es-ES"/>
        </w:rPr>
        <w:t xml:space="preserve"> </w:t>
      </w:r>
      <w:r w:rsidR="00257C58">
        <w:rPr>
          <w:rFonts w:ascii="Book Antiqua" w:hAnsi="Book Antiqua"/>
          <w:b/>
          <w:szCs w:val="24"/>
          <w:lang w:val="es-ES"/>
        </w:rPr>
        <w:t>Oficina de Administración y Transformación de los Recursos Humanos del Gobierno de Puerto Rico</w:t>
      </w:r>
      <w:r w:rsidR="00ED3F35">
        <w:rPr>
          <w:rFonts w:ascii="Book Antiqua" w:hAnsi="Book Antiqua"/>
          <w:b/>
          <w:szCs w:val="24"/>
          <w:lang w:val="es-ES"/>
        </w:rPr>
        <w:t xml:space="preserve"> (</w:t>
      </w:r>
      <w:r w:rsidR="00257C58">
        <w:rPr>
          <w:rFonts w:ascii="Book Antiqua" w:hAnsi="Book Antiqua"/>
          <w:b/>
          <w:szCs w:val="24"/>
          <w:lang w:val="es-ES"/>
        </w:rPr>
        <w:t>OATRH</w:t>
      </w:r>
      <w:r w:rsidR="00ED3F35">
        <w:rPr>
          <w:rFonts w:ascii="Book Antiqua" w:hAnsi="Book Antiqua"/>
          <w:b/>
          <w:szCs w:val="24"/>
          <w:lang w:val="es-ES"/>
        </w:rPr>
        <w:t>)</w:t>
      </w:r>
      <w:r w:rsidR="008617E2">
        <w:rPr>
          <w:rStyle w:val="FootnoteReference"/>
          <w:rFonts w:ascii="Book Antiqua" w:hAnsi="Book Antiqua"/>
          <w:b/>
          <w:szCs w:val="24"/>
          <w:lang w:val="es-ES"/>
        </w:rPr>
        <w:footnoteReference w:id="2"/>
      </w:r>
      <w:r w:rsidR="008617E2">
        <w:rPr>
          <w:rFonts w:ascii="Book Antiqua" w:hAnsi="Book Antiqua"/>
          <w:b/>
          <w:szCs w:val="24"/>
          <w:lang w:val="es-ES"/>
        </w:rPr>
        <w:t xml:space="preserve">, a </w:t>
      </w:r>
      <w:r w:rsidR="001B3B9F">
        <w:rPr>
          <w:rFonts w:ascii="Book Antiqua" w:hAnsi="Book Antiqua"/>
          <w:b/>
          <w:szCs w:val="24"/>
          <w:lang w:val="es-ES"/>
        </w:rPr>
        <w:t>la Oficina de Administración de los Tribunales (OAT)</w:t>
      </w:r>
      <w:r w:rsidR="001B3B9F">
        <w:rPr>
          <w:rStyle w:val="FootnoteReference"/>
          <w:rFonts w:ascii="Book Antiqua" w:hAnsi="Book Antiqua"/>
          <w:b/>
          <w:szCs w:val="24"/>
          <w:lang w:val="es-ES"/>
        </w:rPr>
        <w:footnoteReference w:id="3"/>
      </w:r>
      <w:r w:rsidR="001B3B9F">
        <w:rPr>
          <w:rFonts w:ascii="Book Antiqua" w:hAnsi="Book Antiqua"/>
          <w:b/>
          <w:szCs w:val="24"/>
          <w:lang w:val="es-ES"/>
        </w:rPr>
        <w:t xml:space="preserve">, </w:t>
      </w:r>
      <w:r w:rsidR="00257C58">
        <w:rPr>
          <w:rFonts w:ascii="Book Antiqua" w:hAnsi="Book Antiqua"/>
          <w:b/>
          <w:szCs w:val="24"/>
          <w:lang w:val="es-ES"/>
        </w:rPr>
        <w:t>Oficina de Gerencia y Presupuesto</w:t>
      </w:r>
      <w:r w:rsidR="008617E2">
        <w:rPr>
          <w:rFonts w:ascii="Book Antiqua" w:hAnsi="Book Antiqua"/>
          <w:b/>
          <w:szCs w:val="24"/>
          <w:lang w:val="es-ES"/>
        </w:rPr>
        <w:t xml:space="preserve"> (</w:t>
      </w:r>
      <w:r w:rsidR="00257C58">
        <w:rPr>
          <w:rFonts w:ascii="Book Antiqua" w:hAnsi="Book Antiqua"/>
          <w:b/>
          <w:szCs w:val="24"/>
          <w:lang w:val="es-ES"/>
        </w:rPr>
        <w:t>OGP</w:t>
      </w:r>
      <w:r w:rsidR="008617E2">
        <w:rPr>
          <w:rFonts w:ascii="Book Antiqua" w:hAnsi="Book Antiqua"/>
          <w:b/>
          <w:szCs w:val="24"/>
          <w:lang w:val="es-ES"/>
        </w:rPr>
        <w:t>)</w:t>
      </w:r>
      <w:r w:rsidR="008617E2">
        <w:rPr>
          <w:rStyle w:val="FootnoteReference"/>
          <w:rFonts w:ascii="Book Antiqua" w:hAnsi="Book Antiqua"/>
          <w:b/>
          <w:szCs w:val="24"/>
          <w:lang w:val="es-ES"/>
        </w:rPr>
        <w:footnoteReference w:id="4"/>
      </w:r>
      <w:r w:rsidR="008617E2">
        <w:rPr>
          <w:rFonts w:ascii="Book Antiqua" w:hAnsi="Book Antiqua"/>
          <w:b/>
          <w:szCs w:val="24"/>
          <w:lang w:val="es-ES"/>
        </w:rPr>
        <w:t xml:space="preserve">, </w:t>
      </w:r>
      <w:r w:rsidR="00257C58">
        <w:rPr>
          <w:rFonts w:ascii="Book Antiqua" w:hAnsi="Book Antiqua"/>
          <w:b/>
          <w:szCs w:val="24"/>
          <w:lang w:val="es-ES"/>
        </w:rPr>
        <w:t>al Departamento de Hacienda</w:t>
      </w:r>
      <w:r w:rsidR="008617E2">
        <w:rPr>
          <w:rFonts w:ascii="Book Antiqua" w:hAnsi="Book Antiqua"/>
          <w:b/>
          <w:szCs w:val="24"/>
          <w:lang w:val="es-ES"/>
        </w:rPr>
        <w:t xml:space="preserve"> (</w:t>
      </w:r>
      <w:r w:rsidR="00257C58">
        <w:rPr>
          <w:rFonts w:ascii="Book Antiqua" w:hAnsi="Book Antiqua"/>
          <w:b/>
          <w:szCs w:val="24"/>
          <w:lang w:val="es-ES"/>
        </w:rPr>
        <w:t>DH</w:t>
      </w:r>
      <w:r w:rsidR="008617E2">
        <w:rPr>
          <w:rFonts w:ascii="Book Antiqua" w:hAnsi="Book Antiqua"/>
          <w:b/>
          <w:szCs w:val="24"/>
          <w:lang w:val="es-ES"/>
        </w:rPr>
        <w:t>)</w:t>
      </w:r>
      <w:r w:rsidR="008617E2">
        <w:rPr>
          <w:rStyle w:val="FootnoteReference"/>
          <w:rFonts w:ascii="Book Antiqua" w:hAnsi="Book Antiqua"/>
          <w:b/>
          <w:szCs w:val="24"/>
          <w:lang w:val="es-ES"/>
        </w:rPr>
        <w:footnoteReference w:id="5"/>
      </w:r>
      <w:r w:rsidR="008617E2">
        <w:rPr>
          <w:rFonts w:ascii="Book Antiqua" w:hAnsi="Book Antiqua"/>
          <w:b/>
          <w:szCs w:val="24"/>
          <w:lang w:val="es-ES"/>
        </w:rPr>
        <w:t xml:space="preserve">, </w:t>
      </w:r>
      <w:r w:rsidR="00257C58">
        <w:rPr>
          <w:rFonts w:ascii="Book Antiqua" w:hAnsi="Book Antiqua"/>
          <w:b/>
          <w:szCs w:val="24"/>
          <w:lang w:val="es-ES"/>
        </w:rPr>
        <w:t xml:space="preserve"> a la </w:t>
      </w:r>
      <w:r w:rsidR="001B3B9F">
        <w:rPr>
          <w:rFonts w:ascii="Book Antiqua" w:hAnsi="Book Antiqua"/>
          <w:b/>
          <w:szCs w:val="24"/>
          <w:lang w:val="es-ES"/>
        </w:rPr>
        <w:lastRenderedPageBreak/>
        <w:t>Departamento de Justicia</w:t>
      </w:r>
      <w:r w:rsidR="008617E2">
        <w:rPr>
          <w:rFonts w:ascii="Book Antiqua" w:hAnsi="Book Antiqua"/>
          <w:b/>
          <w:szCs w:val="24"/>
          <w:lang w:val="es-ES"/>
        </w:rPr>
        <w:t xml:space="preserve"> (</w:t>
      </w:r>
      <w:r w:rsidR="001B3B9F">
        <w:rPr>
          <w:rFonts w:ascii="Book Antiqua" w:hAnsi="Book Antiqua"/>
          <w:b/>
          <w:szCs w:val="24"/>
          <w:lang w:val="es-ES"/>
        </w:rPr>
        <w:t>DJ</w:t>
      </w:r>
      <w:r w:rsidR="00257C58">
        <w:rPr>
          <w:rFonts w:ascii="Book Antiqua" w:hAnsi="Book Antiqua"/>
          <w:b/>
          <w:szCs w:val="24"/>
          <w:lang w:val="es-ES"/>
        </w:rPr>
        <w:t>)</w:t>
      </w:r>
      <w:r w:rsidR="00257C58">
        <w:rPr>
          <w:rStyle w:val="FootnoteReference"/>
          <w:rFonts w:ascii="Book Antiqua" w:hAnsi="Book Antiqua"/>
          <w:b/>
          <w:szCs w:val="24"/>
          <w:lang w:val="es-ES"/>
        </w:rPr>
        <w:footnoteReference w:id="6"/>
      </w:r>
      <w:r w:rsidR="001B3B9F">
        <w:rPr>
          <w:rFonts w:ascii="Book Antiqua" w:hAnsi="Book Antiqua"/>
          <w:b/>
          <w:szCs w:val="24"/>
          <w:lang w:val="es-ES"/>
        </w:rPr>
        <w:t xml:space="preserve"> y al </w:t>
      </w:r>
      <w:r w:rsidR="001B3B9F" w:rsidRPr="001B3B9F">
        <w:rPr>
          <w:rFonts w:ascii="Book Antiqua" w:hAnsi="Book Antiqua"/>
          <w:b/>
          <w:szCs w:val="24"/>
          <w:lang w:val="es-ES"/>
        </w:rPr>
        <w:t>Departamento del Trabajo y Recursos Humanos</w:t>
      </w:r>
      <w:r w:rsidR="001B3B9F">
        <w:rPr>
          <w:rFonts w:ascii="Book Antiqua" w:hAnsi="Book Antiqua"/>
          <w:b/>
          <w:szCs w:val="24"/>
          <w:lang w:val="es-ES"/>
        </w:rPr>
        <w:t xml:space="preserve"> (DTRH)</w:t>
      </w:r>
      <w:r w:rsidR="001B3B9F">
        <w:rPr>
          <w:rStyle w:val="FootnoteReference"/>
          <w:rFonts w:ascii="Book Antiqua" w:hAnsi="Book Antiqua"/>
          <w:b/>
          <w:szCs w:val="24"/>
          <w:lang w:val="es-ES"/>
        </w:rPr>
        <w:footnoteReference w:id="7"/>
      </w:r>
      <w:r w:rsidR="00F87CF3">
        <w:rPr>
          <w:rFonts w:ascii="Book Antiqua" w:hAnsi="Book Antiqua"/>
          <w:b/>
          <w:szCs w:val="24"/>
          <w:lang w:val="es-ES"/>
        </w:rPr>
        <w:t>.</w:t>
      </w:r>
    </w:p>
    <w:p w14:paraId="3E9EF414" w14:textId="77777777" w:rsidR="00F87CF3" w:rsidRDefault="00F87CF3" w:rsidP="001B3B9F">
      <w:pPr>
        <w:ind w:firstLine="720"/>
        <w:jc w:val="both"/>
        <w:rPr>
          <w:rFonts w:ascii="Book Antiqua" w:hAnsi="Book Antiqua"/>
          <w:b/>
          <w:szCs w:val="24"/>
          <w:lang w:val="es-ES"/>
        </w:rPr>
      </w:pPr>
    </w:p>
    <w:p w14:paraId="7DBFB65B" w14:textId="7C4A35D8" w:rsidR="008617E2" w:rsidRDefault="00F87CF3" w:rsidP="00F87CF3">
      <w:pPr>
        <w:jc w:val="center"/>
        <w:rPr>
          <w:rFonts w:ascii="Book Antiqua" w:hAnsi="Book Antiqua"/>
          <w:bCs/>
          <w:szCs w:val="24"/>
          <w:lang w:val="es-ES"/>
        </w:rPr>
      </w:pPr>
      <w:r w:rsidRPr="00F87CF3">
        <w:rPr>
          <w:rFonts w:ascii="Book Antiqua" w:hAnsi="Book Antiqua"/>
          <w:b/>
          <w:szCs w:val="24"/>
          <w:u w:val="single"/>
          <w:lang w:val="es-ES"/>
        </w:rPr>
        <w:t>Asociación de Empleados Judiciales de Puerto Rico (AEJ)</w:t>
      </w:r>
    </w:p>
    <w:p w14:paraId="20174560" w14:textId="7619F0C1" w:rsidR="00F87CF3" w:rsidRPr="00F87CF3" w:rsidRDefault="00F87CF3" w:rsidP="00F87CF3">
      <w:pPr>
        <w:ind w:firstLine="720"/>
        <w:jc w:val="center"/>
        <w:rPr>
          <w:rFonts w:ascii="Book Antiqua" w:hAnsi="Book Antiqua"/>
          <w:bCs/>
          <w:szCs w:val="24"/>
          <w:lang w:val="es-ES"/>
        </w:rPr>
      </w:pPr>
      <w:r>
        <w:rPr>
          <w:rFonts w:ascii="Book Antiqua" w:hAnsi="Book Antiqua"/>
          <w:bCs/>
          <w:szCs w:val="24"/>
          <w:lang w:val="es-ES"/>
        </w:rPr>
        <w:t>(3 de febrero de 2026)</w:t>
      </w:r>
    </w:p>
    <w:p w14:paraId="078DB646" w14:textId="77777777" w:rsidR="00F87CF3" w:rsidRDefault="00F87CF3" w:rsidP="00F87CF3">
      <w:pPr>
        <w:jc w:val="center"/>
        <w:rPr>
          <w:rFonts w:ascii="Book Antiqua" w:hAnsi="Book Antiqua"/>
          <w:bCs/>
          <w:szCs w:val="24"/>
          <w:lang w:val="es-ES"/>
        </w:rPr>
      </w:pPr>
    </w:p>
    <w:p w14:paraId="6085AC93" w14:textId="493FBEF3" w:rsidR="00964006" w:rsidRDefault="00F87CF3" w:rsidP="00F87CF3">
      <w:pPr>
        <w:ind w:firstLine="720"/>
        <w:jc w:val="both"/>
        <w:rPr>
          <w:rFonts w:ascii="Book Antiqua" w:hAnsi="Book Antiqua"/>
          <w:bCs/>
          <w:szCs w:val="24"/>
          <w:lang w:val="es-ES"/>
        </w:rPr>
      </w:pPr>
      <w:r w:rsidRPr="00F87CF3">
        <w:rPr>
          <w:rFonts w:ascii="Book Antiqua" w:hAnsi="Book Antiqua"/>
          <w:bCs/>
          <w:szCs w:val="24"/>
          <w:lang w:val="es-ES"/>
        </w:rPr>
        <w:t>La AEJ</w:t>
      </w:r>
      <w:r>
        <w:rPr>
          <w:rFonts w:ascii="Book Antiqua" w:hAnsi="Book Antiqua"/>
          <w:bCs/>
          <w:szCs w:val="24"/>
          <w:lang w:val="es-ES"/>
        </w:rPr>
        <w:t xml:space="preserve"> </w:t>
      </w:r>
      <w:r w:rsidRPr="00F87CF3">
        <w:rPr>
          <w:rFonts w:ascii="Book Antiqua" w:hAnsi="Book Antiqua"/>
          <w:bCs/>
          <w:szCs w:val="24"/>
          <w:lang w:val="es-ES"/>
        </w:rPr>
        <w:t>comparece para expresar su respaldo absoluto al P. de la C. 1065, calificándolo como un acto de justicia constitucional que corrige una exclusión histórica e injustificada. La AEJ argumenta que los aproximadamente 5,000 empleados de carrera de la Rama Judicial —como alguaciles, secretarios y técnicos— desempeñan roles estrictamente administrativos y operacionales, no jurisdiccionales, por lo que su derecho a la libre asociación no interfiere con la independencia de los jueces ni con la imparcialidad del tribunal</w:t>
      </w:r>
      <w:r>
        <w:rPr>
          <w:rFonts w:ascii="Book Antiqua" w:hAnsi="Book Antiqua"/>
          <w:bCs/>
          <w:szCs w:val="24"/>
          <w:lang w:val="es-ES"/>
        </w:rPr>
        <w:t xml:space="preserve">. </w:t>
      </w:r>
      <w:r w:rsidRPr="00F87CF3">
        <w:rPr>
          <w:rFonts w:ascii="Book Antiqua" w:hAnsi="Book Antiqua"/>
          <w:bCs/>
          <w:szCs w:val="24"/>
          <w:lang w:val="es-ES"/>
        </w:rPr>
        <w:t>Sostienen que el descuento de cuotas es un mecanismo voluntario, revocable y consentido, alineado con el estándar federal del caso Janus v. AFSCME, y que su implementación no conlleva impacto fiscal ni crea sindicatos o derechos a la negociación colectiva. En su análisis, la Asociación rebate la interpretación "absolutista" de la separación de poderes, señalando que la Asamblea Legislativa ya regula otros aspectos laborales de la Rama Judicial sin menoscabar su autonomía, y enfatiza que facilitar este derecho fortalece la moral laboral y la eficiencia del servicio público.</w:t>
      </w:r>
    </w:p>
    <w:p w14:paraId="4495C513" w14:textId="77777777" w:rsidR="00F87CF3" w:rsidRPr="00F87CF3" w:rsidRDefault="00F87CF3" w:rsidP="00F87CF3">
      <w:pPr>
        <w:jc w:val="center"/>
        <w:rPr>
          <w:rFonts w:ascii="Book Antiqua" w:hAnsi="Book Antiqua"/>
          <w:bCs/>
          <w:szCs w:val="24"/>
          <w:lang w:val="es-ES"/>
        </w:rPr>
      </w:pPr>
    </w:p>
    <w:p w14:paraId="26626D7F" w14:textId="313FD7FF" w:rsidR="004A659C" w:rsidRDefault="00F0414D" w:rsidP="0062738E">
      <w:pPr>
        <w:jc w:val="center"/>
        <w:rPr>
          <w:rFonts w:ascii="Book Antiqua" w:hAnsi="Book Antiqua"/>
          <w:b/>
          <w:szCs w:val="24"/>
          <w:u w:val="single"/>
          <w:lang w:val="es-ES"/>
        </w:rPr>
      </w:pPr>
      <w:r w:rsidRPr="00F0414D">
        <w:rPr>
          <w:rFonts w:ascii="Book Antiqua" w:hAnsi="Book Antiqua"/>
          <w:b/>
          <w:szCs w:val="24"/>
          <w:u w:val="single"/>
          <w:lang w:val="es-ES"/>
        </w:rPr>
        <w:t>Oficina de Administración y Transformación de los Recursos Humanos</w:t>
      </w:r>
      <w:r>
        <w:rPr>
          <w:rFonts w:ascii="Book Antiqua" w:hAnsi="Book Antiqua"/>
          <w:b/>
          <w:szCs w:val="24"/>
          <w:u w:val="single"/>
          <w:lang w:val="es-ES"/>
        </w:rPr>
        <w:t xml:space="preserve"> (OATRH)</w:t>
      </w:r>
    </w:p>
    <w:p w14:paraId="37600A1A" w14:textId="68C882A6"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1B3B9F">
        <w:rPr>
          <w:rFonts w:ascii="Book Antiqua" w:hAnsi="Book Antiqua"/>
          <w:bCs/>
          <w:szCs w:val="24"/>
          <w:lang w:val="es-ES"/>
        </w:rPr>
        <w:t>30 de marzo</w:t>
      </w:r>
      <w:r w:rsidR="00D63234" w:rsidRPr="009C3FBC">
        <w:rPr>
          <w:rFonts w:ascii="Book Antiqua" w:hAnsi="Book Antiqua"/>
          <w:bCs/>
          <w:szCs w:val="24"/>
          <w:lang w:val="es-ES"/>
        </w:rPr>
        <w:t xml:space="preserve"> de 202</w:t>
      </w:r>
      <w:r w:rsidR="004A659C">
        <w:rPr>
          <w:rFonts w:ascii="Book Antiqua" w:hAnsi="Book Antiqua"/>
          <w:bCs/>
          <w:szCs w:val="24"/>
          <w:lang w:val="es-ES"/>
        </w:rPr>
        <w:t>6</w:t>
      </w:r>
      <w:r w:rsidRPr="009C3FBC">
        <w:rPr>
          <w:rFonts w:ascii="Book Antiqua" w:hAnsi="Book Antiqua"/>
          <w:bCs/>
          <w:szCs w:val="24"/>
          <w:lang w:val="es-ES"/>
        </w:rPr>
        <w:t>)</w:t>
      </w:r>
    </w:p>
    <w:p w14:paraId="741C8AD6" w14:textId="77777777" w:rsidR="00883C0D" w:rsidRPr="009C3FBC" w:rsidRDefault="00883C0D" w:rsidP="004A659C">
      <w:pPr>
        <w:jc w:val="both"/>
        <w:rPr>
          <w:rFonts w:ascii="Book Antiqua" w:hAnsi="Book Antiqua"/>
          <w:b/>
          <w:szCs w:val="24"/>
          <w:lang w:val="es-ES"/>
        </w:rPr>
      </w:pPr>
    </w:p>
    <w:p w14:paraId="356CBACB" w14:textId="7987224C" w:rsidR="00F0414D" w:rsidRDefault="00F0414D" w:rsidP="00F87CF3">
      <w:pPr>
        <w:ind w:firstLine="720"/>
        <w:jc w:val="both"/>
        <w:rPr>
          <w:rFonts w:ascii="Book Antiqua" w:hAnsi="Book Antiqua"/>
          <w:bCs/>
          <w:szCs w:val="24"/>
          <w:lang w:val="es-ES"/>
        </w:rPr>
      </w:pPr>
      <w:r w:rsidRPr="00F0414D">
        <w:rPr>
          <w:rFonts w:ascii="Book Antiqua" w:hAnsi="Book Antiqua"/>
          <w:bCs/>
          <w:szCs w:val="24"/>
          <w:lang w:val="es-ES"/>
        </w:rPr>
        <w:t xml:space="preserve">La OATRH </w:t>
      </w:r>
      <w:r w:rsidR="00F87CF3" w:rsidRPr="00F87CF3">
        <w:rPr>
          <w:rFonts w:ascii="Book Antiqua" w:hAnsi="Book Antiqua"/>
          <w:bCs/>
          <w:szCs w:val="24"/>
          <w:lang w:val="es-ES"/>
        </w:rPr>
        <w:t>presenta una postura de deferencia y falta de jurisdicción respecto al P. de la C. 1065. Aunque reconoce que la medida busca extender el derecho de descuento de cuotas a los empleados de carrera de la Rama Judicial —basándose en precedentes de otras jurisdicciones y en el derecho constitucional de asociación—, la OATRH aclara que su ley orgánica (Ley 8-2017) limita sus funciones exclusivamente a la Rama Ejecutiva. Al estar la Rama Judicial expresamente excluida de su ámbito de aplicación, la Oficina determina que no tiene facultad para intervenir en el asunto. Por consiguiente, recomienda a la Comisión auscultar las opiniones de</w:t>
      </w:r>
      <w:r w:rsidR="00F87CF3">
        <w:rPr>
          <w:rFonts w:ascii="Book Antiqua" w:hAnsi="Book Antiqua"/>
          <w:bCs/>
          <w:szCs w:val="24"/>
          <w:lang w:val="es-ES"/>
        </w:rPr>
        <w:t>l DJ y</w:t>
      </w:r>
      <w:r w:rsidR="00F87CF3" w:rsidRPr="00F87CF3">
        <w:rPr>
          <w:rFonts w:ascii="Book Antiqua" w:hAnsi="Book Antiqua"/>
          <w:bCs/>
          <w:szCs w:val="24"/>
          <w:lang w:val="es-ES"/>
        </w:rPr>
        <w:t xml:space="preserve"> </w:t>
      </w:r>
      <w:r w:rsidR="00F87CF3">
        <w:rPr>
          <w:rFonts w:ascii="Book Antiqua" w:hAnsi="Book Antiqua"/>
          <w:bCs/>
          <w:szCs w:val="24"/>
          <w:lang w:val="es-ES"/>
        </w:rPr>
        <w:t>el DTRH</w:t>
      </w:r>
      <w:r w:rsidR="00F87CF3" w:rsidRPr="00F87CF3">
        <w:rPr>
          <w:rFonts w:ascii="Book Antiqua" w:hAnsi="Book Antiqua"/>
          <w:bCs/>
          <w:szCs w:val="24"/>
          <w:lang w:val="es-ES"/>
        </w:rPr>
        <w:t>, quienes poseen una relación más directa con los procesos administrativos y legales que el proyecto pretende modificar.</w:t>
      </w:r>
    </w:p>
    <w:p w14:paraId="799E2044" w14:textId="77777777" w:rsidR="00F87CF3" w:rsidRDefault="00F87CF3" w:rsidP="00F87CF3">
      <w:pPr>
        <w:ind w:firstLine="720"/>
        <w:jc w:val="both"/>
        <w:rPr>
          <w:rFonts w:ascii="Book Antiqua" w:hAnsi="Book Antiqua"/>
          <w:bCs/>
          <w:szCs w:val="24"/>
          <w:lang w:val="es-ES"/>
        </w:rPr>
      </w:pPr>
    </w:p>
    <w:p w14:paraId="46A75325" w14:textId="1C5FA154" w:rsidR="001B3B9F" w:rsidRDefault="001B3B9F" w:rsidP="001A6BF9">
      <w:pPr>
        <w:ind w:firstLine="720"/>
        <w:jc w:val="center"/>
        <w:rPr>
          <w:rFonts w:ascii="Book Antiqua" w:hAnsi="Book Antiqua"/>
          <w:b/>
          <w:szCs w:val="24"/>
          <w:u w:val="single"/>
          <w:lang w:val="es-ES"/>
        </w:rPr>
      </w:pPr>
      <w:r w:rsidRPr="001B3B9F">
        <w:rPr>
          <w:rFonts w:ascii="Book Antiqua" w:hAnsi="Book Antiqua"/>
          <w:b/>
          <w:szCs w:val="24"/>
          <w:u w:val="single"/>
          <w:lang w:val="es-ES"/>
        </w:rPr>
        <w:t xml:space="preserve">Oficina de Administración de los Tribunales (OAT) </w:t>
      </w:r>
    </w:p>
    <w:p w14:paraId="1B14CC44" w14:textId="08514310" w:rsidR="001A6BF9" w:rsidRDefault="001A6BF9" w:rsidP="001A6BF9">
      <w:pPr>
        <w:ind w:firstLine="720"/>
        <w:jc w:val="center"/>
        <w:rPr>
          <w:rFonts w:ascii="Book Antiqua" w:hAnsi="Book Antiqua"/>
          <w:bCs/>
          <w:szCs w:val="24"/>
          <w:lang w:val="es-ES"/>
        </w:rPr>
      </w:pPr>
      <w:r>
        <w:rPr>
          <w:rFonts w:ascii="Book Antiqua" w:hAnsi="Book Antiqua"/>
          <w:bCs/>
          <w:szCs w:val="24"/>
          <w:lang w:val="es-ES"/>
        </w:rPr>
        <w:t>(</w:t>
      </w:r>
      <w:r w:rsidR="001B3B9F">
        <w:rPr>
          <w:rFonts w:ascii="Book Antiqua" w:hAnsi="Book Antiqua"/>
          <w:bCs/>
          <w:szCs w:val="24"/>
          <w:lang w:val="es-ES"/>
        </w:rPr>
        <w:t>1</w:t>
      </w:r>
      <w:r w:rsidR="00AB6D4B">
        <w:rPr>
          <w:rFonts w:ascii="Book Antiqua" w:hAnsi="Book Antiqua"/>
          <w:bCs/>
          <w:szCs w:val="24"/>
          <w:lang w:val="es-ES"/>
        </w:rPr>
        <w:t>5</w:t>
      </w:r>
      <w:r w:rsidR="001B3B9F">
        <w:rPr>
          <w:rFonts w:ascii="Book Antiqua" w:hAnsi="Book Antiqua"/>
          <w:bCs/>
          <w:szCs w:val="24"/>
          <w:lang w:val="es-ES"/>
        </w:rPr>
        <w:t xml:space="preserve"> </w:t>
      </w:r>
      <w:r w:rsidR="00257C58">
        <w:rPr>
          <w:rFonts w:ascii="Book Antiqua" w:hAnsi="Book Antiqua"/>
          <w:bCs/>
          <w:szCs w:val="24"/>
          <w:lang w:val="es-ES"/>
        </w:rPr>
        <w:t>de abril</w:t>
      </w:r>
      <w:r>
        <w:rPr>
          <w:rFonts w:ascii="Book Antiqua" w:hAnsi="Book Antiqua"/>
          <w:bCs/>
          <w:szCs w:val="24"/>
          <w:lang w:val="es-ES"/>
        </w:rPr>
        <w:t xml:space="preserve"> de 2026)</w:t>
      </w:r>
    </w:p>
    <w:p w14:paraId="0B5048F3" w14:textId="77777777" w:rsidR="00ED3F35" w:rsidRDefault="00ED3F35" w:rsidP="00ED3F35">
      <w:pPr>
        <w:jc w:val="both"/>
        <w:rPr>
          <w:rFonts w:ascii="Book Antiqua" w:hAnsi="Book Antiqua"/>
          <w:bCs/>
          <w:szCs w:val="24"/>
          <w:lang w:val="es-ES"/>
        </w:rPr>
      </w:pPr>
    </w:p>
    <w:p w14:paraId="0EE06FB9" w14:textId="36C8AC9F" w:rsidR="001B3B9F" w:rsidRDefault="001B3B9F" w:rsidP="001B3B9F">
      <w:pPr>
        <w:ind w:firstLine="720"/>
        <w:jc w:val="both"/>
        <w:rPr>
          <w:rFonts w:ascii="Book Antiqua" w:hAnsi="Book Antiqua"/>
          <w:bCs/>
          <w:szCs w:val="24"/>
          <w:lang w:val="es-ES"/>
        </w:rPr>
      </w:pPr>
      <w:r w:rsidRPr="001B3B9F">
        <w:rPr>
          <w:rFonts w:ascii="Book Antiqua" w:hAnsi="Book Antiqua"/>
          <w:bCs/>
          <w:szCs w:val="24"/>
          <w:lang w:val="es-ES"/>
        </w:rPr>
        <w:t xml:space="preserve">El </w:t>
      </w:r>
      <w:r>
        <w:rPr>
          <w:rFonts w:ascii="Book Antiqua" w:hAnsi="Book Antiqua"/>
          <w:bCs/>
          <w:szCs w:val="24"/>
          <w:lang w:val="es-ES"/>
        </w:rPr>
        <w:t>P. de la C.</w:t>
      </w:r>
      <w:r w:rsidRPr="001B3B9F">
        <w:rPr>
          <w:rFonts w:ascii="Book Antiqua" w:hAnsi="Book Antiqua"/>
          <w:bCs/>
          <w:szCs w:val="24"/>
          <w:lang w:val="es-ES"/>
        </w:rPr>
        <w:t xml:space="preserve"> 1065 propone enmendar la Ley Núm. 134 de 19 de julio de 1960, con el fin de extender el derecho al descuento de cuotas de asociaciones, federaciones o </w:t>
      </w:r>
      <w:r w:rsidRPr="001B3B9F">
        <w:rPr>
          <w:rFonts w:ascii="Book Antiqua" w:hAnsi="Book Antiqua"/>
          <w:bCs/>
          <w:szCs w:val="24"/>
          <w:lang w:val="es-ES"/>
        </w:rPr>
        <w:lastRenderedPageBreak/>
        <w:t xml:space="preserve">uniones a los empleados de carrera de la Rama Judicial. Ante esta propuesta, el Poder Judicial de Puerto Rico, a través de la </w:t>
      </w:r>
      <w:r w:rsidR="00F87CF3">
        <w:rPr>
          <w:rFonts w:ascii="Book Antiqua" w:hAnsi="Book Antiqua"/>
          <w:bCs/>
          <w:szCs w:val="24"/>
          <w:lang w:val="es-ES"/>
        </w:rPr>
        <w:t>OAT</w:t>
      </w:r>
      <w:r w:rsidRPr="001B3B9F">
        <w:rPr>
          <w:rFonts w:ascii="Book Antiqua" w:hAnsi="Book Antiqua"/>
          <w:bCs/>
          <w:szCs w:val="24"/>
          <w:lang w:val="es-ES"/>
        </w:rPr>
        <w:t>, consigna su más enérgica objeción basándose en la autonomía constitucional y la independencia judicial que rige su sistema de personal. La posición institucional sostiene que la medida contraviene el diseño constitucional de separación de poderes, el cual garantiza que cada rama administre sus propios asuntos de personal de forma independiente.</w:t>
      </w:r>
    </w:p>
    <w:p w14:paraId="73AE5E84" w14:textId="77777777" w:rsidR="001B3B9F" w:rsidRPr="001B3B9F" w:rsidRDefault="001B3B9F" w:rsidP="001B3B9F">
      <w:pPr>
        <w:ind w:firstLine="720"/>
        <w:jc w:val="both"/>
        <w:rPr>
          <w:rFonts w:ascii="Book Antiqua" w:hAnsi="Book Antiqua"/>
          <w:bCs/>
          <w:szCs w:val="24"/>
          <w:lang w:val="es-ES"/>
        </w:rPr>
      </w:pPr>
    </w:p>
    <w:p w14:paraId="207A4047" w14:textId="551DC3F3" w:rsidR="001B3B9F" w:rsidRDefault="001B3B9F" w:rsidP="00F87CF3">
      <w:pPr>
        <w:ind w:firstLine="720"/>
        <w:jc w:val="both"/>
        <w:rPr>
          <w:rFonts w:ascii="Book Antiqua" w:hAnsi="Book Antiqua"/>
          <w:bCs/>
          <w:szCs w:val="24"/>
          <w:lang w:val="es-ES"/>
        </w:rPr>
      </w:pPr>
      <w:r w:rsidRPr="001B3B9F">
        <w:rPr>
          <w:rFonts w:ascii="Book Antiqua" w:hAnsi="Book Antiqua"/>
          <w:bCs/>
          <w:szCs w:val="24"/>
          <w:lang w:val="es-ES"/>
        </w:rPr>
        <w:t>Además, se destacan impedimentos técnicos y normativos significativos</w:t>
      </w:r>
      <w:r w:rsidR="00F87CF3">
        <w:rPr>
          <w:rFonts w:ascii="Book Antiqua" w:hAnsi="Book Antiqua"/>
          <w:bCs/>
          <w:szCs w:val="24"/>
          <w:lang w:val="es-ES"/>
        </w:rPr>
        <w:t xml:space="preserve"> tales como la f</w:t>
      </w:r>
      <w:r w:rsidRPr="001B3B9F">
        <w:rPr>
          <w:rFonts w:ascii="Book Antiqua" w:hAnsi="Book Antiqua"/>
          <w:bCs/>
          <w:szCs w:val="24"/>
          <w:lang w:val="es-ES"/>
        </w:rPr>
        <w:t xml:space="preserve">alta de </w:t>
      </w:r>
      <w:r w:rsidR="00F87CF3">
        <w:rPr>
          <w:rFonts w:ascii="Book Antiqua" w:hAnsi="Book Antiqua"/>
          <w:bCs/>
          <w:szCs w:val="24"/>
          <w:lang w:val="es-ES"/>
        </w:rPr>
        <w:t>j</w:t>
      </w:r>
      <w:r w:rsidRPr="001B3B9F">
        <w:rPr>
          <w:rFonts w:ascii="Book Antiqua" w:hAnsi="Book Antiqua"/>
          <w:bCs/>
          <w:szCs w:val="24"/>
          <w:lang w:val="es-ES"/>
        </w:rPr>
        <w:t>urisdicción</w:t>
      </w:r>
      <w:r w:rsidR="00F87CF3">
        <w:rPr>
          <w:rFonts w:ascii="Book Antiqua" w:hAnsi="Book Antiqua"/>
          <w:bCs/>
          <w:szCs w:val="24"/>
          <w:lang w:val="es-ES"/>
        </w:rPr>
        <w:t xml:space="preserve"> donde</w:t>
      </w:r>
      <w:r w:rsidRPr="001B3B9F">
        <w:rPr>
          <w:rFonts w:ascii="Book Antiqua" w:hAnsi="Book Antiqua"/>
          <w:bCs/>
          <w:szCs w:val="24"/>
          <w:lang w:val="es-ES"/>
        </w:rPr>
        <w:t xml:space="preserve"> </w:t>
      </w:r>
      <w:r w:rsidR="002D55BC">
        <w:rPr>
          <w:rFonts w:ascii="Book Antiqua" w:hAnsi="Book Antiqua"/>
          <w:bCs/>
          <w:szCs w:val="24"/>
          <w:lang w:val="es-ES"/>
        </w:rPr>
        <w:t xml:space="preserve">el </w:t>
      </w:r>
      <w:proofErr w:type="gramStart"/>
      <w:r w:rsidRPr="001B3B9F">
        <w:rPr>
          <w:rFonts w:ascii="Book Antiqua" w:hAnsi="Book Antiqua"/>
          <w:bCs/>
          <w:szCs w:val="24"/>
          <w:lang w:val="es-ES"/>
        </w:rPr>
        <w:t>Secretario</w:t>
      </w:r>
      <w:proofErr w:type="gramEnd"/>
      <w:r w:rsidRPr="001B3B9F">
        <w:rPr>
          <w:rFonts w:ascii="Book Antiqua" w:hAnsi="Book Antiqua"/>
          <w:bCs/>
          <w:szCs w:val="24"/>
          <w:lang w:val="es-ES"/>
        </w:rPr>
        <w:t xml:space="preserve"> del Trabajo carece de facultad para acreditar organizaciones bona fide en el Poder Judicial, ya que la reglamentación vigente limita esta capacidad exclusivamente a la Rama Ejecutiva.</w:t>
      </w:r>
      <w:r w:rsidR="00F87CF3">
        <w:rPr>
          <w:rFonts w:ascii="Book Antiqua" w:hAnsi="Book Antiqua"/>
          <w:bCs/>
          <w:szCs w:val="24"/>
          <w:lang w:val="es-ES"/>
        </w:rPr>
        <w:t xml:space="preserve"> La i</w:t>
      </w:r>
      <w:r w:rsidRPr="001B3B9F">
        <w:rPr>
          <w:rFonts w:ascii="Book Antiqua" w:hAnsi="Book Antiqua"/>
          <w:bCs/>
          <w:szCs w:val="24"/>
          <w:lang w:val="es-ES"/>
        </w:rPr>
        <w:t xml:space="preserve">ncompatibilidad de </w:t>
      </w:r>
      <w:r w:rsidR="00F87CF3">
        <w:rPr>
          <w:rFonts w:ascii="Book Antiqua" w:hAnsi="Book Antiqua"/>
          <w:bCs/>
          <w:szCs w:val="24"/>
          <w:lang w:val="es-ES"/>
        </w:rPr>
        <w:t>c</w:t>
      </w:r>
      <w:r w:rsidRPr="001B3B9F">
        <w:rPr>
          <w:rFonts w:ascii="Book Antiqua" w:hAnsi="Book Antiqua"/>
          <w:bCs/>
          <w:szCs w:val="24"/>
          <w:lang w:val="es-ES"/>
        </w:rPr>
        <w:t>lasificaciones</w:t>
      </w:r>
      <w:r w:rsidR="00F87CF3">
        <w:rPr>
          <w:rFonts w:ascii="Book Antiqua" w:hAnsi="Book Antiqua"/>
          <w:bCs/>
          <w:szCs w:val="24"/>
          <w:lang w:val="es-ES"/>
        </w:rPr>
        <w:t>, esto a que</w:t>
      </w:r>
      <w:r w:rsidRPr="001B3B9F">
        <w:rPr>
          <w:rFonts w:ascii="Book Antiqua" w:hAnsi="Book Antiqua"/>
          <w:bCs/>
          <w:szCs w:val="24"/>
          <w:lang w:val="es-ES"/>
        </w:rPr>
        <w:t xml:space="preserve"> La Rama Judicial no utiliza las clasificaciones de "carrera" o "confianza" propias del Ejecutivo, sino que opera bajo un sistema singular de Servicio Central y Servicio Uniforme, lo que hace que la redacción del proyecto sea jurídicamente inaplicable a su estructura interna.</w:t>
      </w:r>
    </w:p>
    <w:p w14:paraId="07841D5A" w14:textId="77777777" w:rsidR="00F87CF3" w:rsidRPr="001B3B9F" w:rsidRDefault="00F87CF3" w:rsidP="00F87CF3">
      <w:pPr>
        <w:ind w:firstLine="720"/>
        <w:jc w:val="both"/>
        <w:rPr>
          <w:rFonts w:ascii="Book Antiqua" w:hAnsi="Book Antiqua"/>
          <w:bCs/>
          <w:szCs w:val="24"/>
          <w:lang w:val="es-ES"/>
        </w:rPr>
      </w:pPr>
    </w:p>
    <w:p w14:paraId="0509C2BC" w14:textId="051EFB31" w:rsidR="008B429C" w:rsidRDefault="001B3B9F" w:rsidP="00F87CF3">
      <w:pPr>
        <w:ind w:firstLine="720"/>
        <w:jc w:val="both"/>
        <w:rPr>
          <w:rFonts w:ascii="Book Antiqua" w:hAnsi="Book Antiqua"/>
          <w:bCs/>
          <w:szCs w:val="24"/>
          <w:lang w:val="es-ES"/>
        </w:rPr>
      </w:pPr>
      <w:r w:rsidRPr="001B3B9F">
        <w:rPr>
          <w:rFonts w:ascii="Book Antiqua" w:hAnsi="Book Antiqua"/>
          <w:bCs/>
          <w:szCs w:val="24"/>
          <w:lang w:val="es-ES"/>
        </w:rPr>
        <w:t xml:space="preserve">En conclusión, </w:t>
      </w:r>
      <w:r w:rsidR="00F87CF3">
        <w:rPr>
          <w:rFonts w:ascii="Book Antiqua" w:hAnsi="Book Antiqua"/>
          <w:bCs/>
          <w:szCs w:val="24"/>
          <w:lang w:val="es-ES"/>
        </w:rPr>
        <w:t xml:space="preserve">la OAT </w:t>
      </w:r>
      <w:r w:rsidRPr="001B3B9F">
        <w:rPr>
          <w:rFonts w:ascii="Book Antiqua" w:hAnsi="Book Antiqua"/>
          <w:bCs/>
          <w:szCs w:val="24"/>
          <w:lang w:val="es-ES"/>
        </w:rPr>
        <w:t>solicita que se mantenga el balance de poderes actual, permitiendo que sea la propia rama quien decida sobre sus aspectos administrativos y de personal conforme a sus mecanismos y autonomía</w:t>
      </w:r>
      <w:r w:rsidR="00F87CF3">
        <w:rPr>
          <w:rFonts w:ascii="Book Antiqua" w:hAnsi="Book Antiqua"/>
          <w:bCs/>
          <w:szCs w:val="24"/>
          <w:lang w:val="es-ES"/>
        </w:rPr>
        <w:t xml:space="preserve">. </w:t>
      </w:r>
    </w:p>
    <w:p w14:paraId="6C8F8A31" w14:textId="77777777" w:rsidR="00D62F9F" w:rsidRDefault="00D62F9F" w:rsidP="00F87CF3">
      <w:pPr>
        <w:ind w:firstLine="720"/>
        <w:jc w:val="both"/>
        <w:rPr>
          <w:rFonts w:ascii="Book Antiqua" w:hAnsi="Book Antiqua"/>
          <w:bCs/>
          <w:szCs w:val="24"/>
          <w:lang w:val="es-ES"/>
        </w:rPr>
      </w:pPr>
    </w:p>
    <w:p w14:paraId="6DC85BA9" w14:textId="0D705224" w:rsidR="00D62F9F" w:rsidRDefault="00D62F9F" w:rsidP="00D62F9F">
      <w:pPr>
        <w:ind w:firstLine="720"/>
        <w:jc w:val="center"/>
        <w:rPr>
          <w:rFonts w:ascii="Book Antiqua" w:hAnsi="Book Antiqua"/>
          <w:b/>
          <w:szCs w:val="24"/>
          <w:u w:val="single"/>
          <w:lang w:val="es-ES"/>
        </w:rPr>
      </w:pPr>
      <w:r>
        <w:rPr>
          <w:rFonts w:ascii="Book Antiqua" w:hAnsi="Book Antiqua"/>
          <w:b/>
          <w:szCs w:val="24"/>
          <w:u w:val="single"/>
          <w:lang w:val="es-ES"/>
        </w:rPr>
        <w:t>Departamento del Trabajo y Recursos Humanos</w:t>
      </w:r>
      <w:r w:rsidR="00067E43">
        <w:rPr>
          <w:rFonts w:ascii="Book Antiqua" w:hAnsi="Book Antiqua"/>
          <w:b/>
          <w:szCs w:val="24"/>
          <w:u w:val="single"/>
          <w:lang w:val="es-ES"/>
        </w:rPr>
        <w:t xml:space="preserve"> (DTRH)</w:t>
      </w:r>
    </w:p>
    <w:p w14:paraId="3A714706" w14:textId="00C2AC46" w:rsidR="00D62F9F" w:rsidRDefault="00D62F9F" w:rsidP="00D62F9F">
      <w:pPr>
        <w:ind w:firstLine="720"/>
        <w:jc w:val="center"/>
        <w:rPr>
          <w:rFonts w:ascii="Book Antiqua" w:hAnsi="Book Antiqua"/>
          <w:bCs/>
          <w:szCs w:val="24"/>
          <w:lang w:val="es-ES"/>
        </w:rPr>
      </w:pPr>
      <w:r>
        <w:rPr>
          <w:rFonts w:ascii="Book Antiqua" w:hAnsi="Book Antiqua"/>
          <w:bCs/>
          <w:szCs w:val="24"/>
          <w:lang w:val="es-ES"/>
        </w:rPr>
        <w:t>(14 de mayo de 2026)</w:t>
      </w:r>
    </w:p>
    <w:p w14:paraId="7C8AA427" w14:textId="77777777" w:rsidR="00D62F9F" w:rsidRPr="00D62F9F" w:rsidRDefault="00D62F9F" w:rsidP="00F87CF3">
      <w:pPr>
        <w:ind w:firstLine="720"/>
        <w:jc w:val="both"/>
        <w:rPr>
          <w:rFonts w:ascii="Book Antiqua" w:hAnsi="Book Antiqua"/>
          <w:bCs/>
          <w:szCs w:val="24"/>
          <w:lang w:val="es-ES"/>
        </w:rPr>
      </w:pPr>
    </w:p>
    <w:p w14:paraId="5595E98E" w14:textId="77777777" w:rsidR="00D62F9F" w:rsidRDefault="00D62F9F" w:rsidP="00D62F9F">
      <w:pPr>
        <w:ind w:firstLine="720"/>
        <w:jc w:val="both"/>
        <w:rPr>
          <w:rFonts w:ascii="Book Antiqua" w:hAnsi="Book Antiqua"/>
          <w:bCs/>
          <w:szCs w:val="24"/>
          <w:lang w:val="es-ES"/>
        </w:rPr>
      </w:pPr>
      <w:r>
        <w:rPr>
          <w:rFonts w:ascii="Book Antiqua" w:hAnsi="Book Antiqua"/>
          <w:bCs/>
          <w:szCs w:val="24"/>
          <w:lang w:val="es-ES"/>
        </w:rPr>
        <w:t xml:space="preserve">El DTRH </w:t>
      </w:r>
      <w:r w:rsidRPr="00D62F9F">
        <w:rPr>
          <w:rFonts w:ascii="Book Antiqua" w:hAnsi="Book Antiqua"/>
          <w:bCs/>
          <w:szCs w:val="24"/>
          <w:lang w:val="es-ES"/>
        </w:rPr>
        <w:t>coincide con la intención legislativa del P. de la C. 1065, la cual busca extender el derecho al descuento de cuotas de asociaciones o uniones a los empleados de carrera de la Rama Judicial y atemperar la ley al caso federal Janus v. AFSCME. El DTRH sostiene que el reconocimiento de estos derechos es un acto de justicia que no afecta la independencia judicial y que se alinea con la protección constitucional a la libre asociación. No obstante, la agencia aclara que su jurisdicción se limita al sector privado, por lo que otorga deferencia a la opinión de la Oficina de Administración de los Tribunales (OAT) y a la OATRH sobre los asuntos administrativos específicos de la medida.</w:t>
      </w:r>
      <w:r>
        <w:rPr>
          <w:rFonts w:ascii="Book Antiqua" w:hAnsi="Book Antiqua"/>
          <w:bCs/>
          <w:szCs w:val="24"/>
          <w:lang w:val="es-ES"/>
        </w:rPr>
        <w:t xml:space="preserve"> </w:t>
      </w:r>
    </w:p>
    <w:p w14:paraId="41D6AA98" w14:textId="77777777" w:rsidR="00D62F9F" w:rsidRDefault="00D62F9F" w:rsidP="00D62F9F">
      <w:pPr>
        <w:ind w:firstLine="720"/>
        <w:jc w:val="both"/>
        <w:rPr>
          <w:rFonts w:ascii="Book Antiqua" w:hAnsi="Book Antiqua"/>
          <w:bCs/>
          <w:szCs w:val="24"/>
          <w:lang w:val="es-ES"/>
        </w:rPr>
      </w:pPr>
    </w:p>
    <w:p w14:paraId="2010E164" w14:textId="732DDF26" w:rsidR="00D62F9F" w:rsidRPr="00D62F9F" w:rsidRDefault="00D62F9F" w:rsidP="00D62F9F">
      <w:pPr>
        <w:ind w:firstLine="720"/>
        <w:jc w:val="both"/>
        <w:rPr>
          <w:rFonts w:ascii="Book Antiqua" w:hAnsi="Book Antiqua"/>
          <w:bCs/>
          <w:szCs w:val="24"/>
          <w:lang w:val="es-ES"/>
        </w:rPr>
      </w:pPr>
      <w:r w:rsidRPr="00D62F9F">
        <w:rPr>
          <w:rFonts w:ascii="Book Antiqua" w:hAnsi="Book Antiqua"/>
          <w:bCs/>
          <w:szCs w:val="24"/>
          <w:lang w:val="es-ES"/>
        </w:rPr>
        <w:t xml:space="preserve">En cuanto al procedimiento de cobro, el DTRH valida que los empleados deben poder revocar su consentimiento para el descuento de cuotas en cualquier momento. Esta postura responde a la jurisprudencia del Tribunal Supremo de los Estados Unidos y a la Opinión del </w:t>
      </w:r>
      <w:proofErr w:type="gramStart"/>
      <w:r w:rsidRPr="00D62F9F">
        <w:rPr>
          <w:rFonts w:ascii="Book Antiqua" w:hAnsi="Book Antiqua"/>
          <w:bCs/>
          <w:szCs w:val="24"/>
          <w:lang w:val="es-ES"/>
        </w:rPr>
        <w:t>Secretario</w:t>
      </w:r>
      <w:proofErr w:type="gramEnd"/>
      <w:r w:rsidRPr="00D62F9F">
        <w:rPr>
          <w:rFonts w:ascii="Book Antiqua" w:hAnsi="Book Antiqua"/>
          <w:bCs/>
          <w:szCs w:val="24"/>
          <w:lang w:val="es-ES"/>
        </w:rPr>
        <w:t xml:space="preserve"> de Justicia de 2018, las cuales prohíben obligar a empleados públicos a pagar cargos por servicios sin un consentimiento expreso y afirmativo.</w:t>
      </w:r>
      <w:r>
        <w:rPr>
          <w:rFonts w:ascii="Book Antiqua" w:hAnsi="Book Antiqua"/>
          <w:bCs/>
          <w:szCs w:val="24"/>
          <w:lang w:val="es-ES"/>
        </w:rPr>
        <w:t xml:space="preserve"> </w:t>
      </w:r>
      <w:r w:rsidRPr="00D62F9F">
        <w:rPr>
          <w:rFonts w:ascii="Book Antiqua" w:hAnsi="Book Antiqua"/>
          <w:bCs/>
          <w:szCs w:val="24"/>
          <w:lang w:val="es-ES"/>
        </w:rPr>
        <w:t>El Departamento enfatiza que cualquier disposición que imponga un plazo de espera de un año para cancelar dichos descuentos contraviene el ordenamiento jurídico vigente, por lo que apoya la eliminación de dicha restricción en la ley para garantizar una sociedad más justa y ambientes laborales estables</w:t>
      </w:r>
      <w:r>
        <w:rPr>
          <w:rFonts w:ascii="Book Antiqua" w:hAnsi="Book Antiqua"/>
          <w:bCs/>
          <w:szCs w:val="24"/>
          <w:lang w:val="es-ES"/>
        </w:rPr>
        <w:t>.</w:t>
      </w:r>
    </w:p>
    <w:p w14:paraId="702A073B" w14:textId="77777777" w:rsidR="008B429C" w:rsidRPr="00D62F9F" w:rsidRDefault="008B429C" w:rsidP="00ED30AA">
      <w:pPr>
        <w:jc w:val="center"/>
        <w:rPr>
          <w:rFonts w:ascii="Book Antiqua" w:hAnsi="Book Antiqua"/>
          <w:bCs/>
          <w:szCs w:val="24"/>
          <w:lang w:val="es-ES"/>
        </w:rPr>
      </w:pPr>
    </w:p>
    <w:p w14:paraId="33019F60" w14:textId="05001B75"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1E37E506" w14:textId="6053C2F1" w:rsidR="00ED3F35" w:rsidRDefault="0018750B" w:rsidP="0018750B">
      <w:pPr>
        <w:ind w:firstLine="720"/>
        <w:jc w:val="both"/>
        <w:rPr>
          <w:rFonts w:ascii="Book Antiqua" w:hAnsi="Book Antiqua"/>
          <w:szCs w:val="24"/>
          <w:lang w:val="es-ES"/>
        </w:rPr>
      </w:pPr>
      <w:r w:rsidRPr="0018750B">
        <w:rPr>
          <w:rFonts w:ascii="Book Antiqua" w:hAnsi="Book Antiqua"/>
          <w:szCs w:val="24"/>
          <w:lang w:val="es-ES"/>
        </w:rPr>
        <w:t xml:space="preserve">Si bien los memoriales de la OATRH y de la </w:t>
      </w:r>
      <w:r>
        <w:rPr>
          <w:rFonts w:ascii="Book Antiqua" w:hAnsi="Book Antiqua"/>
          <w:szCs w:val="24"/>
          <w:lang w:val="es-ES"/>
        </w:rPr>
        <w:t>AEJ</w:t>
      </w:r>
      <w:r w:rsidRPr="0018750B">
        <w:rPr>
          <w:rFonts w:ascii="Book Antiqua" w:hAnsi="Book Antiqua"/>
          <w:szCs w:val="24"/>
          <w:lang w:val="es-ES"/>
        </w:rPr>
        <w:t xml:space="preserve"> sostienen que el proyecto no requiere una erogación de fondos públicos directa, desde una perspectiva de administración pública y auditoría legislativa, sí podría existir un impacto fiscal, aunque de naturaleza indirecta u operacional</w:t>
      </w:r>
      <w:r>
        <w:rPr>
          <w:rFonts w:ascii="Book Antiqua" w:hAnsi="Book Antiqua"/>
          <w:szCs w:val="24"/>
          <w:lang w:val="es-ES"/>
        </w:rPr>
        <w:t xml:space="preserve">. </w:t>
      </w:r>
      <w:r w:rsidR="00FE26D5" w:rsidRPr="00FE26D5">
        <w:rPr>
          <w:rFonts w:ascii="Book Antiqua" w:hAnsi="Book Antiqua"/>
          <w:szCs w:val="24"/>
          <w:lang w:val="es-ES"/>
        </w:rPr>
        <w:t>En vista de que la medida cuenta con un informe negativo, no se ha procedido con la elaboración de un análisis de impacto fiscal detallado.</w:t>
      </w:r>
    </w:p>
    <w:p w14:paraId="70B6FAE7" w14:textId="77777777" w:rsidR="0018750B" w:rsidRPr="009C3FBC" w:rsidRDefault="0018750B" w:rsidP="00931EA0">
      <w:pPr>
        <w:ind w:firstLine="720"/>
        <w:jc w:val="both"/>
        <w:rPr>
          <w:rFonts w:ascii="Book Antiqua" w:hAnsi="Book Antiqua"/>
          <w:b/>
          <w:bCs/>
          <w:szCs w:val="24"/>
          <w:lang w:val="es-ES"/>
        </w:rPr>
      </w:pPr>
    </w:p>
    <w:p w14:paraId="0E543BFD" w14:textId="72587626"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6D7009AE" w14:textId="77777777" w:rsidR="00F82CDD" w:rsidRDefault="00F87CF3" w:rsidP="00931EA0">
      <w:pPr>
        <w:ind w:firstLine="720"/>
        <w:jc w:val="both"/>
        <w:rPr>
          <w:rFonts w:ascii="Book Antiqua" w:hAnsi="Book Antiqua"/>
          <w:szCs w:val="24"/>
          <w:lang w:val="es-PR"/>
        </w:rPr>
      </w:pPr>
      <w:r>
        <w:rPr>
          <w:rFonts w:ascii="Book Antiqua" w:hAnsi="Book Antiqua"/>
          <w:szCs w:val="24"/>
          <w:lang w:val="es-PR"/>
        </w:rPr>
        <w:t xml:space="preserve">Luego de </w:t>
      </w:r>
      <w:r w:rsidRPr="00F87CF3">
        <w:rPr>
          <w:rFonts w:ascii="Book Antiqua" w:hAnsi="Book Antiqua"/>
          <w:szCs w:val="24"/>
          <w:lang w:val="es-PR"/>
        </w:rPr>
        <w:t xml:space="preserve">un análisis exhaustivo del </w:t>
      </w:r>
      <w:r>
        <w:rPr>
          <w:rFonts w:ascii="Book Antiqua" w:hAnsi="Book Antiqua"/>
          <w:szCs w:val="24"/>
          <w:lang w:val="es-PR"/>
        </w:rPr>
        <w:t>P. de la C.</w:t>
      </w:r>
      <w:r w:rsidRPr="00F87CF3">
        <w:rPr>
          <w:rFonts w:ascii="Book Antiqua" w:hAnsi="Book Antiqua"/>
          <w:szCs w:val="24"/>
          <w:lang w:val="es-PR"/>
        </w:rPr>
        <w:t xml:space="preserve"> 1065, esta Comisión concluye que la medida no cuenta con el andamiaje jurídico ni el consenso institucional necesario para su aprobación. Aunque la </w:t>
      </w:r>
      <w:r w:rsidR="00F82CDD">
        <w:rPr>
          <w:rFonts w:ascii="Book Antiqua" w:hAnsi="Book Antiqua"/>
          <w:szCs w:val="24"/>
          <w:lang w:val="es-PR"/>
        </w:rPr>
        <w:t>AEJ</w:t>
      </w:r>
      <w:r w:rsidRPr="00F87CF3">
        <w:rPr>
          <w:rFonts w:ascii="Book Antiqua" w:hAnsi="Book Antiqua"/>
          <w:szCs w:val="24"/>
          <w:lang w:val="es-PR"/>
        </w:rPr>
        <w:t xml:space="preserve"> defiende la pieza como un acto de justicia laboral basado en el derecho a la libre asociación y la naturaleza no jurisdiccional de sus funciones, prevalecen los reparos fundamentales presentados por</w:t>
      </w:r>
      <w:r w:rsidR="00F82CDD">
        <w:rPr>
          <w:rFonts w:ascii="Book Antiqua" w:hAnsi="Book Antiqua"/>
          <w:szCs w:val="24"/>
          <w:lang w:val="es-PR"/>
        </w:rPr>
        <w:t xml:space="preserve"> la OAT</w:t>
      </w:r>
      <w:r w:rsidRPr="00F87CF3">
        <w:rPr>
          <w:rFonts w:ascii="Book Antiqua" w:hAnsi="Book Antiqua"/>
          <w:szCs w:val="24"/>
          <w:lang w:val="es-PR"/>
        </w:rPr>
        <w:t xml:space="preserve">. Esta rama de gobierno sostiene que la medida representa una intromisión legislativa en su autonomía administrativa, señalando además que el lenguaje del proyecto es incompatible con su estructura de personal, la cual no utiliza las clasificaciones de "carrera" del Ejecutivo. Esta falta de viabilidad técnica se ve reforzada por la postura de la OATRH, que se declaró sin jurisdicción sobre la Rama Judicial, dejando al descubierto un vacío normativo para la ejecución del proyecto. </w:t>
      </w:r>
    </w:p>
    <w:p w14:paraId="1F43F1B0" w14:textId="77777777" w:rsidR="00F82CDD" w:rsidRDefault="00F82CDD" w:rsidP="00931EA0">
      <w:pPr>
        <w:ind w:firstLine="720"/>
        <w:jc w:val="both"/>
        <w:rPr>
          <w:rFonts w:ascii="Book Antiqua" w:hAnsi="Book Antiqua"/>
          <w:szCs w:val="24"/>
          <w:lang w:val="es-PR"/>
        </w:rPr>
      </w:pPr>
    </w:p>
    <w:p w14:paraId="4C8A0125" w14:textId="71F33749" w:rsidR="00F87CF3" w:rsidRDefault="00F87CF3" w:rsidP="00931EA0">
      <w:pPr>
        <w:ind w:firstLine="720"/>
        <w:jc w:val="both"/>
        <w:rPr>
          <w:rFonts w:ascii="Book Antiqua" w:hAnsi="Book Antiqua"/>
          <w:szCs w:val="24"/>
          <w:lang w:val="es-PR"/>
        </w:rPr>
      </w:pPr>
      <w:r w:rsidRPr="00F87CF3">
        <w:rPr>
          <w:rFonts w:ascii="Book Antiqua" w:hAnsi="Book Antiqua"/>
          <w:szCs w:val="24"/>
          <w:lang w:val="es-PR"/>
        </w:rPr>
        <w:t>Finalmente,</w:t>
      </w:r>
      <w:r w:rsidR="00F82CDD">
        <w:rPr>
          <w:rFonts w:ascii="Book Antiqua" w:hAnsi="Book Antiqua"/>
          <w:szCs w:val="24"/>
          <w:lang w:val="es-PR"/>
        </w:rPr>
        <w:t xml:space="preserve"> </w:t>
      </w:r>
      <w:r w:rsidRPr="00F87CF3">
        <w:rPr>
          <w:rFonts w:ascii="Book Antiqua" w:hAnsi="Book Antiqua"/>
          <w:szCs w:val="24"/>
          <w:lang w:val="es-PR"/>
        </w:rPr>
        <w:t xml:space="preserve">para esta Comisión </w:t>
      </w:r>
      <w:r w:rsidR="00F82CDD">
        <w:rPr>
          <w:rFonts w:ascii="Book Antiqua" w:hAnsi="Book Antiqua"/>
          <w:szCs w:val="24"/>
          <w:lang w:val="es-PR"/>
        </w:rPr>
        <w:t>es indispensable la opinión d</w:t>
      </w:r>
      <w:r w:rsidRPr="00F87CF3">
        <w:rPr>
          <w:rFonts w:ascii="Book Antiqua" w:hAnsi="Book Antiqua"/>
          <w:szCs w:val="24"/>
          <w:lang w:val="es-PR"/>
        </w:rPr>
        <w:t xml:space="preserve">el </w:t>
      </w:r>
      <w:r w:rsidR="00F82CDD">
        <w:rPr>
          <w:rFonts w:ascii="Book Antiqua" w:hAnsi="Book Antiqua"/>
          <w:szCs w:val="24"/>
          <w:lang w:val="es-PR"/>
        </w:rPr>
        <w:t>DJ</w:t>
      </w:r>
      <w:r w:rsidRPr="00F87CF3">
        <w:rPr>
          <w:rFonts w:ascii="Book Antiqua" w:hAnsi="Book Antiqua"/>
          <w:szCs w:val="24"/>
          <w:lang w:val="es-PR"/>
        </w:rPr>
        <w:t>, clave para evaluar el impacto legal y laboral de esta enmienda,</w:t>
      </w:r>
      <w:r w:rsidR="00F82CDD">
        <w:rPr>
          <w:rFonts w:ascii="Book Antiqua" w:hAnsi="Book Antiqua"/>
          <w:szCs w:val="24"/>
          <w:lang w:val="es-PR"/>
        </w:rPr>
        <w:t xml:space="preserve"> quienes</w:t>
      </w:r>
      <w:r w:rsidRPr="00F87CF3">
        <w:rPr>
          <w:rFonts w:ascii="Book Antiqua" w:hAnsi="Book Antiqua"/>
          <w:szCs w:val="24"/>
          <w:lang w:val="es-PR"/>
        </w:rPr>
        <w:t xml:space="preserve"> no sometieron los memoriales explicativos solicitados, privando a este cuerpo de un análisis pericial sobre la política pública del Estado. Por todo lo anterior, ante el riesgo de vulnerar la separación de poderes y la falta de información de agencias ejecutoras, esta Comisión no recomienda la aprobación del P. de la C. 1065.</w:t>
      </w:r>
    </w:p>
    <w:p w14:paraId="6837BAAB" w14:textId="77777777" w:rsidR="00F87CF3" w:rsidRDefault="00F87CF3" w:rsidP="00931EA0">
      <w:pPr>
        <w:ind w:firstLine="720"/>
        <w:jc w:val="both"/>
        <w:rPr>
          <w:rFonts w:ascii="Book Antiqua" w:hAnsi="Book Antiqua"/>
          <w:szCs w:val="24"/>
          <w:lang w:val="es-PR"/>
        </w:rPr>
      </w:pPr>
    </w:p>
    <w:p w14:paraId="45308EBE" w14:textId="0E961F7A"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w:t>
      </w:r>
      <w:r w:rsidR="00F82CDD">
        <w:rPr>
          <w:rFonts w:ascii="Book Antiqua" w:hAnsi="Book Antiqua"/>
          <w:szCs w:val="24"/>
          <w:lang w:val="es-ES"/>
        </w:rPr>
        <w:t>Negativo</w:t>
      </w:r>
      <w:r w:rsidR="0008578B">
        <w:rPr>
          <w:rFonts w:ascii="Book Antiqua" w:hAnsi="Book Antiqua"/>
          <w:szCs w:val="24"/>
          <w:lang w:val="es-ES"/>
        </w:rPr>
        <w:t xml:space="preserve"> </w:t>
      </w:r>
      <w:r w:rsidRPr="003052D8">
        <w:rPr>
          <w:rFonts w:ascii="Book Antiqua" w:hAnsi="Book Antiqua"/>
          <w:szCs w:val="24"/>
          <w:lang w:val="es-ES"/>
        </w:rPr>
        <w:t xml:space="preserve">sobre el </w:t>
      </w:r>
      <w:r w:rsidRPr="003052D8">
        <w:rPr>
          <w:rFonts w:ascii="Book Antiqua" w:hAnsi="Book Antiqua"/>
          <w:b/>
          <w:szCs w:val="24"/>
          <w:lang w:val="es-ES"/>
        </w:rPr>
        <w:t xml:space="preserve">Proyecto de la Cámara </w:t>
      </w:r>
      <w:r w:rsidR="002D55BC">
        <w:rPr>
          <w:rFonts w:ascii="Book Antiqua" w:hAnsi="Book Antiqua"/>
          <w:b/>
          <w:szCs w:val="24"/>
          <w:lang w:val="es-ES"/>
        </w:rPr>
        <w:t>1065</w:t>
      </w:r>
      <w:r w:rsidRPr="003052D8">
        <w:rPr>
          <w:rFonts w:ascii="Book Antiqua" w:hAnsi="Book Antiqua"/>
          <w:szCs w:val="24"/>
          <w:lang w:val="es-ES"/>
        </w:rPr>
        <w:t xml:space="preserve">, recomendando que el proyecto </w:t>
      </w:r>
      <w:r w:rsidR="00F82CDD">
        <w:rPr>
          <w:rFonts w:ascii="Book Antiqua" w:hAnsi="Book Antiqua"/>
          <w:szCs w:val="24"/>
          <w:lang w:val="es-ES"/>
        </w:rPr>
        <w:t xml:space="preserve">no </w:t>
      </w:r>
      <w:r w:rsidRPr="003052D8">
        <w:rPr>
          <w:rFonts w:ascii="Book Antiqua" w:hAnsi="Book Antiqua"/>
          <w:szCs w:val="24"/>
          <w:lang w:val="es-ES"/>
        </w:rPr>
        <w:t xml:space="preserve">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6F0A9401" w14:textId="1290E329" w:rsidR="00ED30AA" w:rsidRDefault="00ED30AA" w:rsidP="00ED30AA">
      <w:pPr>
        <w:jc w:val="both"/>
        <w:rPr>
          <w:rFonts w:ascii="Book Antiqua" w:hAnsi="Book Antiqua"/>
          <w:noProof/>
          <w:szCs w:val="24"/>
          <w:lang w:val="es-ES"/>
        </w:rPr>
      </w:pPr>
    </w:p>
    <w:p w14:paraId="23D5D2C6" w14:textId="77777777" w:rsidR="00277C23" w:rsidRPr="009C3FBC" w:rsidRDefault="00277C23"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E8D46" w14:textId="77777777" w:rsidR="00C90F27" w:rsidRDefault="00C90F27">
      <w:r>
        <w:separator/>
      </w:r>
    </w:p>
  </w:endnote>
  <w:endnote w:type="continuationSeparator" w:id="0">
    <w:p w14:paraId="6DBE8850" w14:textId="77777777" w:rsidR="00C90F27" w:rsidRDefault="00C90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F91AD" w14:textId="77777777" w:rsidR="00C90F27" w:rsidRDefault="00C90F27">
      <w:r>
        <w:separator/>
      </w:r>
    </w:p>
  </w:footnote>
  <w:footnote w:type="continuationSeparator" w:id="0">
    <w:p w14:paraId="251E0C75" w14:textId="77777777" w:rsidR="00C90F27" w:rsidRDefault="00C90F27">
      <w:r>
        <w:continuationSeparator/>
      </w:r>
    </w:p>
  </w:footnote>
  <w:footnote w:id="1">
    <w:p w14:paraId="40F6009E" w14:textId="645AD423" w:rsidR="001B3B9F" w:rsidRPr="001B3B9F" w:rsidRDefault="001B3B9F">
      <w:pPr>
        <w:pStyle w:val="FootnoteText"/>
        <w:rPr>
          <w:lang w:val="es-PR"/>
        </w:rPr>
      </w:pPr>
      <w:r>
        <w:rPr>
          <w:rStyle w:val="FootnoteReference"/>
        </w:rPr>
        <w:footnoteRef/>
      </w:r>
      <w:r w:rsidRPr="001B3B9F">
        <w:rPr>
          <w:lang w:val="es-PR"/>
        </w:rPr>
        <w:t xml:space="preserve"> </w:t>
      </w:r>
      <w:r>
        <w:rPr>
          <w:lang w:val="es-PR"/>
        </w:rPr>
        <w:t xml:space="preserve">El 3 de febrero de 2026 se recibió memorial de AEJ. </w:t>
      </w:r>
    </w:p>
  </w:footnote>
  <w:footnote w:id="2">
    <w:p w14:paraId="3DE5D045" w14:textId="07D1821E" w:rsidR="008617E2" w:rsidRPr="008617E2" w:rsidRDefault="008617E2">
      <w:pPr>
        <w:pStyle w:val="FootnoteText"/>
        <w:rPr>
          <w:lang w:val="es-PR"/>
        </w:rPr>
      </w:pPr>
      <w:r>
        <w:rPr>
          <w:rStyle w:val="FootnoteReference"/>
        </w:rPr>
        <w:footnoteRef/>
      </w:r>
      <w:r w:rsidRPr="008617E2">
        <w:rPr>
          <w:lang w:val="es-PR"/>
        </w:rPr>
        <w:t xml:space="preserve"> El </w:t>
      </w:r>
      <w:r w:rsidR="001B3B9F">
        <w:rPr>
          <w:lang w:val="es-PR"/>
        </w:rPr>
        <w:t>30</w:t>
      </w:r>
      <w:r w:rsidRPr="008617E2">
        <w:rPr>
          <w:lang w:val="es-PR"/>
        </w:rPr>
        <w:t xml:space="preserve"> de </w:t>
      </w:r>
      <w:r w:rsidR="00257C58">
        <w:rPr>
          <w:lang w:val="es-PR"/>
        </w:rPr>
        <w:t>enero</w:t>
      </w:r>
      <w:r w:rsidRPr="008617E2">
        <w:rPr>
          <w:lang w:val="es-PR"/>
        </w:rPr>
        <w:t xml:space="preserve"> de 2026 s</w:t>
      </w:r>
      <w:r>
        <w:rPr>
          <w:lang w:val="es-PR"/>
        </w:rPr>
        <w:t>e recibió el memorial de</w:t>
      </w:r>
      <w:r w:rsidR="00257C58">
        <w:rPr>
          <w:lang w:val="es-PR"/>
        </w:rPr>
        <w:t xml:space="preserve"> OATRH</w:t>
      </w:r>
      <w:r>
        <w:rPr>
          <w:lang w:val="es-PR"/>
        </w:rPr>
        <w:t xml:space="preserve">. </w:t>
      </w:r>
    </w:p>
  </w:footnote>
  <w:footnote w:id="3">
    <w:p w14:paraId="4B2B8144" w14:textId="1BC3FBA2" w:rsidR="001B3B9F" w:rsidRPr="001B3B9F" w:rsidRDefault="001B3B9F">
      <w:pPr>
        <w:pStyle w:val="FootnoteText"/>
        <w:rPr>
          <w:lang w:val="es-PR"/>
        </w:rPr>
      </w:pPr>
      <w:r>
        <w:rPr>
          <w:rStyle w:val="FootnoteReference"/>
        </w:rPr>
        <w:footnoteRef/>
      </w:r>
      <w:r w:rsidRPr="001B3B9F">
        <w:rPr>
          <w:lang w:val="es-PR"/>
        </w:rPr>
        <w:t xml:space="preserve"> </w:t>
      </w:r>
      <w:r>
        <w:rPr>
          <w:lang w:val="es-PR"/>
        </w:rPr>
        <w:t>El 15 de abril de 2026 se recibió memorial de OAT</w:t>
      </w:r>
    </w:p>
  </w:footnote>
  <w:footnote w:id="4">
    <w:p w14:paraId="2EE1452C" w14:textId="79B43B93" w:rsidR="008617E2" w:rsidRPr="008617E2" w:rsidRDefault="008617E2">
      <w:pPr>
        <w:pStyle w:val="FootnoteText"/>
        <w:rPr>
          <w:lang w:val="es-PR"/>
        </w:rPr>
      </w:pPr>
      <w:r>
        <w:rPr>
          <w:rStyle w:val="FootnoteReference"/>
        </w:rPr>
        <w:footnoteRef/>
      </w:r>
      <w:r w:rsidRPr="008617E2">
        <w:rPr>
          <w:lang w:val="es-PR"/>
        </w:rPr>
        <w:t xml:space="preserve"> </w:t>
      </w:r>
      <w:r w:rsidR="0062738E">
        <w:rPr>
          <w:lang w:val="es-PR"/>
        </w:rPr>
        <w:t xml:space="preserve">El </w:t>
      </w:r>
      <w:r w:rsidR="001B3B9F">
        <w:rPr>
          <w:lang w:val="es-PR"/>
        </w:rPr>
        <w:t xml:space="preserve">27 de enero de 2026 se solicitó memorial a la OGP, al momento de presentar este informe no estaba disponible. </w:t>
      </w:r>
    </w:p>
  </w:footnote>
  <w:footnote w:id="5">
    <w:p w14:paraId="60C09BD9" w14:textId="125E64DA" w:rsidR="00257C58" w:rsidRPr="008617E2" w:rsidRDefault="008617E2">
      <w:pPr>
        <w:pStyle w:val="FootnoteText"/>
        <w:rPr>
          <w:lang w:val="es-PR"/>
        </w:rPr>
      </w:pPr>
      <w:r>
        <w:rPr>
          <w:rStyle w:val="FootnoteReference"/>
        </w:rPr>
        <w:footnoteRef/>
      </w:r>
      <w:r w:rsidRPr="008617E2">
        <w:rPr>
          <w:lang w:val="es-PR"/>
        </w:rPr>
        <w:t xml:space="preserve"> </w:t>
      </w:r>
      <w:r w:rsidR="0062738E" w:rsidRPr="0062738E">
        <w:rPr>
          <w:lang w:val="es-PR"/>
        </w:rPr>
        <w:t xml:space="preserve">El </w:t>
      </w:r>
      <w:r w:rsidR="001B3B9F">
        <w:rPr>
          <w:lang w:val="es-PR"/>
        </w:rPr>
        <w:t>2</w:t>
      </w:r>
      <w:r w:rsidR="00257C58">
        <w:rPr>
          <w:lang w:val="es-PR"/>
        </w:rPr>
        <w:t>7</w:t>
      </w:r>
      <w:r w:rsidR="0062738E" w:rsidRPr="0062738E">
        <w:rPr>
          <w:lang w:val="es-PR"/>
        </w:rPr>
        <w:t xml:space="preserve"> de </w:t>
      </w:r>
      <w:r w:rsidR="00257C58">
        <w:rPr>
          <w:lang w:val="es-PR"/>
        </w:rPr>
        <w:t>enero</w:t>
      </w:r>
      <w:r w:rsidR="0062738E" w:rsidRPr="0062738E">
        <w:rPr>
          <w:lang w:val="es-PR"/>
        </w:rPr>
        <w:t xml:space="preserve"> de 2026 se solicitó memorial a</w:t>
      </w:r>
      <w:r w:rsidR="00257C58">
        <w:rPr>
          <w:lang w:val="es-PR"/>
        </w:rPr>
        <w:t>l DH</w:t>
      </w:r>
      <w:r w:rsidR="0062738E" w:rsidRPr="0062738E">
        <w:rPr>
          <w:lang w:val="es-PR"/>
        </w:rPr>
        <w:t>, al momento de presentar este informe no estaba disponible</w:t>
      </w:r>
      <w:r w:rsidR="00257C58">
        <w:rPr>
          <w:lang w:val="es-PR"/>
        </w:rPr>
        <w:t>.</w:t>
      </w:r>
    </w:p>
  </w:footnote>
  <w:footnote w:id="6">
    <w:p w14:paraId="45DAD46C" w14:textId="0CAFDCAF" w:rsidR="00257C58" w:rsidRPr="00257C58" w:rsidRDefault="00257C58">
      <w:pPr>
        <w:pStyle w:val="FootnoteText"/>
        <w:rPr>
          <w:lang w:val="es-PR"/>
        </w:rPr>
      </w:pPr>
      <w:r>
        <w:rPr>
          <w:rStyle w:val="FootnoteReference"/>
        </w:rPr>
        <w:footnoteRef/>
      </w:r>
      <w:r w:rsidRPr="00257C58">
        <w:rPr>
          <w:lang w:val="es-PR"/>
        </w:rPr>
        <w:t xml:space="preserve"> El 2</w:t>
      </w:r>
      <w:r w:rsidR="001B3B9F">
        <w:rPr>
          <w:lang w:val="es-PR"/>
        </w:rPr>
        <w:t>7</w:t>
      </w:r>
      <w:r w:rsidRPr="00257C58">
        <w:rPr>
          <w:lang w:val="es-PR"/>
        </w:rPr>
        <w:t xml:space="preserve"> de enero de 2026 se s</w:t>
      </w:r>
      <w:r>
        <w:rPr>
          <w:lang w:val="es-PR"/>
        </w:rPr>
        <w:t>olicitó memorial a</w:t>
      </w:r>
      <w:r w:rsidR="001B3B9F">
        <w:rPr>
          <w:lang w:val="es-PR"/>
        </w:rPr>
        <w:t>l DJ</w:t>
      </w:r>
      <w:r>
        <w:rPr>
          <w:lang w:val="es-PR"/>
        </w:rPr>
        <w:t xml:space="preserve">, al momento de presentar este informe no estaba disponible. </w:t>
      </w:r>
    </w:p>
  </w:footnote>
  <w:footnote w:id="7">
    <w:p w14:paraId="1A562E8A" w14:textId="0465CDA1" w:rsidR="001B3B9F" w:rsidRPr="001B3B9F" w:rsidRDefault="001B3B9F">
      <w:pPr>
        <w:pStyle w:val="FootnoteText"/>
        <w:rPr>
          <w:lang w:val="es-PR"/>
        </w:rPr>
      </w:pPr>
      <w:r>
        <w:rPr>
          <w:rStyle w:val="FootnoteReference"/>
        </w:rPr>
        <w:footnoteRef/>
      </w:r>
      <w:r w:rsidRPr="001B3B9F">
        <w:rPr>
          <w:lang w:val="es-PR"/>
        </w:rPr>
        <w:t xml:space="preserve"> El 1</w:t>
      </w:r>
      <w:r w:rsidR="00D62F9F">
        <w:rPr>
          <w:lang w:val="es-PR"/>
        </w:rPr>
        <w:t>4</w:t>
      </w:r>
      <w:r w:rsidRPr="001B3B9F">
        <w:rPr>
          <w:lang w:val="es-PR"/>
        </w:rPr>
        <w:t xml:space="preserve"> </w:t>
      </w:r>
      <w:r w:rsidR="00D62F9F">
        <w:rPr>
          <w:lang w:val="es-PR"/>
        </w:rPr>
        <w:t>de mayo de 2026 se recibió el memorial del DTRH.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41A8DEF6"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1B3B9F">
      <w:rPr>
        <w:rFonts w:ascii="Book Antiqua" w:hAnsi="Book Antiqua"/>
        <w:b/>
        <w:sz w:val="20"/>
        <w:lang w:val="es-PR"/>
      </w:rPr>
      <w:t>Negativo</w:t>
    </w:r>
  </w:p>
  <w:p w14:paraId="418D21AC" w14:textId="251ED663"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1B3B9F">
      <w:rPr>
        <w:rFonts w:ascii="Book Antiqua" w:hAnsi="Book Antiqua"/>
        <w:b/>
        <w:sz w:val="20"/>
        <w:lang w:val="es-PR"/>
      </w:rPr>
      <w:t>1065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5C93"/>
    <w:rsid w:val="00066E3A"/>
    <w:rsid w:val="00067E43"/>
    <w:rsid w:val="000746D5"/>
    <w:rsid w:val="00077A90"/>
    <w:rsid w:val="00082612"/>
    <w:rsid w:val="0008578B"/>
    <w:rsid w:val="000867B6"/>
    <w:rsid w:val="00090545"/>
    <w:rsid w:val="000A4FAB"/>
    <w:rsid w:val="000A671F"/>
    <w:rsid w:val="000B28A3"/>
    <w:rsid w:val="000B4561"/>
    <w:rsid w:val="000C1C3D"/>
    <w:rsid w:val="000C4470"/>
    <w:rsid w:val="000C4965"/>
    <w:rsid w:val="000C7F98"/>
    <w:rsid w:val="000D59B8"/>
    <w:rsid w:val="000E0494"/>
    <w:rsid w:val="000E7F54"/>
    <w:rsid w:val="001036CE"/>
    <w:rsid w:val="00104C64"/>
    <w:rsid w:val="0010744E"/>
    <w:rsid w:val="0011496A"/>
    <w:rsid w:val="001223AA"/>
    <w:rsid w:val="001236A1"/>
    <w:rsid w:val="00140A28"/>
    <w:rsid w:val="00141E9A"/>
    <w:rsid w:val="00147BF2"/>
    <w:rsid w:val="00150C55"/>
    <w:rsid w:val="00157D83"/>
    <w:rsid w:val="00185E95"/>
    <w:rsid w:val="0018750B"/>
    <w:rsid w:val="00190D17"/>
    <w:rsid w:val="001919F6"/>
    <w:rsid w:val="0019674E"/>
    <w:rsid w:val="001977A4"/>
    <w:rsid w:val="001A4C2B"/>
    <w:rsid w:val="001A6BF9"/>
    <w:rsid w:val="001B0938"/>
    <w:rsid w:val="001B0FF8"/>
    <w:rsid w:val="001B3B9F"/>
    <w:rsid w:val="001C0C85"/>
    <w:rsid w:val="001C12C0"/>
    <w:rsid w:val="001D03DB"/>
    <w:rsid w:val="001D7A7B"/>
    <w:rsid w:val="001E0043"/>
    <w:rsid w:val="001E2EE8"/>
    <w:rsid w:val="001E56A7"/>
    <w:rsid w:val="001F6DD7"/>
    <w:rsid w:val="00201000"/>
    <w:rsid w:val="002057D6"/>
    <w:rsid w:val="002221AA"/>
    <w:rsid w:val="00233258"/>
    <w:rsid w:val="002375CB"/>
    <w:rsid w:val="00251EAD"/>
    <w:rsid w:val="002548B8"/>
    <w:rsid w:val="00257C58"/>
    <w:rsid w:val="002618D7"/>
    <w:rsid w:val="0027727B"/>
    <w:rsid w:val="00277C23"/>
    <w:rsid w:val="0028282F"/>
    <w:rsid w:val="00290180"/>
    <w:rsid w:val="00290737"/>
    <w:rsid w:val="002949EC"/>
    <w:rsid w:val="0029568E"/>
    <w:rsid w:val="0029599C"/>
    <w:rsid w:val="002A0C2B"/>
    <w:rsid w:val="002A6D67"/>
    <w:rsid w:val="002B37E3"/>
    <w:rsid w:val="002B4DBD"/>
    <w:rsid w:val="002D006E"/>
    <w:rsid w:val="002D0DC0"/>
    <w:rsid w:val="002D1053"/>
    <w:rsid w:val="002D12F9"/>
    <w:rsid w:val="002D55BC"/>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A6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1EB3"/>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C6977"/>
    <w:rsid w:val="005D3D5C"/>
    <w:rsid w:val="005E0522"/>
    <w:rsid w:val="005E2D25"/>
    <w:rsid w:val="005E33F5"/>
    <w:rsid w:val="005F3BF6"/>
    <w:rsid w:val="005F67C5"/>
    <w:rsid w:val="00603D56"/>
    <w:rsid w:val="006045E0"/>
    <w:rsid w:val="00604E08"/>
    <w:rsid w:val="00610112"/>
    <w:rsid w:val="0061555A"/>
    <w:rsid w:val="00615919"/>
    <w:rsid w:val="00616270"/>
    <w:rsid w:val="0062738E"/>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E5477"/>
    <w:rsid w:val="006F173C"/>
    <w:rsid w:val="006F5C9D"/>
    <w:rsid w:val="006F6F45"/>
    <w:rsid w:val="00703972"/>
    <w:rsid w:val="00707CB9"/>
    <w:rsid w:val="00711370"/>
    <w:rsid w:val="00725EBC"/>
    <w:rsid w:val="00726A1E"/>
    <w:rsid w:val="00730DB1"/>
    <w:rsid w:val="00731286"/>
    <w:rsid w:val="00740F1E"/>
    <w:rsid w:val="0074531D"/>
    <w:rsid w:val="007453CD"/>
    <w:rsid w:val="0074550E"/>
    <w:rsid w:val="00750189"/>
    <w:rsid w:val="00752D3C"/>
    <w:rsid w:val="00753A00"/>
    <w:rsid w:val="00755CBC"/>
    <w:rsid w:val="007677D7"/>
    <w:rsid w:val="007721AD"/>
    <w:rsid w:val="00785266"/>
    <w:rsid w:val="00792EBB"/>
    <w:rsid w:val="00795520"/>
    <w:rsid w:val="0079639C"/>
    <w:rsid w:val="007A0B8D"/>
    <w:rsid w:val="007A6499"/>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06FC2"/>
    <w:rsid w:val="00815062"/>
    <w:rsid w:val="00822844"/>
    <w:rsid w:val="00824F94"/>
    <w:rsid w:val="0082542F"/>
    <w:rsid w:val="008371ED"/>
    <w:rsid w:val="00847610"/>
    <w:rsid w:val="008517CF"/>
    <w:rsid w:val="00852716"/>
    <w:rsid w:val="008536D1"/>
    <w:rsid w:val="008617E2"/>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429C"/>
    <w:rsid w:val="008B79A1"/>
    <w:rsid w:val="008D0A5E"/>
    <w:rsid w:val="008D1BAF"/>
    <w:rsid w:val="008D1DB5"/>
    <w:rsid w:val="008D4ABA"/>
    <w:rsid w:val="008E11CC"/>
    <w:rsid w:val="008E29CD"/>
    <w:rsid w:val="008E6C73"/>
    <w:rsid w:val="008F281B"/>
    <w:rsid w:val="008F3069"/>
    <w:rsid w:val="008F3DDD"/>
    <w:rsid w:val="008F4E1D"/>
    <w:rsid w:val="008F71D8"/>
    <w:rsid w:val="009053B0"/>
    <w:rsid w:val="00907B34"/>
    <w:rsid w:val="0091120E"/>
    <w:rsid w:val="00920D9C"/>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00844"/>
    <w:rsid w:val="00A21834"/>
    <w:rsid w:val="00A23DD3"/>
    <w:rsid w:val="00A27969"/>
    <w:rsid w:val="00A27F80"/>
    <w:rsid w:val="00A30C0A"/>
    <w:rsid w:val="00A31456"/>
    <w:rsid w:val="00A426A2"/>
    <w:rsid w:val="00A43947"/>
    <w:rsid w:val="00A47CF0"/>
    <w:rsid w:val="00A66CF3"/>
    <w:rsid w:val="00A77674"/>
    <w:rsid w:val="00A82809"/>
    <w:rsid w:val="00A86164"/>
    <w:rsid w:val="00A96E04"/>
    <w:rsid w:val="00AA5521"/>
    <w:rsid w:val="00AA6704"/>
    <w:rsid w:val="00AA7044"/>
    <w:rsid w:val="00AA752E"/>
    <w:rsid w:val="00AB3915"/>
    <w:rsid w:val="00AB5DB4"/>
    <w:rsid w:val="00AB6058"/>
    <w:rsid w:val="00AB6D4B"/>
    <w:rsid w:val="00AD009F"/>
    <w:rsid w:val="00AD2D77"/>
    <w:rsid w:val="00AE2FE8"/>
    <w:rsid w:val="00AE50F2"/>
    <w:rsid w:val="00AF2B6E"/>
    <w:rsid w:val="00B0028A"/>
    <w:rsid w:val="00B056E2"/>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390A"/>
    <w:rsid w:val="00C25C7B"/>
    <w:rsid w:val="00C2602B"/>
    <w:rsid w:val="00C32414"/>
    <w:rsid w:val="00C41234"/>
    <w:rsid w:val="00C55D90"/>
    <w:rsid w:val="00C80616"/>
    <w:rsid w:val="00C81F4D"/>
    <w:rsid w:val="00C875C4"/>
    <w:rsid w:val="00C90F27"/>
    <w:rsid w:val="00C917EB"/>
    <w:rsid w:val="00C91D3A"/>
    <w:rsid w:val="00C92469"/>
    <w:rsid w:val="00CA4006"/>
    <w:rsid w:val="00CA779D"/>
    <w:rsid w:val="00CB2F95"/>
    <w:rsid w:val="00CB4105"/>
    <w:rsid w:val="00CB4CB9"/>
    <w:rsid w:val="00CB7175"/>
    <w:rsid w:val="00CB7C9D"/>
    <w:rsid w:val="00CC088C"/>
    <w:rsid w:val="00CC145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540E5"/>
    <w:rsid w:val="00D60B52"/>
    <w:rsid w:val="00D60DF7"/>
    <w:rsid w:val="00D62F9F"/>
    <w:rsid w:val="00D63234"/>
    <w:rsid w:val="00D63DFA"/>
    <w:rsid w:val="00D64371"/>
    <w:rsid w:val="00D661D1"/>
    <w:rsid w:val="00D744FB"/>
    <w:rsid w:val="00D843CB"/>
    <w:rsid w:val="00D97A55"/>
    <w:rsid w:val="00DA78FC"/>
    <w:rsid w:val="00DB60D3"/>
    <w:rsid w:val="00DB7B0A"/>
    <w:rsid w:val="00DC070F"/>
    <w:rsid w:val="00DC5471"/>
    <w:rsid w:val="00DD0559"/>
    <w:rsid w:val="00DD4394"/>
    <w:rsid w:val="00DD7780"/>
    <w:rsid w:val="00DE1DBE"/>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453D"/>
    <w:rsid w:val="00E84D1F"/>
    <w:rsid w:val="00E85143"/>
    <w:rsid w:val="00E875B5"/>
    <w:rsid w:val="00E919F3"/>
    <w:rsid w:val="00E9331E"/>
    <w:rsid w:val="00E94489"/>
    <w:rsid w:val="00EA0336"/>
    <w:rsid w:val="00EA3F62"/>
    <w:rsid w:val="00EA42E1"/>
    <w:rsid w:val="00EA48E7"/>
    <w:rsid w:val="00EB26D6"/>
    <w:rsid w:val="00EC4AC9"/>
    <w:rsid w:val="00ED30AA"/>
    <w:rsid w:val="00ED38AE"/>
    <w:rsid w:val="00ED3F35"/>
    <w:rsid w:val="00EE2267"/>
    <w:rsid w:val="00EE55F8"/>
    <w:rsid w:val="00EE669C"/>
    <w:rsid w:val="00EE7946"/>
    <w:rsid w:val="00EF11D6"/>
    <w:rsid w:val="00EF4598"/>
    <w:rsid w:val="00EF4941"/>
    <w:rsid w:val="00F00177"/>
    <w:rsid w:val="00F0414D"/>
    <w:rsid w:val="00F054D6"/>
    <w:rsid w:val="00F235EC"/>
    <w:rsid w:val="00F27B1F"/>
    <w:rsid w:val="00F367B5"/>
    <w:rsid w:val="00F4364D"/>
    <w:rsid w:val="00F463B1"/>
    <w:rsid w:val="00F466F9"/>
    <w:rsid w:val="00F54DF0"/>
    <w:rsid w:val="00F6086C"/>
    <w:rsid w:val="00F71400"/>
    <w:rsid w:val="00F76EB1"/>
    <w:rsid w:val="00F82CDD"/>
    <w:rsid w:val="00F8350F"/>
    <w:rsid w:val="00F83D10"/>
    <w:rsid w:val="00F85731"/>
    <w:rsid w:val="00F87CF3"/>
    <w:rsid w:val="00F937D1"/>
    <w:rsid w:val="00FB5B25"/>
    <w:rsid w:val="00FC6F2F"/>
    <w:rsid w:val="00FC74E1"/>
    <w:rsid w:val="00FD13FD"/>
    <w:rsid w:val="00FD1A3E"/>
    <w:rsid w:val="00FE26D5"/>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1312</Words>
  <Characters>7480</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2026-06-16T18:20:00Z</cp:lastPrinted>
  <dcterms:created xsi:type="dcterms:W3CDTF">2026-06-18T17:39:00Z</dcterms:created>
  <dcterms:modified xsi:type="dcterms:W3CDTF">2026-06-18T17:39:00Z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