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492501" w14:textId="77777777" w:rsidR="001D3BD6" w:rsidRDefault="00292E26">
      <w:pPr>
        <w:tabs>
          <w:tab w:val="center" w:pos="4680"/>
        </w:tabs>
        <w:spacing w:after="0" w:line="240" w:lineRule="auto"/>
        <w:jc w:val="center"/>
        <w:rPr>
          <w:rFonts w:ascii="Book Antiqua" w:eastAsia="Book Antiqua" w:hAnsi="Book Antiqua" w:cs="Book Antiqua"/>
          <w:sz w:val="28"/>
          <w:szCs w:val="28"/>
        </w:rPr>
      </w:pPr>
      <w:r>
        <w:rPr>
          <w:rFonts w:ascii="Book Antiqua" w:eastAsia="Book Antiqua" w:hAnsi="Book Antiqua" w:cs="Book Antiqua"/>
          <w:sz w:val="28"/>
          <w:szCs w:val="28"/>
        </w:rPr>
        <w:t>GOBIERNO DE PUERTO RICO</w:t>
      </w:r>
    </w:p>
    <w:p w14:paraId="48492502" w14:textId="77777777" w:rsidR="001D3BD6" w:rsidRDefault="001D3BD6">
      <w:pPr>
        <w:tabs>
          <w:tab w:val="center" w:pos="4680"/>
        </w:tabs>
        <w:spacing w:after="0" w:line="240" w:lineRule="auto"/>
        <w:rPr>
          <w:rFonts w:ascii="Book Antiqua" w:eastAsia="Book Antiqua" w:hAnsi="Book Antiqua" w:cs="Book Antiqua"/>
          <w:sz w:val="28"/>
          <w:szCs w:val="28"/>
        </w:rPr>
      </w:pPr>
    </w:p>
    <w:p w14:paraId="48492503" w14:textId="63FB171C" w:rsidR="001D3BD6" w:rsidRDefault="00292E26">
      <w:pPr>
        <w:tabs>
          <w:tab w:val="left" w:pos="720"/>
          <w:tab w:val="left" w:pos="7560"/>
          <w:tab w:val="left" w:pos="8100"/>
        </w:tabs>
        <w:spacing w:after="0" w:line="240" w:lineRule="auto"/>
        <w:rPr>
          <w:rFonts w:ascii="Book Antiqua" w:eastAsia="Book Antiqua" w:hAnsi="Book Antiqua" w:cs="Book Antiqua"/>
          <w:sz w:val="24"/>
          <w:szCs w:val="24"/>
        </w:rPr>
      </w:pPr>
      <w:r>
        <w:rPr>
          <w:rFonts w:ascii="Book Antiqua" w:eastAsia="Book Antiqua" w:hAnsi="Book Antiqua" w:cs="Book Antiqua"/>
          <w:sz w:val="24"/>
          <w:szCs w:val="24"/>
        </w:rPr>
        <w:t>20</w:t>
      </w:r>
      <w:r>
        <w:rPr>
          <w:rFonts w:ascii="Book Antiqua" w:eastAsia="Book Antiqua" w:hAnsi="Book Antiqua" w:cs="Book Antiqua"/>
          <w:sz w:val="24"/>
          <w:szCs w:val="24"/>
          <w:vertAlign w:val="superscript"/>
        </w:rPr>
        <w:t>va</w:t>
      </w:r>
      <w:r>
        <w:rPr>
          <w:rFonts w:ascii="Book Antiqua" w:eastAsia="Book Antiqua" w:hAnsi="Book Antiqua" w:cs="Book Antiqua"/>
          <w:sz w:val="24"/>
          <w:szCs w:val="24"/>
        </w:rPr>
        <w:t xml:space="preserve"> Asamblea</w:t>
      </w:r>
      <w:r>
        <w:rPr>
          <w:rFonts w:ascii="Book Antiqua" w:eastAsia="Book Antiqua" w:hAnsi="Book Antiqua" w:cs="Book Antiqua"/>
          <w:sz w:val="24"/>
          <w:szCs w:val="24"/>
        </w:rPr>
        <w:tab/>
        <w:t xml:space="preserve">           </w:t>
      </w:r>
      <w:r w:rsidR="00F62BDD">
        <w:rPr>
          <w:rFonts w:ascii="Book Antiqua" w:eastAsia="Book Antiqua" w:hAnsi="Book Antiqua" w:cs="Book Antiqua"/>
          <w:sz w:val="24"/>
          <w:szCs w:val="24"/>
        </w:rPr>
        <w:t>3</w:t>
      </w:r>
      <w:proofErr w:type="gramStart"/>
      <w:r w:rsidR="00F62BDD">
        <w:rPr>
          <w:rFonts w:ascii="Book Antiqua" w:eastAsia="Book Antiqua" w:hAnsi="Book Antiqua" w:cs="Book Antiqua"/>
          <w:sz w:val="24"/>
          <w:szCs w:val="24"/>
          <w:vertAlign w:val="superscript"/>
        </w:rPr>
        <w:t>r</w:t>
      </w:r>
      <w:r>
        <w:rPr>
          <w:rFonts w:ascii="Book Antiqua" w:eastAsia="Book Antiqua" w:hAnsi="Book Antiqua" w:cs="Book Antiqua"/>
          <w:sz w:val="24"/>
          <w:szCs w:val="24"/>
          <w:vertAlign w:val="superscript"/>
        </w:rPr>
        <w:t>a</w:t>
      </w:r>
      <w:r>
        <w:rPr>
          <w:rFonts w:ascii="Book Antiqua" w:eastAsia="Book Antiqua" w:hAnsi="Book Antiqua" w:cs="Book Antiqua"/>
          <w:sz w:val="24"/>
          <w:szCs w:val="24"/>
        </w:rPr>
        <w:t xml:space="preserve">  Sesión</w:t>
      </w:r>
      <w:proofErr w:type="gramEnd"/>
    </w:p>
    <w:p w14:paraId="6251C220" w14:textId="059A1318" w:rsidR="00516510" w:rsidRPr="00516510" w:rsidRDefault="00292E26" w:rsidP="00516510">
      <w:pPr>
        <w:tabs>
          <w:tab w:val="left" w:pos="720"/>
          <w:tab w:val="left" w:pos="4215"/>
          <w:tab w:val="left" w:pos="5160"/>
          <w:tab w:val="left" w:pos="8100"/>
        </w:tabs>
        <w:spacing w:after="0" w:line="240" w:lineRule="auto"/>
        <w:rPr>
          <w:rFonts w:ascii="Book Antiqua" w:eastAsia="Book Antiqua" w:hAnsi="Book Antiqua" w:cs="Book Antiqua"/>
          <w:sz w:val="24"/>
          <w:szCs w:val="24"/>
        </w:rPr>
      </w:pPr>
      <w:r>
        <w:rPr>
          <w:rFonts w:ascii="Book Antiqua" w:eastAsia="Book Antiqua" w:hAnsi="Book Antiqua" w:cs="Book Antiqua"/>
          <w:sz w:val="24"/>
          <w:szCs w:val="24"/>
        </w:rPr>
        <w:t xml:space="preserve">    Legislativa</w:t>
      </w:r>
      <w:r>
        <w:rPr>
          <w:rFonts w:ascii="Book Antiqua" w:eastAsia="Book Antiqua" w:hAnsi="Book Antiqua" w:cs="Book Antiqua"/>
          <w:sz w:val="24"/>
          <w:szCs w:val="24"/>
        </w:rPr>
        <w:tab/>
      </w:r>
      <w:r>
        <w:rPr>
          <w:rFonts w:ascii="Book Antiqua" w:eastAsia="Book Antiqua" w:hAnsi="Book Antiqua" w:cs="Book Antiqua"/>
          <w:sz w:val="24"/>
          <w:szCs w:val="24"/>
        </w:rPr>
        <w:tab/>
      </w:r>
      <w:proofErr w:type="gramStart"/>
      <w:r>
        <w:rPr>
          <w:rFonts w:ascii="Book Antiqua" w:eastAsia="Book Antiqua" w:hAnsi="Book Antiqua" w:cs="Book Antiqua"/>
          <w:sz w:val="24"/>
          <w:szCs w:val="24"/>
        </w:rPr>
        <w:tab/>
        <w:t xml:space="preserve">  Ordinaria</w:t>
      </w:r>
      <w:proofErr w:type="gramEnd"/>
    </w:p>
    <w:p w14:paraId="640C6AEA" w14:textId="77777777" w:rsidR="00B50763" w:rsidRPr="00B50763" w:rsidRDefault="00B50763">
      <w:pPr>
        <w:spacing w:after="0" w:line="360" w:lineRule="auto"/>
        <w:jc w:val="center"/>
        <w:rPr>
          <w:rFonts w:ascii="Book Antiqua" w:eastAsia="Book Antiqua" w:hAnsi="Book Antiqua" w:cs="Book Antiqua"/>
          <w:b/>
          <w:bCs/>
          <w:sz w:val="24"/>
          <w:szCs w:val="24"/>
        </w:rPr>
      </w:pPr>
    </w:p>
    <w:p w14:paraId="48492506" w14:textId="1954C4BE" w:rsidR="001D3BD6" w:rsidRPr="00516510" w:rsidRDefault="00292E26">
      <w:pPr>
        <w:spacing w:after="0" w:line="360" w:lineRule="auto"/>
        <w:jc w:val="center"/>
        <w:rPr>
          <w:rFonts w:ascii="Book Antiqua" w:eastAsia="Book Antiqua" w:hAnsi="Book Antiqua" w:cs="Book Antiqua"/>
          <w:b/>
          <w:bCs/>
          <w:sz w:val="36"/>
          <w:szCs w:val="36"/>
        </w:rPr>
      </w:pPr>
      <w:r w:rsidRPr="00516510">
        <w:rPr>
          <w:rFonts w:ascii="Book Antiqua" w:eastAsia="Book Antiqua" w:hAnsi="Book Antiqua" w:cs="Book Antiqua"/>
          <w:b/>
          <w:bCs/>
          <w:sz w:val="36"/>
          <w:szCs w:val="36"/>
        </w:rPr>
        <w:t>CÁMARA DE REPRESENTANTES</w:t>
      </w:r>
    </w:p>
    <w:p w14:paraId="48492507" w14:textId="7949139A" w:rsidR="001D3BD6" w:rsidRPr="00516510" w:rsidRDefault="00292E26">
      <w:pPr>
        <w:spacing w:after="0" w:line="360" w:lineRule="auto"/>
        <w:jc w:val="center"/>
        <w:rPr>
          <w:rFonts w:ascii="Book Antiqua" w:eastAsia="Book Antiqua" w:hAnsi="Book Antiqua" w:cs="Book Antiqua"/>
          <w:b/>
          <w:bCs/>
          <w:sz w:val="52"/>
          <w:szCs w:val="52"/>
        </w:rPr>
      </w:pPr>
      <w:r w:rsidRPr="00516510">
        <w:rPr>
          <w:rFonts w:ascii="Book Antiqua" w:eastAsia="Book Antiqua" w:hAnsi="Book Antiqua" w:cs="Book Antiqua"/>
          <w:b/>
          <w:bCs/>
          <w:sz w:val="52"/>
          <w:szCs w:val="52"/>
        </w:rPr>
        <w:t xml:space="preserve">P. de la C. </w:t>
      </w:r>
      <w:r w:rsidR="00394860">
        <w:rPr>
          <w:rFonts w:ascii="Book Antiqua" w:eastAsia="Book Antiqua" w:hAnsi="Book Antiqua" w:cs="Book Antiqua"/>
          <w:b/>
          <w:bCs/>
          <w:sz w:val="52"/>
          <w:szCs w:val="52"/>
        </w:rPr>
        <w:t>914</w:t>
      </w:r>
    </w:p>
    <w:p w14:paraId="48492508" w14:textId="77777777" w:rsidR="001D3BD6" w:rsidRPr="00516510" w:rsidRDefault="00292E26">
      <w:pPr>
        <w:spacing w:after="0" w:line="360" w:lineRule="auto"/>
        <w:jc w:val="center"/>
        <w:rPr>
          <w:rFonts w:ascii="Book Antiqua" w:eastAsia="Book Antiqua" w:hAnsi="Book Antiqua" w:cs="Book Antiqua"/>
          <w:b/>
          <w:bCs/>
          <w:sz w:val="28"/>
          <w:szCs w:val="28"/>
        </w:rPr>
      </w:pPr>
      <w:r w:rsidRPr="00516510">
        <w:rPr>
          <w:rFonts w:ascii="Book Antiqua" w:eastAsia="Book Antiqua" w:hAnsi="Book Antiqua" w:cs="Book Antiqua"/>
          <w:b/>
          <w:bCs/>
          <w:sz w:val="28"/>
          <w:szCs w:val="28"/>
        </w:rPr>
        <w:t>INFORME NEGATIVO</w:t>
      </w:r>
    </w:p>
    <w:p w14:paraId="48492509" w14:textId="527F0BC3" w:rsidR="001D3BD6" w:rsidRPr="00516510" w:rsidRDefault="00C0476E">
      <w:pPr>
        <w:spacing w:after="0" w:line="360" w:lineRule="auto"/>
        <w:jc w:val="center"/>
        <w:rPr>
          <w:rFonts w:ascii="Book Antiqua" w:eastAsia="Book Antiqua" w:hAnsi="Book Antiqua" w:cs="Book Antiqua"/>
          <w:b/>
          <w:bCs/>
          <w:sz w:val="24"/>
          <w:szCs w:val="24"/>
        </w:rPr>
      </w:pPr>
      <w:r>
        <w:rPr>
          <w:rFonts w:ascii="Book Antiqua" w:eastAsia="Book Antiqua" w:hAnsi="Book Antiqua" w:cs="Book Antiqua"/>
          <w:sz w:val="24"/>
          <w:szCs w:val="24"/>
        </w:rPr>
        <w:t xml:space="preserve">17 </w:t>
      </w:r>
      <w:r w:rsidR="004F6BB6" w:rsidRPr="00516510">
        <w:rPr>
          <w:rFonts w:ascii="Book Antiqua" w:eastAsia="Book Antiqua" w:hAnsi="Book Antiqua" w:cs="Book Antiqua"/>
          <w:sz w:val="24"/>
          <w:szCs w:val="24"/>
        </w:rPr>
        <w:t xml:space="preserve">de </w:t>
      </w:r>
      <w:r w:rsidR="00394860">
        <w:rPr>
          <w:rFonts w:ascii="Book Antiqua" w:eastAsia="Book Antiqua" w:hAnsi="Book Antiqua" w:cs="Book Antiqua"/>
          <w:sz w:val="24"/>
          <w:szCs w:val="24"/>
        </w:rPr>
        <w:t>abril</w:t>
      </w:r>
      <w:r w:rsidR="004F6BB6" w:rsidRPr="00516510">
        <w:rPr>
          <w:rFonts w:ascii="Book Antiqua" w:eastAsia="Book Antiqua" w:hAnsi="Book Antiqua" w:cs="Book Antiqua"/>
          <w:sz w:val="24"/>
          <w:szCs w:val="24"/>
        </w:rPr>
        <w:t xml:space="preserve"> de 2026</w:t>
      </w:r>
    </w:p>
    <w:p w14:paraId="4849250A" w14:textId="77777777" w:rsidR="001D3BD6" w:rsidRPr="00516510" w:rsidRDefault="001D3BD6">
      <w:pPr>
        <w:spacing w:after="0" w:line="240" w:lineRule="auto"/>
        <w:jc w:val="both"/>
        <w:rPr>
          <w:rFonts w:ascii="Book Antiqua" w:eastAsia="Book Antiqua" w:hAnsi="Book Antiqua" w:cs="Book Antiqua"/>
          <w:b/>
          <w:bCs/>
          <w:sz w:val="4"/>
          <w:szCs w:val="4"/>
        </w:rPr>
      </w:pPr>
    </w:p>
    <w:p w14:paraId="0447EE91" w14:textId="24C99841" w:rsidR="00946FE4" w:rsidRDefault="00292E26" w:rsidP="004D0409">
      <w:pPr>
        <w:spacing w:after="0" w:line="480" w:lineRule="auto"/>
        <w:jc w:val="both"/>
        <w:rPr>
          <w:rFonts w:ascii="Book Antiqua" w:eastAsia="Book Antiqua" w:hAnsi="Book Antiqua" w:cs="Book Antiqua"/>
          <w:sz w:val="24"/>
          <w:szCs w:val="24"/>
        </w:rPr>
      </w:pPr>
      <w:r w:rsidRPr="004813D9">
        <w:rPr>
          <w:rFonts w:ascii="Book Antiqua" w:eastAsia="Book Antiqua" w:hAnsi="Book Antiqua" w:cs="Book Antiqua"/>
          <w:b/>
          <w:bCs/>
          <w:sz w:val="24"/>
          <w:szCs w:val="24"/>
        </w:rPr>
        <w:t>A LA CÁMARA DE REPRESENTANTES DE PUERTO RICO</w:t>
      </w:r>
      <w:bookmarkStart w:id="0" w:name="_heading=h.pnmcj9uoavu7" w:colFirst="0" w:colLast="0"/>
      <w:bookmarkEnd w:id="0"/>
    </w:p>
    <w:p w14:paraId="2B091000" w14:textId="77777777" w:rsidR="009E5309" w:rsidRPr="009E5309" w:rsidRDefault="009E5309" w:rsidP="009E5309">
      <w:pPr>
        <w:pStyle w:val="NoSpacing"/>
        <w:rPr>
          <w:rFonts w:ascii="Book Antiqua" w:hAnsi="Book Antiqua"/>
          <w:sz w:val="24"/>
          <w:szCs w:val="24"/>
          <w:lang w:val="es-PR"/>
        </w:rPr>
      </w:pPr>
      <w:r w:rsidRPr="009E5309">
        <w:rPr>
          <w:rFonts w:ascii="Book Antiqua" w:hAnsi="Book Antiqua"/>
          <w:sz w:val="24"/>
          <w:szCs w:val="24"/>
          <w:lang w:val="es-PR"/>
        </w:rPr>
        <w:t>La Comisión de Pequeños y Medianos Negocios de la Cámara de Representantes, previo a estudio, evaluación y consideración del Proyecto de la Cámara 914 (P. de la C. 914), tiene a bien someter su informe negativo sobre la medida.</w:t>
      </w:r>
    </w:p>
    <w:p w14:paraId="15B78ABF" w14:textId="77777777" w:rsidR="009E5309" w:rsidRPr="009E5309" w:rsidRDefault="009E5309" w:rsidP="009E5309">
      <w:pPr>
        <w:pStyle w:val="NoSpacing"/>
        <w:rPr>
          <w:rFonts w:ascii="Book Antiqua" w:hAnsi="Book Antiqua"/>
          <w:sz w:val="24"/>
          <w:szCs w:val="24"/>
          <w:lang w:val="es-PR"/>
        </w:rPr>
      </w:pPr>
    </w:p>
    <w:p w14:paraId="3D528473" w14:textId="77777777" w:rsidR="009E5309" w:rsidRPr="009E5309" w:rsidRDefault="009E5309" w:rsidP="009E5309">
      <w:pPr>
        <w:pStyle w:val="NoSpacing"/>
        <w:rPr>
          <w:rFonts w:ascii="Book Antiqua" w:hAnsi="Book Antiqua"/>
          <w:sz w:val="24"/>
          <w:szCs w:val="24"/>
          <w:lang w:val="es-PR"/>
        </w:rPr>
      </w:pPr>
      <w:r w:rsidRPr="009E5309">
        <w:rPr>
          <w:rFonts w:ascii="Book Antiqua" w:hAnsi="Book Antiqua"/>
          <w:sz w:val="24"/>
          <w:szCs w:val="24"/>
          <w:lang w:val="es-PR"/>
        </w:rPr>
        <w:t>La Comisión examinó el alcance de la propuesta legislativa, su compatibilidad con el marco jurídico vigente, así como los comentarios y memoriales explicativos sometidos por diversas agencias y entidades, incluyendo el Departamento de Asuntos del Consumidor (DACO), el Departamento de Salud, la Oficina de Gerencia y Presupuesto (OGP), el Departamento de Justicia y el Centro Unido de Detallistas (CUD).</w:t>
      </w:r>
    </w:p>
    <w:p w14:paraId="21AFF90F" w14:textId="77777777" w:rsidR="009E5309" w:rsidRPr="009E5309" w:rsidRDefault="009E5309" w:rsidP="009E5309">
      <w:pPr>
        <w:pStyle w:val="NoSpacing"/>
        <w:rPr>
          <w:rFonts w:ascii="Book Antiqua" w:hAnsi="Book Antiqua"/>
          <w:sz w:val="24"/>
          <w:szCs w:val="24"/>
          <w:lang w:val="es-PR"/>
        </w:rPr>
      </w:pPr>
    </w:p>
    <w:p w14:paraId="5E7FFD3D" w14:textId="76F280A6" w:rsidR="004D0409" w:rsidRDefault="009E5309" w:rsidP="009E5309">
      <w:pPr>
        <w:pStyle w:val="NoSpacing"/>
        <w:rPr>
          <w:rFonts w:ascii="Book Antiqua" w:hAnsi="Book Antiqua"/>
          <w:sz w:val="24"/>
          <w:szCs w:val="24"/>
          <w:lang w:val="es-PR"/>
        </w:rPr>
      </w:pPr>
      <w:r w:rsidRPr="009E5309">
        <w:rPr>
          <w:rFonts w:ascii="Book Antiqua" w:hAnsi="Book Antiqua"/>
          <w:sz w:val="24"/>
          <w:szCs w:val="24"/>
          <w:lang w:val="es-PR"/>
        </w:rPr>
        <w:t>Luego del análisis correspondiente, la Comisión presenta a este Honorable Cuerpo sus determinaciones y recomendaciones.</w:t>
      </w:r>
    </w:p>
    <w:p w14:paraId="560D9BC6" w14:textId="77777777" w:rsidR="009E5309" w:rsidRPr="004D0409" w:rsidRDefault="009E5309" w:rsidP="009E5309">
      <w:pPr>
        <w:pStyle w:val="NoSpacing"/>
        <w:rPr>
          <w:rFonts w:ascii="Book Antiqua" w:hAnsi="Book Antiqua"/>
          <w:sz w:val="24"/>
          <w:szCs w:val="24"/>
          <w:lang w:val="es-PR"/>
        </w:rPr>
      </w:pPr>
    </w:p>
    <w:p w14:paraId="4849250D" w14:textId="311CEEBD" w:rsidR="001D3BD6" w:rsidRDefault="00292E26">
      <w:pPr>
        <w:spacing w:line="240" w:lineRule="auto"/>
        <w:jc w:val="center"/>
        <w:rPr>
          <w:rFonts w:ascii="Book Antiqua" w:eastAsia="Book Antiqua" w:hAnsi="Book Antiqua" w:cs="Book Antiqua"/>
          <w:b/>
          <w:bCs/>
          <w:sz w:val="24"/>
          <w:szCs w:val="24"/>
        </w:rPr>
      </w:pPr>
      <w:r w:rsidRPr="004813D9">
        <w:rPr>
          <w:rFonts w:ascii="Book Antiqua" w:eastAsia="Book Antiqua" w:hAnsi="Book Antiqua" w:cs="Book Antiqua"/>
          <w:b/>
          <w:bCs/>
          <w:sz w:val="24"/>
          <w:szCs w:val="24"/>
        </w:rPr>
        <w:t>ALCANCE DE LA MEDIDA</w:t>
      </w:r>
    </w:p>
    <w:p w14:paraId="175B9AA9" w14:textId="220E74A7" w:rsidR="009E5309" w:rsidRPr="009E5309" w:rsidRDefault="009E5309" w:rsidP="009E5309">
      <w:pPr>
        <w:spacing w:line="240" w:lineRule="auto"/>
        <w:rPr>
          <w:rFonts w:ascii="Book Antiqua" w:eastAsia="Book Antiqua" w:hAnsi="Book Antiqua" w:cs="Book Antiqua"/>
          <w:sz w:val="24"/>
          <w:szCs w:val="24"/>
          <w:lang w:val="es-PR"/>
        </w:rPr>
      </w:pPr>
      <w:bookmarkStart w:id="1" w:name="_heading=h.dbfhnkvgsaa0" w:colFirst="0" w:colLast="0"/>
      <w:bookmarkEnd w:id="1"/>
      <w:r w:rsidRPr="009E5309">
        <w:rPr>
          <w:rFonts w:ascii="Book Antiqua" w:eastAsia="Book Antiqua" w:hAnsi="Book Antiqua" w:cs="Book Antiqua"/>
          <w:sz w:val="24"/>
          <w:szCs w:val="24"/>
          <w:lang w:val="es-PR"/>
        </w:rPr>
        <w:t>El Proyecto de la Cámara 914 propone enmendar el Artículo 3, inciso (a) de la Ley Núm. 454-2000, conocida como la “Ley de Flexibilidad Administrativa y Reglamentaria para el Pequeño Negocio”, a los fines de establecer que toda primera infracción cometida por un pequeño negocio conlleve exclusivamente un aviso de multa sin penalidad económica, concediendo además un término para corregir la falta antes de imponer cualquier sanción económica.</w:t>
      </w:r>
    </w:p>
    <w:p w14:paraId="495CDDB5" w14:textId="77777777" w:rsidR="009E5309" w:rsidRDefault="009E5309" w:rsidP="009E5309">
      <w:pPr>
        <w:spacing w:line="240" w:lineRule="auto"/>
        <w:rPr>
          <w:rFonts w:ascii="Book Antiqua" w:eastAsia="Book Antiqua" w:hAnsi="Book Antiqua" w:cs="Book Antiqua"/>
          <w:sz w:val="24"/>
          <w:szCs w:val="24"/>
          <w:lang w:val="es-PR"/>
        </w:rPr>
      </w:pPr>
      <w:r w:rsidRPr="009E5309">
        <w:rPr>
          <w:rFonts w:ascii="Book Antiqua" w:eastAsia="Book Antiqua" w:hAnsi="Book Antiqua" w:cs="Book Antiqua"/>
          <w:sz w:val="24"/>
          <w:szCs w:val="24"/>
          <w:lang w:val="es-PR"/>
        </w:rPr>
        <w:t>La medida persigue reducir el impacto económico inmediato de las penalidades administrativas sobre los pequeños negocios, promoviendo un enfoque correctivo en lugar de uno punitivo, particularmente en casos de incumplimientos iniciales.</w:t>
      </w:r>
    </w:p>
    <w:p w14:paraId="08BBA7F5" w14:textId="77777777" w:rsidR="009E5309" w:rsidRDefault="009E5309" w:rsidP="009E5309">
      <w:pPr>
        <w:spacing w:line="240" w:lineRule="auto"/>
        <w:jc w:val="center"/>
        <w:rPr>
          <w:rFonts w:ascii="Book Antiqua" w:eastAsia="Book Antiqua" w:hAnsi="Book Antiqua" w:cs="Book Antiqua"/>
          <w:b/>
          <w:bCs/>
          <w:sz w:val="24"/>
          <w:szCs w:val="24"/>
          <w:lang w:val="es-PR"/>
        </w:rPr>
      </w:pPr>
    </w:p>
    <w:p w14:paraId="4849250F" w14:textId="1F9DEDE2" w:rsidR="001D3BD6" w:rsidRPr="004813D9" w:rsidRDefault="00292E26" w:rsidP="009E5309">
      <w:pPr>
        <w:spacing w:line="240" w:lineRule="auto"/>
        <w:jc w:val="center"/>
        <w:rPr>
          <w:rFonts w:ascii="Book Antiqua" w:eastAsia="Book Antiqua" w:hAnsi="Book Antiqua" w:cs="Book Antiqua"/>
          <w:b/>
          <w:bCs/>
          <w:sz w:val="24"/>
          <w:szCs w:val="24"/>
        </w:rPr>
      </w:pPr>
      <w:r w:rsidRPr="004813D9">
        <w:rPr>
          <w:rFonts w:ascii="Book Antiqua" w:eastAsia="Book Antiqua" w:hAnsi="Book Antiqua" w:cs="Book Antiqua"/>
          <w:b/>
          <w:bCs/>
          <w:sz w:val="24"/>
          <w:szCs w:val="24"/>
        </w:rPr>
        <w:lastRenderedPageBreak/>
        <w:t>ANÁLISIS DE LA MEDIDA</w:t>
      </w:r>
    </w:p>
    <w:p w14:paraId="68BCB25A" w14:textId="77777777" w:rsidR="00745A30" w:rsidRPr="00745A30" w:rsidRDefault="00745A30" w:rsidP="00745A30">
      <w:pPr>
        <w:spacing w:line="240" w:lineRule="auto"/>
        <w:jc w:val="both"/>
        <w:rPr>
          <w:rFonts w:ascii="Book Antiqua" w:eastAsia="Times New Roman" w:hAnsi="Book Antiqua" w:cs="Times New Roman"/>
          <w:sz w:val="24"/>
          <w:szCs w:val="24"/>
          <w:lang w:val="es-PR"/>
        </w:rPr>
      </w:pPr>
      <w:r w:rsidRPr="00745A30">
        <w:rPr>
          <w:rFonts w:ascii="Book Antiqua" w:eastAsia="Times New Roman" w:hAnsi="Book Antiqua" w:cs="Times New Roman"/>
          <w:sz w:val="24"/>
          <w:szCs w:val="24"/>
          <w:lang w:val="es-PR"/>
        </w:rPr>
        <w:t>La Comisión reconoce que la medida responde a una preocupación legítima sobre la carga regulatoria que enfrentan los pequeños negocios y la necesidad de promover un ambiente más favorable para su desarrollo.</w:t>
      </w:r>
    </w:p>
    <w:p w14:paraId="2A1327A6" w14:textId="77777777" w:rsidR="00745A30" w:rsidRPr="00745A30" w:rsidRDefault="00745A30" w:rsidP="00745A30">
      <w:pPr>
        <w:spacing w:line="240" w:lineRule="auto"/>
        <w:jc w:val="both"/>
        <w:rPr>
          <w:rFonts w:ascii="Book Antiqua" w:eastAsia="Times New Roman" w:hAnsi="Book Antiqua" w:cs="Times New Roman"/>
          <w:sz w:val="24"/>
          <w:szCs w:val="24"/>
          <w:lang w:val="es-PR"/>
        </w:rPr>
      </w:pPr>
      <w:r w:rsidRPr="00745A30">
        <w:rPr>
          <w:rFonts w:ascii="Book Antiqua" w:eastAsia="Times New Roman" w:hAnsi="Book Antiqua" w:cs="Times New Roman"/>
          <w:sz w:val="24"/>
          <w:szCs w:val="24"/>
          <w:lang w:val="es-PR"/>
        </w:rPr>
        <w:t>No obstante, del análisis de los memoriales recibidos, surgen preocupaciones significativas que inciden directamente sobre la viabilidad jurídica, administrativa y operacional de la propuesta:</w:t>
      </w:r>
    </w:p>
    <w:p w14:paraId="3BE4D5EF" w14:textId="77777777" w:rsidR="00745A30" w:rsidRPr="00745A30" w:rsidRDefault="00745A30" w:rsidP="00745A30">
      <w:pPr>
        <w:spacing w:line="240" w:lineRule="auto"/>
        <w:jc w:val="both"/>
        <w:rPr>
          <w:rFonts w:ascii="Book Antiqua" w:eastAsia="Times New Roman" w:hAnsi="Book Antiqua" w:cs="Times New Roman"/>
          <w:sz w:val="24"/>
          <w:szCs w:val="24"/>
          <w:lang w:val="es-PR"/>
        </w:rPr>
      </w:pPr>
      <w:r w:rsidRPr="00745A30">
        <w:rPr>
          <w:rFonts w:ascii="Book Antiqua" w:eastAsia="Times New Roman" w:hAnsi="Book Antiqua" w:cs="Times New Roman"/>
          <w:sz w:val="24"/>
          <w:szCs w:val="24"/>
          <w:lang w:val="es-PR"/>
        </w:rPr>
        <w:t xml:space="preserve">En primer lugar, el Departamento de Salud advierte que la medida convierte en obligatorio un mecanismo que actualmente es discrecional, limitando la capacidad de las agencias para actuar con agilidad ante situaciones que puedan representar riesgos a la salud pública. Asimismo, señala que la imposición uniforme de un aviso sin penalidad en una primera infracción podría ser insuficiente en casos de violaciones graves o de alto riesgo. </w:t>
      </w:r>
    </w:p>
    <w:p w14:paraId="54F0085E" w14:textId="77777777" w:rsidR="00745A30" w:rsidRPr="00745A30" w:rsidRDefault="00745A30" w:rsidP="00745A30">
      <w:pPr>
        <w:spacing w:line="240" w:lineRule="auto"/>
        <w:jc w:val="both"/>
        <w:rPr>
          <w:rFonts w:ascii="Book Antiqua" w:eastAsia="Times New Roman" w:hAnsi="Book Antiqua" w:cs="Times New Roman"/>
          <w:sz w:val="24"/>
          <w:szCs w:val="24"/>
          <w:lang w:val="es-PR"/>
        </w:rPr>
      </w:pPr>
      <w:r w:rsidRPr="00745A30">
        <w:rPr>
          <w:rFonts w:ascii="Book Antiqua" w:eastAsia="Times New Roman" w:hAnsi="Book Antiqua" w:cs="Times New Roman"/>
          <w:sz w:val="24"/>
          <w:szCs w:val="24"/>
          <w:lang w:val="es-PR"/>
        </w:rPr>
        <w:t xml:space="preserve">De igual forma, se destaca que la legislación propuesta entra en conflicto con reglamentos vigentes, incluyendo procedimientos adjudicativos establecidos que ya contemplan mecanismos de revisión, reconsideración y debido proceso. La imposición de un término fijo de corrección distinto al vigente crea inconsistencias normativas dentro del sistema regulatorio. </w:t>
      </w:r>
    </w:p>
    <w:p w14:paraId="177DD01F" w14:textId="77777777" w:rsidR="00745A30" w:rsidRPr="00745A30" w:rsidRDefault="00745A30" w:rsidP="00745A30">
      <w:pPr>
        <w:spacing w:line="240" w:lineRule="auto"/>
        <w:jc w:val="both"/>
        <w:rPr>
          <w:rFonts w:ascii="Book Antiqua" w:eastAsia="Times New Roman" w:hAnsi="Book Antiqua" w:cs="Times New Roman"/>
          <w:sz w:val="24"/>
          <w:szCs w:val="24"/>
          <w:lang w:val="es-PR"/>
        </w:rPr>
      </w:pPr>
      <w:r w:rsidRPr="00745A30">
        <w:rPr>
          <w:rFonts w:ascii="Book Antiqua" w:eastAsia="Times New Roman" w:hAnsi="Book Antiqua" w:cs="Times New Roman"/>
          <w:sz w:val="24"/>
          <w:szCs w:val="24"/>
          <w:lang w:val="es-PR"/>
        </w:rPr>
        <w:t xml:space="preserve">Por su parte, la Oficina de Gerencia y Presupuesto señala que, aunque la medida no crea una asignación presupuestaria directa, podría generar impactos fiscales indirectos al reducir los ingresos por concepto de multas administrativas, los cuales forman parte de los mecanismos operacionales de varias agencias. </w:t>
      </w:r>
    </w:p>
    <w:p w14:paraId="50A60429" w14:textId="77777777" w:rsidR="00745A30" w:rsidRPr="00745A30" w:rsidRDefault="00745A30" w:rsidP="00745A30">
      <w:pPr>
        <w:spacing w:line="240" w:lineRule="auto"/>
        <w:jc w:val="both"/>
        <w:rPr>
          <w:rFonts w:ascii="Book Antiqua" w:eastAsia="Times New Roman" w:hAnsi="Book Antiqua" w:cs="Times New Roman"/>
          <w:sz w:val="24"/>
          <w:szCs w:val="24"/>
          <w:lang w:val="es-PR"/>
        </w:rPr>
      </w:pPr>
      <w:r w:rsidRPr="00745A30">
        <w:rPr>
          <w:rFonts w:ascii="Book Antiqua" w:eastAsia="Times New Roman" w:hAnsi="Book Antiqua" w:cs="Times New Roman"/>
          <w:sz w:val="24"/>
          <w:szCs w:val="24"/>
          <w:lang w:val="es-PR"/>
        </w:rPr>
        <w:t xml:space="preserve">Además, la OGP advierte que la medida podría entrar en conflicto con programas financiados con fondos federales, donde la imposición de penalidades no es discrecional, sino un requisito reglamentario. En tales casos, la aplicación de la medida podría exponer al Estado a sanciones, pérdida de fondos o incumplimiento con normas federales. </w:t>
      </w:r>
    </w:p>
    <w:p w14:paraId="0BFA7D01" w14:textId="77777777" w:rsidR="00745A30" w:rsidRPr="00745A30" w:rsidRDefault="00745A30" w:rsidP="00745A30">
      <w:pPr>
        <w:spacing w:line="240" w:lineRule="auto"/>
        <w:jc w:val="both"/>
        <w:rPr>
          <w:rFonts w:ascii="Book Antiqua" w:eastAsia="Times New Roman" w:hAnsi="Book Antiqua" w:cs="Times New Roman"/>
          <w:sz w:val="24"/>
          <w:szCs w:val="24"/>
          <w:lang w:val="es-PR"/>
        </w:rPr>
      </w:pPr>
      <w:r w:rsidRPr="00745A30">
        <w:rPr>
          <w:rFonts w:ascii="Book Antiqua" w:eastAsia="Times New Roman" w:hAnsi="Book Antiqua" w:cs="Times New Roman"/>
          <w:sz w:val="24"/>
          <w:szCs w:val="24"/>
          <w:lang w:val="es-PR"/>
        </w:rPr>
        <w:t xml:space="preserve">Asimismo, se identifica que la propuesta no distingue adecuadamente entre tipos de infracciones, tratando de manera uniforme faltas administrativas menores y violaciones sustantivas o de carácter fraudulento, lo cual podría debilitar los mecanismos de fiscalización y control gubernamental. </w:t>
      </w:r>
    </w:p>
    <w:p w14:paraId="239A3641" w14:textId="77777777" w:rsidR="00745A30" w:rsidRPr="00745A30" w:rsidRDefault="00745A30" w:rsidP="00745A30">
      <w:pPr>
        <w:spacing w:line="240" w:lineRule="auto"/>
        <w:jc w:val="both"/>
        <w:rPr>
          <w:rFonts w:ascii="Book Antiqua" w:eastAsia="Times New Roman" w:hAnsi="Book Antiqua" w:cs="Times New Roman"/>
          <w:sz w:val="24"/>
          <w:szCs w:val="24"/>
          <w:lang w:val="es-PR"/>
        </w:rPr>
      </w:pPr>
      <w:r w:rsidRPr="00745A30">
        <w:rPr>
          <w:rFonts w:ascii="Book Antiqua" w:eastAsia="Times New Roman" w:hAnsi="Book Antiqua" w:cs="Times New Roman"/>
          <w:sz w:val="24"/>
          <w:szCs w:val="24"/>
          <w:lang w:val="es-PR"/>
        </w:rPr>
        <w:t xml:space="preserve">Aunque entidades como el DACO y el CUD respaldan el espíritu de la medida al promover un enfoque correctivo, también reconocen que el esquema debe considerar la naturaleza de la infracción y la necesidad de mantener herramientas efectivas de cumplimiento. </w:t>
      </w:r>
    </w:p>
    <w:p w14:paraId="6E201980" w14:textId="77777777" w:rsidR="00745A30" w:rsidRPr="00745A30" w:rsidRDefault="00745A30" w:rsidP="00745A30">
      <w:pPr>
        <w:spacing w:line="240" w:lineRule="auto"/>
        <w:jc w:val="both"/>
        <w:rPr>
          <w:rFonts w:ascii="Book Antiqua" w:eastAsia="Times New Roman" w:hAnsi="Book Antiqua" w:cs="Times New Roman"/>
          <w:sz w:val="24"/>
          <w:szCs w:val="24"/>
          <w:lang w:val="es-PR"/>
        </w:rPr>
      </w:pPr>
      <w:r w:rsidRPr="00745A30">
        <w:rPr>
          <w:rFonts w:ascii="Book Antiqua" w:eastAsia="Times New Roman" w:hAnsi="Book Antiqua" w:cs="Times New Roman"/>
          <w:sz w:val="24"/>
          <w:szCs w:val="24"/>
          <w:lang w:val="es-PR"/>
        </w:rPr>
        <w:t>En ese sentido, la Comisión concluye que la medida, tal como está redactada, impone una rigidez normativa que limita la discreción administrativa necesaria para atender adecuadamente los distintos escenarios regulatorios.</w:t>
      </w:r>
    </w:p>
    <w:p w14:paraId="518BB740" w14:textId="6071F0DE" w:rsidR="00635D5E" w:rsidRPr="00745A30" w:rsidRDefault="00635D5E" w:rsidP="00745A30">
      <w:pPr>
        <w:spacing w:line="240" w:lineRule="auto"/>
        <w:jc w:val="both"/>
        <w:rPr>
          <w:rFonts w:ascii="Book Antiqua" w:eastAsia="Times New Roman" w:hAnsi="Book Antiqua" w:cs="Times New Roman"/>
          <w:sz w:val="24"/>
          <w:szCs w:val="24"/>
          <w:lang w:val="es-PR"/>
        </w:rPr>
      </w:pPr>
    </w:p>
    <w:p w14:paraId="48492514" w14:textId="6730D2D5" w:rsidR="001D3BD6" w:rsidRPr="004813D9" w:rsidRDefault="00292E26" w:rsidP="00A04B0E">
      <w:pPr>
        <w:spacing w:line="240" w:lineRule="auto"/>
        <w:jc w:val="center"/>
        <w:rPr>
          <w:rFonts w:ascii="Book Antiqua" w:eastAsia="Book Antiqua" w:hAnsi="Book Antiqua" w:cs="Book Antiqua"/>
          <w:b/>
          <w:bCs/>
          <w:sz w:val="24"/>
          <w:szCs w:val="24"/>
        </w:rPr>
      </w:pPr>
      <w:r w:rsidRPr="004813D9">
        <w:rPr>
          <w:rFonts w:ascii="Book Antiqua" w:eastAsia="Book Antiqua" w:hAnsi="Book Antiqua" w:cs="Book Antiqua"/>
          <w:b/>
          <w:bCs/>
          <w:sz w:val="24"/>
          <w:szCs w:val="24"/>
        </w:rPr>
        <w:lastRenderedPageBreak/>
        <w:t>CONCLUSIÓN Y RECOMENDACIONES</w:t>
      </w:r>
    </w:p>
    <w:p w14:paraId="7EE7B5E2" w14:textId="77777777" w:rsidR="00CB50BA" w:rsidRPr="00CB50BA" w:rsidRDefault="00CB50BA" w:rsidP="00CB50BA">
      <w:pPr>
        <w:pBdr>
          <w:top w:val="nil"/>
          <w:left w:val="nil"/>
          <w:bottom w:val="nil"/>
          <w:right w:val="nil"/>
          <w:between w:val="nil"/>
        </w:pBdr>
        <w:spacing w:before="360" w:after="240" w:line="240" w:lineRule="auto"/>
        <w:jc w:val="both"/>
        <w:rPr>
          <w:rFonts w:ascii="Book Antiqua" w:hAnsi="Book Antiqua"/>
          <w:sz w:val="24"/>
          <w:szCs w:val="24"/>
          <w:lang w:val="es-PR"/>
        </w:rPr>
      </w:pPr>
      <w:r w:rsidRPr="00CB50BA">
        <w:rPr>
          <w:rFonts w:ascii="Book Antiqua" w:hAnsi="Book Antiqua"/>
          <w:sz w:val="24"/>
          <w:szCs w:val="24"/>
          <w:lang w:val="es-PR"/>
        </w:rPr>
        <w:t>Luego de evaluar el Proyecto de la Cámara 914, la Comisión de Pequeños y Medianos Negocios concluye que, aunque la intención de la medida es loable y busca proteger a los pequeños negocios de cargas económicas desproporcionadas, su implementación presenta conflictos legales, operacionales y administrativos significativos.</w:t>
      </w:r>
    </w:p>
    <w:p w14:paraId="1A39A18E" w14:textId="77777777" w:rsidR="00CB50BA" w:rsidRPr="00CB50BA" w:rsidRDefault="00CB50BA" w:rsidP="00CB50BA">
      <w:pPr>
        <w:pBdr>
          <w:top w:val="nil"/>
          <w:left w:val="nil"/>
          <w:bottom w:val="nil"/>
          <w:right w:val="nil"/>
          <w:between w:val="nil"/>
        </w:pBdr>
        <w:spacing w:before="360" w:after="240" w:line="240" w:lineRule="auto"/>
        <w:jc w:val="both"/>
        <w:rPr>
          <w:rFonts w:ascii="Book Antiqua" w:hAnsi="Book Antiqua"/>
          <w:sz w:val="24"/>
          <w:szCs w:val="24"/>
          <w:lang w:val="es-PR"/>
        </w:rPr>
      </w:pPr>
      <w:r w:rsidRPr="00CB50BA">
        <w:rPr>
          <w:rFonts w:ascii="Book Antiqua" w:hAnsi="Book Antiqua"/>
          <w:sz w:val="24"/>
          <w:szCs w:val="24"/>
          <w:lang w:val="es-PR"/>
        </w:rPr>
        <w:t>La imposición de un esquema obligatorio y uniforme para el manejo de primeras infracciones:</w:t>
      </w:r>
    </w:p>
    <w:p w14:paraId="2FF78134" w14:textId="77777777" w:rsidR="00CB50BA" w:rsidRPr="00CB50BA" w:rsidRDefault="00CB50BA" w:rsidP="00CB50BA">
      <w:pPr>
        <w:numPr>
          <w:ilvl w:val="0"/>
          <w:numId w:val="2"/>
        </w:numPr>
        <w:pBdr>
          <w:top w:val="nil"/>
          <w:left w:val="nil"/>
          <w:bottom w:val="nil"/>
          <w:right w:val="nil"/>
          <w:between w:val="nil"/>
        </w:pBdr>
        <w:spacing w:before="360" w:after="240" w:line="240" w:lineRule="auto"/>
        <w:jc w:val="both"/>
        <w:rPr>
          <w:rFonts w:ascii="Book Antiqua" w:hAnsi="Book Antiqua"/>
          <w:sz w:val="24"/>
          <w:szCs w:val="24"/>
          <w:lang w:val="es-PR"/>
        </w:rPr>
      </w:pPr>
      <w:r w:rsidRPr="00CB50BA">
        <w:rPr>
          <w:rFonts w:ascii="Book Antiqua" w:hAnsi="Book Antiqua"/>
          <w:sz w:val="24"/>
          <w:szCs w:val="24"/>
          <w:lang w:val="es-PR"/>
        </w:rPr>
        <w:t xml:space="preserve">Limita la capacidad de las agencias para atender riesgos a la salud, seguridad y bienestar público. </w:t>
      </w:r>
    </w:p>
    <w:p w14:paraId="45247FB5" w14:textId="77777777" w:rsidR="00CB50BA" w:rsidRPr="00CB50BA" w:rsidRDefault="00CB50BA" w:rsidP="00CB50BA">
      <w:pPr>
        <w:numPr>
          <w:ilvl w:val="0"/>
          <w:numId w:val="2"/>
        </w:numPr>
        <w:pBdr>
          <w:top w:val="nil"/>
          <w:left w:val="nil"/>
          <w:bottom w:val="nil"/>
          <w:right w:val="nil"/>
          <w:between w:val="nil"/>
        </w:pBdr>
        <w:spacing w:before="360" w:after="240" w:line="240" w:lineRule="auto"/>
        <w:jc w:val="both"/>
        <w:rPr>
          <w:rFonts w:ascii="Book Antiqua" w:hAnsi="Book Antiqua"/>
          <w:sz w:val="24"/>
          <w:szCs w:val="24"/>
          <w:lang w:val="es-PR"/>
        </w:rPr>
      </w:pPr>
      <w:r w:rsidRPr="00CB50BA">
        <w:rPr>
          <w:rFonts w:ascii="Book Antiqua" w:hAnsi="Book Antiqua"/>
          <w:sz w:val="24"/>
          <w:szCs w:val="24"/>
          <w:lang w:val="es-PR"/>
        </w:rPr>
        <w:t xml:space="preserve">Entra en conflicto con reglamentos vigentes y procedimientos administrativos establecidos. </w:t>
      </w:r>
    </w:p>
    <w:p w14:paraId="24441819" w14:textId="77777777" w:rsidR="00CB50BA" w:rsidRPr="00CB50BA" w:rsidRDefault="00CB50BA" w:rsidP="00CB50BA">
      <w:pPr>
        <w:numPr>
          <w:ilvl w:val="0"/>
          <w:numId w:val="2"/>
        </w:numPr>
        <w:pBdr>
          <w:top w:val="nil"/>
          <w:left w:val="nil"/>
          <w:bottom w:val="nil"/>
          <w:right w:val="nil"/>
          <w:between w:val="nil"/>
        </w:pBdr>
        <w:spacing w:before="360" w:after="240" w:line="240" w:lineRule="auto"/>
        <w:jc w:val="both"/>
        <w:rPr>
          <w:rFonts w:ascii="Book Antiqua" w:hAnsi="Book Antiqua"/>
          <w:sz w:val="24"/>
          <w:szCs w:val="24"/>
          <w:lang w:val="es-PR"/>
        </w:rPr>
      </w:pPr>
      <w:r w:rsidRPr="00CB50BA">
        <w:rPr>
          <w:rFonts w:ascii="Book Antiqua" w:hAnsi="Book Antiqua"/>
          <w:sz w:val="24"/>
          <w:szCs w:val="24"/>
          <w:lang w:val="es-PR"/>
        </w:rPr>
        <w:t xml:space="preserve">Podría generar incumplimientos con requisitos federales y exponer al Estado a sanciones. </w:t>
      </w:r>
    </w:p>
    <w:p w14:paraId="635D4CA6" w14:textId="77777777" w:rsidR="00CB50BA" w:rsidRPr="00CB50BA" w:rsidRDefault="00CB50BA" w:rsidP="00CB50BA">
      <w:pPr>
        <w:numPr>
          <w:ilvl w:val="0"/>
          <w:numId w:val="2"/>
        </w:numPr>
        <w:pBdr>
          <w:top w:val="nil"/>
          <w:left w:val="nil"/>
          <w:bottom w:val="nil"/>
          <w:right w:val="nil"/>
          <w:between w:val="nil"/>
        </w:pBdr>
        <w:spacing w:before="360" w:after="240" w:line="240" w:lineRule="auto"/>
        <w:jc w:val="both"/>
        <w:rPr>
          <w:rFonts w:ascii="Book Antiqua" w:hAnsi="Book Antiqua"/>
          <w:sz w:val="24"/>
          <w:szCs w:val="24"/>
          <w:lang w:val="es-PR"/>
        </w:rPr>
      </w:pPr>
      <w:r w:rsidRPr="00CB50BA">
        <w:rPr>
          <w:rFonts w:ascii="Book Antiqua" w:hAnsi="Book Antiqua"/>
          <w:sz w:val="24"/>
          <w:szCs w:val="24"/>
          <w:lang w:val="es-PR"/>
        </w:rPr>
        <w:t xml:space="preserve">Debilita los mecanismos de fiscalización al no distinguir entre tipos de infracciones. </w:t>
      </w:r>
    </w:p>
    <w:p w14:paraId="0D5266C8" w14:textId="77777777" w:rsidR="00CB50BA" w:rsidRPr="00CB50BA" w:rsidRDefault="00CB50BA" w:rsidP="00CB50BA">
      <w:pPr>
        <w:numPr>
          <w:ilvl w:val="0"/>
          <w:numId w:val="2"/>
        </w:numPr>
        <w:pBdr>
          <w:top w:val="nil"/>
          <w:left w:val="nil"/>
          <w:bottom w:val="nil"/>
          <w:right w:val="nil"/>
          <w:between w:val="nil"/>
        </w:pBdr>
        <w:spacing w:before="360" w:after="240" w:line="240" w:lineRule="auto"/>
        <w:jc w:val="both"/>
        <w:rPr>
          <w:rFonts w:ascii="Book Antiqua" w:hAnsi="Book Antiqua"/>
          <w:sz w:val="24"/>
          <w:szCs w:val="24"/>
          <w:lang w:val="es-PR"/>
        </w:rPr>
      </w:pPr>
      <w:r w:rsidRPr="00CB50BA">
        <w:rPr>
          <w:rFonts w:ascii="Book Antiqua" w:hAnsi="Book Antiqua"/>
          <w:sz w:val="24"/>
          <w:szCs w:val="24"/>
          <w:lang w:val="es-PR"/>
        </w:rPr>
        <w:t xml:space="preserve">Puede tener impactos fiscales indirectos sobre la operación de agencias gubernamentales. </w:t>
      </w:r>
    </w:p>
    <w:p w14:paraId="2D3DBE68" w14:textId="77777777" w:rsidR="00CB50BA" w:rsidRPr="00CB50BA" w:rsidRDefault="00CB50BA" w:rsidP="00CB50BA">
      <w:pPr>
        <w:pBdr>
          <w:top w:val="nil"/>
          <w:left w:val="nil"/>
          <w:bottom w:val="nil"/>
          <w:right w:val="nil"/>
          <w:between w:val="nil"/>
        </w:pBdr>
        <w:spacing w:before="360" w:after="240" w:line="240" w:lineRule="auto"/>
        <w:jc w:val="both"/>
        <w:rPr>
          <w:rFonts w:ascii="Book Antiqua" w:hAnsi="Book Antiqua"/>
          <w:sz w:val="24"/>
          <w:szCs w:val="24"/>
          <w:lang w:val="es-PR"/>
        </w:rPr>
      </w:pPr>
      <w:r w:rsidRPr="00CB50BA">
        <w:rPr>
          <w:rFonts w:ascii="Book Antiqua" w:hAnsi="Book Antiqua"/>
          <w:sz w:val="24"/>
          <w:szCs w:val="24"/>
          <w:lang w:val="es-PR"/>
        </w:rPr>
        <w:t>A la luz de lo anterior, la Comisión entiende que la política pública que persigue la medida debe atenderse mediante un enfoque más balanceado, que preserve la discreción administrativa y considere la naturaleza de cada infracción.</w:t>
      </w:r>
    </w:p>
    <w:p w14:paraId="34BE54A7" w14:textId="77777777" w:rsidR="00CB50BA" w:rsidRPr="00CB50BA" w:rsidRDefault="00CB50BA" w:rsidP="00CB50BA">
      <w:pPr>
        <w:pBdr>
          <w:top w:val="nil"/>
          <w:left w:val="nil"/>
          <w:bottom w:val="nil"/>
          <w:right w:val="nil"/>
          <w:between w:val="nil"/>
        </w:pBdr>
        <w:spacing w:before="360" w:after="240" w:line="240" w:lineRule="auto"/>
        <w:jc w:val="both"/>
        <w:rPr>
          <w:rFonts w:ascii="Book Antiqua" w:hAnsi="Book Antiqua"/>
          <w:sz w:val="24"/>
          <w:szCs w:val="24"/>
          <w:lang w:val="es-PR"/>
        </w:rPr>
      </w:pPr>
      <w:r w:rsidRPr="00CB50BA">
        <w:rPr>
          <w:rFonts w:ascii="Book Antiqua" w:hAnsi="Book Antiqua"/>
          <w:sz w:val="24"/>
          <w:szCs w:val="24"/>
          <w:lang w:val="es-PR"/>
        </w:rPr>
        <w:t>Por lo anterior, la Comisión de Pequeños y Medianos Negocios de la Cámara de Representantes, previo a estudio y consideración del P. de la C. 914, tiene a bien someter su informe negativo sobre la medida.</w:t>
      </w:r>
    </w:p>
    <w:p w14:paraId="1A13E96F" w14:textId="77777777" w:rsidR="00D57A2B" w:rsidRDefault="00D57A2B">
      <w:pPr>
        <w:pBdr>
          <w:top w:val="nil"/>
          <w:left w:val="nil"/>
          <w:bottom w:val="nil"/>
          <w:right w:val="nil"/>
          <w:between w:val="nil"/>
        </w:pBdr>
        <w:spacing w:before="360" w:after="240" w:line="240" w:lineRule="auto"/>
        <w:jc w:val="both"/>
        <w:rPr>
          <w:rFonts w:ascii="Book Antiqua" w:eastAsia="Book Antiqua" w:hAnsi="Book Antiqua" w:cs="Book Antiqua"/>
          <w:color w:val="000000"/>
          <w:sz w:val="24"/>
          <w:szCs w:val="24"/>
          <w:lang w:val="es-PR"/>
        </w:rPr>
      </w:pPr>
    </w:p>
    <w:p w14:paraId="48492518" w14:textId="77777777" w:rsidR="001D3BD6" w:rsidRPr="004813D9" w:rsidRDefault="00292E26">
      <w:pPr>
        <w:widowControl w:val="0"/>
        <w:pBdr>
          <w:top w:val="nil"/>
          <w:left w:val="nil"/>
          <w:bottom w:val="nil"/>
          <w:right w:val="nil"/>
          <w:between w:val="nil"/>
        </w:pBdr>
        <w:spacing w:after="120" w:line="240" w:lineRule="auto"/>
        <w:jc w:val="both"/>
        <w:rPr>
          <w:rFonts w:ascii="Book Antiqua" w:eastAsia="Book Antiqua" w:hAnsi="Book Antiqua" w:cs="Book Antiqua"/>
          <w:color w:val="000000"/>
          <w:sz w:val="24"/>
          <w:szCs w:val="24"/>
        </w:rPr>
      </w:pPr>
      <w:r w:rsidRPr="004813D9">
        <w:rPr>
          <w:rFonts w:ascii="Book Antiqua" w:eastAsia="Book Antiqua" w:hAnsi="Book Antiqua" w:cs="Book Antiqua"/>
          <w:color w:val="000000"/>
          <w:sz w:val="24"/>
          <w:szCs w:val="24"/>
        </w:rPr>
        <w:t>____________________________</w:t>
      </w:r>
    </w:p>
    <w:p w14:paraId="48492519" w14:textId="77777777" w:rsidR="001D3BD6" w:rsidRPr="004813D9" w:rsidRDefault="00292E26">
      <w:pPr>
        <w:widowControl w:val="0"/>
        <w:pBdr>
          <w:top w:val="nil"/>
          <w:left w:val="nil"/>
          <w:bottom w:val="nil"/>
          <w:right w:val="nil"/>
          <w:between w:val="nil"/>
        </w:pBdr>
        <w:spacing w:after="0" w:line="240" w:lineRule="auto"/>
        <w:jc w:val="both"/>
        <w:rPr>
          <w:rFonts w:ascii="Book Antiqua" w:eastAsia="Book Antiqua" w:hAnsi="Book Antiqua" w:cs="Book Antiqua"/>
          <w:b/>
          <w:bCs/>
          <w:color w:val="000000"/>
          <w:sz w:val="24"/>
          <w:szCs w:val="24"/>
        </w:rPr>
      </w:pPr>
      <w:r w:rsidRPr="004813D9">
        <w:rPr>
          <w:rFonts w:ascii="Book Antiqua" w:eastAsia="Book Antiqua" w:hAnsi="Book Antiqua" w:cs="Book Antiqua"/>
          <w:b/>
          <w:bCs/>
          <w:color w:val="000000"/>
          <w:sz w:val="24"/>
          <w:szCs w:val="24"/>
        </w:rPr>
        <w:t>Hon. Sergio Esteves Vélez</w:t>
      </w:r>
    </w:p>
    <w:p w14:paraId="4849251A" w14:textId="77777777" w:rsidR="001D3BD6" w:rsidRPr="004813D9" w:rsidRDefault="00292E26">
      <w:pPr>
        <w:widowControl w:val="0"/>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r w:rsidRPr="004813D9">
        <w:rPr>
          <w:rFonts w:ascii="Book Antiqua" w:eastAsia="Book Antiqua" w:hAnsi="Book Antiqua" w:cs="Book Antiqua"/>
          <w:color w:val="000000"/>
          <w:sz w:val="24"/>
          <w:szCs w:val="24"/>
        </w:rPr>
        <w:t xml:space="preserve">Presidente </w:t>
      </w:r>
    </w:p>
    <w:p w14:paraId="4849251B" w14:textId="77777777" w:rsidR="001D3BD6" w:rsidRPr="004813D9" w:rsidRDefault="00292E26">
      <w:pPr>
        <w:widowControl w:val="0"/>
        <w:pBdr>
          <w:top w:val="nil"/>
          <w:left w:val="nil"/>
          <w:bottom w:val="nil"/>
          <w:right w:val="nil"/>
          <w:between w:val="nil"/>
        </w:pBdr>
        <w:spacing w:after="0" w:line="240" w:lineRule="auto"/>
        <w:jc w:val="both"/>
        <w:rPr>
          <w:rFonts w:ascii="Book Antiqua" w:eastAsia="Book Antiqua" w:hAnsi="Book Antiqua" w:cs="Book Antiqua"/>
          <w:sz w:val="24"/>
          <w:szCs w:val="24"/>
        </w:rPr>
      </w:pPr>
      <w:r w:rsidRPr="004813D9">
        <w:rPr>
          <w:rFonts w:ascii="Book Antiqua" w:eastAsia="Book Antiqua" w:hAnsi="Book Antiqua" w:cs="Book Antiqua"/>
          <w:color w:val="000000"/>
          <w:sz w:val="24"/>
          <w:szCs w:val="24"/>
        </w:rPr>
        <w:t xml:space="preserve">Comisión de Pequeños, Medianos Negocios </w:t>
      </w:r>
      <w:r w:rsidRPr="004813D9">
        <w:rPr>
          <w:rFonts w:ascii="Book Antiqua" w:eastAsia="Book Antiqua" w:hAnsi="Book Antiqua" w:cs="Book Antiqua"/>
          <w:sz w:val="24"/>
          <w:szCs w:val="24"/>
        </w:rPr>
        <w:t>de la Cámara de Representante</w:t>
      </w:r>
    </w:p>
    <w:sectPr w:rsidR="001D3BD6" w:rsidRPr="004813D9">
      <w:foot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6ADEEF" w14:textId="77777777" w:rsidR="00292E26" w:rsidRDefault="00292E26">
      <w:pPr>
        <w:spacing w:after="0" w:line="240" w:lineRule="auto"/>
      </w:pPr>
      <w:r>
        <w:separator/>
      </w:r>
    </w:p>
  </w:endnote>
  <w:endnote w:type="continuationSeparator" w:id="0">
    <w:p w14:paraId="058A25B5" w14:textId="77777777" w:rsidR="00292E26" w:rsidRDefault="00292E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embedRegular r:id="rId1" w:fontKey="{A46D1A9C-1405-4E20-AA2B-CEE9B4E9268B}"/>
    <w:embedItalic r:id="rId2" w:fontKey="{91C9A5FC-94A3-45E5-89A4-62C34C3D6E13}"/>
  </w:font>
  <w:font w:name="Aptos Display">
    <w:charset w:val="00"/>
    <w:family w:val="swiss"/>
    <w:pitch w:val="variable"/>
    <w:sig w:usb0="20000287" w:usb1="00000003" w:usb2="00000000" w:usb3="00000000" w:csb0="0000019F" w:csb1="00000000"/>
    <w:embedRegular r:id="rId3" w:fontKey="{7EDDE768-1B38-4211-B02E-A05F79ED5406}"/>
  </w:font>
  <w:font w:name="Yu Gothic Light">
    <w:altName w:val="游ゴシック Light"/>
    <w:panose1 w:val="020B0300000000000000"/>
    <w:charset w:val="80"/>
    <w:family w:val="swiss"/>
    <w:pitch w:val="variable"/>
    <w:sig w:usb0="E00002FF" w:usb1="2AC7FDFF" w:usb2="00000016" w:usb3="00000000" w:csb0="0002009F" w:csb1="00000000"/>
  </w:font>
  <w:font w:name="Arial Unicode MS">
    <w:panose1 w:val="020B0604020202020204"/>
    <w:charset w:val="00"/>
    <w:family w:val="roman"/>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embedRegular r:id="rId4" w:fontKey="{FB5C25FD-3ED3-4444-A5A1-15F2F7C47928}"/>
    <w:embedBold r:id="rId5" w:fontKey="{FE253092-FC27-437F-8591-E5589A21BC1E}"/>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49251C" w14:textId="2F84BFD9" w:rsidR="001D3BD6" w:rsidRDefault="00292E26">
    <w:pPr>
      <w:pBdr>
        <w:top w:val="nil"/>
        <w:left w:val="nil"/>
        <w:bottom w:val="nil"/>
        <w:right w:val="nil"/>
        <w:between w:val="nil"/>
      </w:pBdr>
      <w:tabs>
        <w:tab w:val="center" w:pos="4680"/>
        <w:tab w:val="right" w:pos="9360"/>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2C1BAB">
      <w:rPr>
        <w:noProof/>
        <w:color w:val="000000"/>
      </w:rPr>
      <w:t>1</w:t>
    </w:r>
    <w:r>
      <w:rPr>
        <w:color w:val="000000"/>
      </w:rPr>
      <w:fldChar w:fldCharType="end"/>
    </w:r>
  </w:p>
  <w:p w14:paraId="4849251D" w14:textId="77777777" w:rsidR="001D3BD6" w:rsidRDefault="001D3BD6">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58FC4A" w14:textId="77777777" w:rsidR="00292E26" w:rsidRDefault="00292E26">
      <w:pPr>
        <w:spacing w:after="0" w:line="240" w:lineRule="auto"/>
      </w:pPr>
      <w:r>
        <w:separator/>
      </w:r>
    </w:p>
  </w:footnote>
  <w:footnote w:type="continuationSeparator" w:id="0">
    <w:p w14:paraId="094523D1" w14:textId="77777777" w:rsidR="00292E26" w:rsidRDefault="00292E2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7A10103"/>
    <w:multiLevelType w:val="multilevel"/>
    <w:tmpl w:val="09B4B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8C71D7C"/>
    <w:multiLevelType w:val="multilevel"/>
    <w:tmpl w:val="A0243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49296342">
    <w:abstractNumId w:val="0"/>
  </w:num>
  <w:num w:numId="2" w16cid:durableId="3982165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3BD6"/>
    <w:rsid w:val="000D733A"/>
    <w:rsid w:val="00136806"/>
    <w:rsid w:val="00192753"/>
    <w:rsid w:val="001C4778"/>
    <w:rsid w:val="001D3BD6"/>
    <w:rsid w:val="001E0DDA"/>
    <w:rsid w:val="00292E26"/>
    <w:rsid w:val="002C1BAB"/>
    <w:rsid w:val="00394860"/>
    <w:rsid w:val="003B342C"/>
    <w:rsid w:val="003D1230"/>
    <w:rsid w:val="003E7896"/>
    <w:rsid w:val="00413511"/>
    <w:rsid w:val="004813D9"/>
    <w:rsid w:val="004927BF"/>
    <w:rsid w:val="004D0409"/>
    <w:rsid w:val="004F6BB6"/>
    <w:rsid w:val="00516510"/>
    <w:rsid w:val="00547B93"/>
    <w:rsid w:val="0055060D"/>
    <w:rsid w:val="00550B63"/>
    <w:rsid w:val="005A25BD"/>
    <w:rsid w:val="005B7AFC"/>
    <w:rsid w:val="00635D5E"/>
    <w:rsid w:val="00660251"/>
    <w:rsid w:val="00713399"/>
    <w:rsid w:val="007335A1"/>
    <w:rsid w:val="00745A30"/>
    <w:rsid w:val="00783D2F"/>
    <w:rsid w:val="00946FE4"/>
    <w:rsid w:val="009E5309"/>
    <w:rsid w:val="00A04B0E"/>
    <w:rsid w:val="00B50763"/>
    <w:rsid w:val="00C0476E"/>
    <w:rsid w:val="00C73ECD"/>
    <w:rsid w:val="00C80430"/>
    <w:rsid w:val="00CB2662"/>
    <w:rsid w:val="00CB50BA"/>
    <w:rsid w:val="00CB7E38"/>
    <w:rsid w:val="00D57A2B"/>
    <w:rsid w:val="00DC590A"/>
    <w:rsid w:val="00DE1463"/>
    <w:rsid w:val="00DE7A2C"/>
    <w:rsid w:val="00E26C87"/>
    <w:rsid w:val="00E46F21"/>
    <w:rsid w:val="00EE12B3"/>
    <w:rsid w:val="00F433D1"/>
    <w:rsid w:val="00F62BD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492501"/>
  <w15:docId w15:val="{3EF23AC2-09BE-41BA-9749-384E99924D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2"/>
        <w:szCs w:val="22"/>
        <w:lang w:val="es"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10CD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10CD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10CD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10CD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10CD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10CD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10CD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10CD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10CD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rsid w:val="00510CD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510CD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10CD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10CD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10CD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10CD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10CD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10CD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10CD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10CD1"/>
    <w:rPr>
      <w:rFonts w:eastAsiaTheme="majorEastAsia" w:cstheme="majorBidi"/>
      <w:color w:val="272727" w:themeColor="text1" w:themeTint="D8"/>
    </w:rPr>
  </w:style>
  <w:style w:type="character" w:customStyle="1" w:styleId="TitleChar">
    <w:name w:val="Title Char"/>
    <w:basedOn w:val="DefaultParagraphFont"/>
    <w:link w:val="Title"/>
    <w:uiPriority w:val="10"/>
    <w:rsid w:val="00510CD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Pr>
      <w:color w:val="595959"/>
      <w:sz w:val="28"/>
      <w:szCs w:val="28"/>
    </w:rPr>
  </w:style>
  <w:style w:type="character" w:customStyle="1" w:styleId="SubtitleChar">
    <w:name w:val="Subtitle Char"/>
    <w:basedOn w:val="DefaultParagraphFont"/>
    <w:link w:val="Subtitle"/>
    <w:uiPriority w:val="11"/>
    <w:rsid w:val="00510CD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10CD1"/>
    <w:pPr>
      <w:spacing w:before="160"/>
      <w:jc w:val="center"/>
    </w:pPr>
    <w:rPr>
      <w:i/>
      <w:iCs/>
      <w:color w:val="404040" w:themeColor="text1" w:themeTint="BF"/>
    </w:rPr>
  </w:style>
  <w:style w:type="character" w:customStyle="1" w:styleId="QuoteChar">
    <w:name w:val="Quote Char"/>
    <w:basedOn w:val="DefaultParagraphFont"/>
    <w:link w:val="Quote"/>
    <w:uiPriority w:val="29"/>
    <w:rsid w:val="00510CD1"/>
    <w:rPr>
      <w:i/>
      <w:iCs/>
      <w:color w:val="404040" w:themeColor="text1" w:themeTint="BF"/>
    </w:rPr>
  </w:style>
  <w:style w:type="paragraph" w:styleId="ListParagraph">
    <w:name w:val="List Paragraph"/>
    <w:basedOn w:val="Normal"/>
    <w:uiPriority w:val="34"/>
    <w:qFormat/>
    <w:rsid w:val="00510CD1"/>
    <w:pPr>
      <w:ind w:left="720"/>
      <w:contextualSpacing/>
    </w:pPr>
  </w:style>
  <w:style w:type="character" w:styleId="IntenseEmphasis">
    <w:name w:val="Intense Emphasis"/>
    <w:basedOn w:val="DefaultParagraphFont"/>
    <w:uiPriority w:val="21"/>
    <w:qFormat/>
    <w:rsid w:val="00510CD1"/>
    <w:rPr>
      <w:i/>
      <w:iCs/>
      <w:color w:val="0F4761" w:themeColor="accent1" w:themeShade="BF"/>
    </w:rPr>
  </w:style>
  <w:style w:type="paragraph" w:styleId="IntenseQuote">
    <w:name w:val="Intense Quote"/>
    <w:basedOn w:val="Normal"/>
    <w:next w:val="Normal"/>
    <w:link w:val="IntenseQuoteChar"/>
    <w:uiPriority w:val="30"/>
    <w:qFormat/>
    <w:rsid w:val="00510CD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10CD1"/>
    <w:rPr>
      <w:i/>
      <w:iCs/>
      <w:color w:val="0F4761" w:themeColor="accent1" w:themeShade="BF"/>
    </w:rPr>
  </w:style>
  <w:style w:type="character" w:styleId="IntenseReference">
    <w:name w:val="Intense Reference"/>
    <w:basedOn w:val="DefaultParagraphFont"/>
    <w:uiPriority w:val="32"/>
    <w:qFormat/>
    <w:rsid w:val="00510CD1"/>
    <w:rPr>
      <w:b/>
      <w:bCs/>
      <w:smallCaps/>
      <w:color w:val="0F4761" w:themeColor="accent1" w:themeShade="BF"/>
      <w:spacing w:val="5"/>
    </w:rPr>
  </w:style>
  <w:style w:type="paragraph" w:customStyle="1" w:styleId="Body">
    <w:name w:val="Body"/>
    <w:rsid w:val="00541287"/>
    <w:pPr>
      <w:spacing w:after="0" w:line="240" w:lineRule="auto"/>
    </w:pPr>
    <w:rPr>
      <w:rFonts w:ascii="Times New Roman" w:eastAsia="Arial Unicode MS" w:hAnsi="Times New Roman" w:cs="Arial Unicode MS"/>
      <w:color w:val="000000"/>
      <w:sz w:val="24"/>
      <w:szCs w:val="24"/>
      <w:u w:color="000000"/>
      <w:lang w:val="es-ES_tradnl"/>
    </w:rPr>
  </w:style>
  <w:style w:type="paragraph" w:styleId="Header">
    <w:name w:val="header"/>
    <w:basedOn w:val="Normal"/>
    <w:link w:val="HeaderChar"/>
    <w:uiPriority w:val="99"/>
    <w:unhideWhenUsed/>
    <w:rsid w:val="000041C3"/>
    <w:pPr>
      <w:tabs>
        <w:tab w:val="center" w:pos="4680"/>
        <w:tab w:val="right" w:pos="9360"/>
      </w:tabs>
      <w:spacing w:after="0" w:line="240" w:lineRule="auto"/>
    </w:pPr>
  </w:style>
  <w:style w:type="character" w:customStyle="1" w:styleId="HeaderChar">
    <w:name w:val="Header Char"/>
    <w:basedOn w:val="DefaultParagraphFont"/>
    <w:link w:val="Header"/>
    <w:uiPriority w:val="99"/>
    <w:rsid w:val="000041C3"/>
  </w:style>
  <w:style w:type="paragraph" w:styleId="Footer">
    <w:name w:val="footer"/>
    <w:basedOn w:val="Normal"/>
    <w:link w:val="FooterChar"/>
    <w:uiPriority w:val="99"/>
    <w:unhideWhenUsed/>
    <w:rsid w:val="000041C3"/>
    <w:pPr>
      <w:tabs>
        <w:tab w:val="center" w:pos="4680"/>
        <w:tab w:val="right" w:pos="9360"/>
      </w:tabs>
      <w:spacing w:after="0" w:line="240" w:lineRule="auto"/>
    </w:pPr>
  </w:style>
  <w:style w:type="character" w:customStyle="1" w:styleId="FooterChar">
    <w:name w:val="Footer Char"/>
    <w:basedOn w:val="DefaultParagraphFont"/>
    <w:link w:val="Footer"/>
    <w:uiPriority w:val="99"/>
    <w:rsid w:val="000041C3"/>
  </w:style>
  <w:style w:type="paragraph" w:styleId="NormalWeb">
    <w:name w:val="Normal (Web)"/>
    <w:basedOn w:val="Normal"/>
    <w:uiPriority w:val="99"/>
    <w:semiHidden/>
    <w:unhideWhenUsed/>
    <w:rsid w:val="004813D9"/>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4813D9"/>
    <w:rPr>
      <w:b/>
      <w:bCs/>
    </w:rPr>
  </w:style>
  <w:style w:type="paragraph" w:styleId="NoSpacing">
    <w:name w:val="No Spacing"/>
    <w:uiPriority w:val="1"/>
    <w:qFormat/>
    <w:rsid w:val="004D040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etHOEWgNyzJpwQPWOuyd3xtmsGw==">CgMxLjAyDmgucG5tY2o5dW9hdnU3Mg5oLmRiZmhua3Znc2FhMDgAciExc19TMWRiY0RfV29FdVAyM01PR0Rkcm1JRGJpZUg2V0g=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866</Words>
  <Characters>4937</Characters>
  <Application>Microsoft Office Word</Application>
  <DocSecurity>4</DocSecurity>
  <Lines>41</Lines>
  <Paragraphs>11</Paragraphs>
  <ScaleCrop>false</ScaleCrop>
  <Company/>
  <LinksUpToDate>false</LinksUpToDate>
  <CharactersWithSpaces>5792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Rosemarie O'Connell</dc:creator>
  <cp:lastModifiedBy>Camyl Moreno Pantojas</cp:lastModifiedBy>
  <cp:revision>2</cp:revision>
  <cp:lastPrinted>2026-04-13T18:57:00Z</cp:lastPrinted>
  <dcterms:created xsi:type="dcterms:W3CDTF">2026-04-17T18:45:00Z</dcterms:created>
  <dcterms:modified xsi:type="dcterms:W3CDTF">2026-04-17T18:45:00Z</dcterms:modified>
</cp:coreProperties>
</file>