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58F4C" w14:textId="77777777" w:rsidR="00E155E3" w:rsidRPr="003A208B" w:rsidRDefault="00E155E3" w:rsidP="00E155E3">
      <w:pPr>
        <w:jc w:val="center"/>
        <w:rPr>
          <w:rFonts w:ascii="Book Antiqua" w:hAnsi="Book Antiqua"/>
          <w:bCs/>
          <w:color w:val="000000" w:themeColor="text1"/>
          <w:sz w:val="28"/>
          <w:szCs w:val="28"/>
          <w:lang w:val="es-PR"/>
        </w:rPr>
      </w:pPr>
      <w:r w:rsidRPr="003A208B">
        <w:rPr>
          <w:rFonts w:ascii="Book Antiqua" w:hAnsi="Book Antiqua"/>
          <w:bCs/>
          <w:color w:val="000000" w:themeColor="text1"/>
          <w:sz w:val="28"/>
          <w:szCs w:val="28"/>
          <w:lang w:val="es-PR"/>
        </w:rPr>
        <w:t>GOBIERNO DE PUERTO RICO</w:t>
      </w:r>
    </w:p>
    <w:p w14:paraId="48A71F4A" w14:textId="77777777" w:rsidR="00E155E3" w:rsidRPr="003A208B" w:rsidRDefault="00E155E3" w:rsidP="00E155E3">
      <w:pPr>
        <w:jc w:val="center"/>
        <w:rPr>
          <w:rFonts w:ascii="Book Antiqua" w:hAnsi="Book Antiqua"/>
          <w:color w:val="000000" w:themeColor="text1"/>
          <w:lang w:val="es-PR"/>
        </w:rPr>
      </w:pPr>
    </w:p>
    <w:p w14:paraId="4E683B10" w14:textId="397D8817" w:rsidR="00E155E3" w:rsidRPr="009B7D8A" w:rsidRDefault="009B7D8A" w:rsidP="009B7D8A">
      <w:pPr>
        <w:pStyle w:val="Title2"/>
        <w:tabs>
          <w:tab w:val="clear" w:pos="648"/>
          <w:tab w:val="clear" w:pos="7776"/>
          <w:tab w:val="clear" w:pos="7848"/>
        </w:tabs>
        <w:rPr>
          <w:rFonts w:ascii="Book Antiqua" w:hAnsi="Book Antiqua"/>
          <w:color w:val="000000" w:themeColor="text1"/>
          <w:lang w:val="it-IT"/>
        </w:rPr>
      </w:pPr>
      <w:r w:rsidRPr="009B7D8A">
        <w:rPr>
          <w:rFonts w:ascii="Book Antiqua" w:hAnsi="Book Antiqua"/>
          <w:color w:val="000000" w:themeColor="text1"/>
          <w:lang w:val="it-IT"/>
        </w:rPr>
        <w:t>20</w:t>
      </w:r>
      <w:r>
        <w:rPr>
          <w:rFonts w:ascii="Book Antiqua" w:hAnsi="Book Antiqua"/>
          <w:color w:val="000000" w:themeColor="text1"/>
          <w:lang w:val="it-IT"/>
        </w:rPr>
        <w:t>ma.</w:t>
      </w:r>
      <w:r w:rsidRPr="009B7D8A">
        <w:rPr>
          <w:rFonts w:ascii="Book Antiqua" w:hAnsi="Book Antiqua"/>
          <w:color w:val="000000" w:themeColor="text1"/>
          <w:lang w:val="it-IT"/>
        </w:rPr>
        <w:t xml:space="preserve"> </w:t>
      </w:r>
      <w:r w:rsidR="00E155E3" w:rsidRPr="009B7D8A">
        <w:rPr>
          <w:rFonts w:ascii="Book Antiqua" w:hAnsi="Book Antiqua"/>
          <w:color w:val="000000" w:themeColor="text1"/>
          <w:lang w:val="it-IT"/>
        </w:rPr>
        <w:t>Asamblea</w:t>
      </w:r>
      <w:r w:rsidR="00E155E3" w:rsidRPr="009B7D8A">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2da.</w:t>
      </w:r>
      <w:r>
        <w:rPr>
          <w:rFonts w:ascii="Book Antiqua" w:hAnsi="Book Antiqua"/>
          <w:color w:val="000000" w:themeColor="text1"/>
          <w:vertAlign w:val="superscript"/>
          <w:lang w:val="it-IT"/>
        </w:rPr>
        <w:t xml:space="preserve"> </w:t>
      </w:r>
      <w:r w:rsidR="00E155E3" w:rsidRPr="009B7D8A">
        <w:rPr>
          <w:rFonts w:ascii="Book Antiqua" w:hAnsi="Book Antiqua"/>
          <w:color w:val="000000" w:themeColor="text1"/>
          <w:lang w:val="it-IT"/>
        </w:rPr>
        <w:t>Sesión</w:t>
      </w:r>
    </w:p>
    <w:p w14:paraId="0FAEC535" w14:textId="5AA784AF" w:rsidR="00E155E3" w:rsidRPr="009B7D8A" w:rsidRDefault="00E155E3" w:rsidP="009B7D8A">
      <w:pPr>
        <w:pStyle w:val="Title2"/>
        <w:tabs>
          <w:tab w:val="clear" w:pos="648"/>
          <w:tab w:val="clear" w:pos="7776"/>
          <w:tab w:val="clear" w:pos="7848"/>
        </w:tabs>
        <w:rPr>
          <w:rFonts w:ascii="Book Antiqua" w:hAnsi="Book Antiqua"/>
          <w:color w:val="000000" w:themeColor="text1"/>
          <w:lang w:val="it-IT"/>
        </w:rPr>
      </w:pPr>
      <w:r w:rsidRPr="009B7D8A">
        <w:rPr>
          <w:rFonts w:ascii="Book Antiqua" w:hAnsi="Book Antiqua"/>
          <w:color w:val="000000" w:themeColor="text1"/>
          <w:lang w:val="it-IT"/>
        </w:rPr>
        <w:tab/>
        <w:t>Legislativa</w:t>
      </w:r>
      <w:r w:rsidRPr="009B7D8A">
        <w:rPr>
          <w:rFonts w:ascii="Book Antiqua" w:hAnsi="Book Antiqua"/>
          <w:color w:val="000000" w:themeColor="text1"/>
          <w:lang w:val="it-IT"/>
        </w:rPr>
        <w:tab/>
      </w:r>
      <w:r w:rsidRP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r>
      <w:r w:rsidR="009B7D8A">
        <w:rPr>
          <w:rFonts w:ascii="Book Antiqua" w:hAnsi="Book Antiqua"/>
          <w:color w:val="000000" w:themeColor="text1"/>
          <w:lang w:val="it-IT"/>
        </w:rPr>
        <w:tab/>
        <w:t xml:space="preserve">      </w:t>
      </w:r>
      <w:r w:rsidRPr="009B7D8A">
        <w:rPr>
          <w:rFonts w:ascii="Book Antiqua" w:hAnsi="Book Antiqua"/>
          <w:color w:val="000000" w:themeColor="text1"/>
          <w:lang w:val="it-IT"/>
        </w:rPr>
        <w:t>Ordinaria</w:t>
      </w:r>
    </w:p>
    <w:p w14:paraId="3ED0476A" w14:textId="77777777" w:rsidR="00E155E3" w:rsidRPr="009B7D8A" w:rsidRDefault="00E155E3" w:rsidP="00E155E3">
      <w:pPr>
        <w:rPr>
          <w:rFonts w:ascii="Book Antiqua" w:hAnsi="Book Antiqua"/>
          <w:color w:val="000000" w:themeColor="text1"/>
          <w:lang w:val="it-IT"/>
        </w:rPr>
      </w:pPr>
    </w:p>
    <w:p w14:paraId="57507A15" w14:textId="77777777" w:rsidR="00E155E3" w:rsidRPr="003A208B" w:rsidRDefault="00E155E3" w:rsidP="00E155E3">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456869E5" w14:textId="77777777" w:rsidR="00E155E3" w:rsidRPr="003A208B" w:rsidRDefault="00E155E3" w:rsidP="00E155E3">
      <w:pPr>
        <w:jc w:val="center"/>
        <w:rPr>
          <w:rFonts w:ascii="Book Antiqua" w:hAnsi="Book Antiqua"/>
          <w:b/>
          <w:color w:val="000000" w:themeColor="text1"/>
          <w:szCs w:val="24"/>
          <w:lang w:val="es-PR"/>
        </w:rPr>
      </w:pPr>
    </w:p>
    <w:p w14:paraId="51B3501B" w14:textId="6FAC768E" w:rsidR="00E155E3" w:rsidRPr="003A208B" w:rsidRDefault="00E155E3" w:rsidP="00E155E3">
      <w:pPr>
        <w:jc w:val="center"/>
        <w:rPr>
          <w:rFonts w:ascii="Book Antiqua" w:hAnsi="Book Antiqua"/>
          <w:b/>
          <w:color w:val="000000" w:themeColor="text1"/>
          <w:sz w:val="52"/>
          <w:lang w:val="es-PR"/>
        </w:rPr>
      </w:pPr>
      <w:r w:rsidRPr="003A208B">
        <w:rPr>
          <w:rFonts w:ascii="Book Antiqua" w:hAnsi="Book Antiqua"/>
          <w:b/>
          <w:color w:val="000000" w:themeColor="text1"/>
          <w:sz w:val="52"/>
          <w:lang w:val="es-PR"/>
        </w:rPr>
        <w:t>P. de la C.</w:t>
      </w:r>
      <w:r w:rsidR="00EE055B">
        <w:rPr>
          <w:rFonts w:ascii="Book Antiqua" w:hAnsi="Book Antiqua"/>
          <w:b/>
          <w:color w:val="000000" w:themeColor="text1"/>
          <w:sz w:val="52"/>
          <w:lang w:val="es-PR"/>
        </w:rPr>
        <w:t xml:space="preserve"> 916</w:t>
      </w:r>
    </w:p>
    <w:p w14:paraId="6714F472" w14:textId="77777777" w:rsidR="00E155E3" w:rsidRPr="003A208B" w:rsidRDefault="00E155E3" w:rsidP="00E155E3">
      <w:pPr>
        <w:jc w:val="center"/>
        <w:rPr>
          <w:rFonts w:ascii="Book Antiqua" w:hAnsi="Book Antiqua"/>
          <w:b/>
          <w:color w:val="000000" w:themeColor="text1"/>
          <w:szCs w:val="24"/>
          <w:lang w:val="es-PR"/>
        </w:rPr>
      </w:pPr>
    </w:p>
    <w:p w14:paraId="29F2B50C" w14:textId="0A020EAC" w:rsidR="00E155E3" w:rsidRPr="003A208B" w:rsidRDefault="00EE055B" w:rsidP="00E155E3">
      <w:pPr>
        <w:jc w:val="center"/>
        <w:rPr>
          <w:rFonts w:ascii="Book Antiqua" w:hAnsi="Book Antiqua"/>
          <w:color w:val="000000" w:themeColor="text1"/>
          <w:lang w:val="es-PR"/>
        </w:rPr>
      </w:pPr>
      <w:r>
        <w:rPr>
          <w:rFonts w:ascii="Book Antiqua" w:hAnsi="Book Antiqua"/>
          <w:color w:val="000000" w:themeColor="text1"/>
          <w:lang w:val="es-PR"/>
        </w:rPr>
        <w:t xml:space="preserve">14 </w:t>
      </w:r>
      <w:r w:rsidR="00E155E3" w:rsidRPr="003A208B">
        <w:rPr>
          <w:rFonts w:ascii="Book Antiqua" w:hAnsi="Book Antiqua"/>
          <w:color w:val="000000" w:themeColor="text1"/>
          <w:lang w:val="es-PR"/>
        </w:rPr>
        <w:t xml:space="preserve">DE </w:t>
      </w:r>
      <w:r w:rsidR="004D303A">
        <w:rPr>
          <w:rFonts w:ascii="Book Antiqua" w:hAnsi="Book Antiqua"/>
          <w:color w:val="000000" w:themeColor="text1"/>
          <w:lang w:val="es-PR"/>
        </w:rPr>
        <w:t>OCTUBRE</w:t>
      </w:r>
      <w:r w:rsidR="00E155E3" w:rsidRPr="003A208B">
        <w:rPr>
          <w:rFonts w:ascii="Book Antiqua" w:hAnsi="Book Antiqua"/>
          <w:color w:val="000000" w:themeColor="text1"/>
          <w:lang w:val="es-PR"/>
        </w:rPr>
        <w:t xml:space="preserve"> DE 2025</w:t>
      </w:r>
    </w:p>
    <w:p w14:paraId="5F185BF5" w14:textId="77777777" w:rsidR="00E155E3" w:rsidRPr="003A208B" w:rsidRDefault="00E155E3" w:rsidP="00E155E3">
      <w:pPr>
        <w:jc w:val="center"/>
        <w:rPr>
          <w:rFonts w:ascii="Book Antiqua" w:hAnsi="Book Antiqua"/>
          <w:color w:val="000000" w:themeColor="text1"/>
          <w:lang w:val="es-PR"/>
        </w:rPr>
      </w:pPr>
    </w:p>
    <w:p w14:paraId="448CB499" w14:textId="5A210314" w:rsidR="00E155E3" w:rsidRDefault="00E155E3" w:rsidP="00E155E3">
      <w:pPr>
        <w:ind w:left="810" w:hanging="810"/>
        <w:jc w:val="both"/>
        <w:rPr>
          <w:rFonts w:ascii="Book Antiqua" w:eastAsia="Aptos" w:hAnsi="Book Antiqua"/>
          <w:i/>
          <w:iCs/>
          <w:color w:val="000000" w:themeColor="text1"/>
          <w:kern w:val="2"/>
          <w:szCs w:val="24"/>
          <w:lang w:val="es-PR"/>
          <w14:ligatures w14:val="standardContextual"/>
        </w:rPr>
      </w:pPr>
      <w:r w:rsidRPr="009B7D8A">
        <w:rPr>
          <w:rFonts w:ascii="Book Antiqua" w:hAnsi="Book Antiqua"/>
          <w:color w:val="000000" w:themeColor="text1"/>
          <w:szCs w:val="24"/>
          <w:lang w:val="es-PR"/>
        </w:rPr>
        <w:t xml:space="preserve">Presentado por el representante </w:t>
      </w:r>
      <w:r w:rsidRPr="009B7D8A">
        <w:rPr>
          <w:rFonts w:ascii="Book Antiqua" w:hAnsi="Book Antiqua"/>
          <w:i/>
          <w:iCs/>
          <w:color w:val="000000" w:themeColor="text1"/>
          <w:szCs w:val="24"/>
          <w:lang w:val="es-PR"/>
        </w:rPr>
        <w:t xml:space="preserve">Méndez Núñez;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Lebrón Rodríguez;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Peña Ramírez, Torres Zamora, Román López, Aponte Hernández, Carlo Acosta, Charbonier Chinea, Colón Rodríguez;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del Valle Correa;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Estévez Vélez, Franqui </w:t>
      </w:r>
      <w:proofErr w:type="spellStart"/>
      <w:r w:rsidRPr="009B7D8A">
        <w:rPr>
          <w:rFonts w:ascii="Book Antiqua" w:eastAsia="Aptos" w:hAnsi="Book Antiqua"/>
          <w:i/>
          <w:iCs/>
          <w:color w:val="000000" w:themeColor="text1"/>
          <w:kern w:val="2"/>
          <w:szCs w:val="24"/>
          <w:lang w:val="es-PR"/>
          <w14:ligatures w14:val="standardContextual"/>
        </w:rPr>
        <w:t>Atiles</w:t>
      </w:r>
      <w:proofErr w:type="spellEnd"/>
      <w:r w:rsidRPr="009B7D8A">
        <w:rPr>
          <w:rFonts w:ascii="Book Antiqua" w:eastAsia="Aptos" w:hAnsi="Book Antiqua"/>
          <w:i/>
          <w:iCs/>
          <w:color w:val="000000" w:themeColor="text1"/>
          <w:kern w:val="2"/>
          <w:szCs w:val="24"/>
          <w:lang w:val="es-PR"/>
          <w14:ligatures w14:val="standardContextual"/>
        </w:rPr>
        <w:t xml:space="preserve">;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González Aguayo, González </w:t>
      </w:r>
      <w:proofErr w:type="spellStart"/>
      <w:r w:rsidRPr="009B7D8A">
        <w:rPr>
          <w:rFonts w:ascii="Book Antiqua" w:eastAsia="Aptos" w:hAnsi="Book Antiqua"/>
          <w:i/>
          <w:iCs/>
          <w:color w:val="000000" w:themeColor="text1"/>
          <w:kern w:val="2"/>
          <w:szCs w:val="24"/>
          <w:lang w:val="es-PR"/>
          <w14:ligatures w14:val="standardContextual"/>
        </w:rPr>
        <w:t>González</w:t>
      </w:r>
      <w:proofErr w:type="spellEnd"/>
      <w:r w:rsidRPr="009B7D8A">
        <w:rPr>
          <w:rFonts w:ascii="Book Antiqua" w:eastAsia="Aptos" w:hAnsi="Book Antiqua"/>
          <w:i/>
          <w:iCs/>
          <w:color w:val="000000" w:themeColor="text1"/>
          <w:kern w:val="2"/>
          <w:szCs w:val="24"/>
          <w:lang w:val="es-PR"/>
          <w14:ligatures w14:val="standardContextual"/>
        </w:rPr>
        <w:t xml:space="preserve">;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Hernández Concepción, Jiménez Torres</w:t>
      </w:r>
      <w:r w:rsidR="004D303A" w:rsidRPr="009B7D8A">
        <w:rPr>
          <w:rFonts w:ascii="Book Antiqua" w:hAnsi="Book Antiqua"/>
          <w:i/>
          <w:iCs/>
          <w:color w:val="000000" w:themeColor="text1"/>
          <w:lang w:val="es-ES"/>
        </w:rPr>
        <w:t>, López Román;</w:t>
      </w:r>
      <w:r w:rsidRPr="009B7D8A">
        <w:rPr>
          <w:rFonts w:ascii="Book Antiqua" w:eastAsia="Aptos" w:hAnsi="Book Antiqua"/>
          <w:i/>
          <w:iCs/>
          <w:color w:val="000000" w:themeColor="text1"/>
          <w:kern w:val="2"/>
          <w:szCs w:val="24"/>
          <w:lang w:val="es-PR"/>
          <w14:ligatures w14:val="standardContextual"/>
        </w:rPr>
        <w:t xml:space="preserve">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Martínez Vázquez, Medina Calderón;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w:t>
      </w:r>
      <w:proofErr w:type="spellStart"/>
      <w:r w:rsidRPr="009B7D8A">
        <w:rPr>
          <w:rFonts w:ascii="Book Antiqua" w:eastAsia="Aptos" w:hAnsi="Book Antiqua"/>
          <w:i/>
          <w:iCs/>
          <w:color w:val="000000" w:themeColor="text1"/>
          <w:kern w:val="2"/>
          <w:szCs w:val="24"/>
          <w:lang w:val="es-PR"/>
          <w14:ligatures w14:val="standardContextual"/>
        </w:rPr>
        <w:t>Morey</w:t>
      </w:r>
      <w:proofErr w:type="spellEnd"/>
      <w:r w:rsidRPr="009B7D8A">
        <w:rPr>
          <w:rFonts w:ascii="Book Antiqua" w:eastAsia="Aptos" w:hAnsi="Book Antiqua"/>
          <w:i/>
          <w:iCs/>
          <w:color w:val="000000" w:themeColor="text1"/>
          <w:kern w:val="2"/>
          <w:szCs w:val="24"/>
          <w:lang w:val="es-PR"/>
          <w14:ligatures w14:val="standardContextual"/>
        </w:rPr>
        <w:t xml:space="preserve"> Noble, Muriel Sánchez, Navarro Suárez, Nieves Rosario, Ocasio Ramos, Pacheco Burgos, Parés Otero; </w:t>
      </w:r>
      <w:r w:rsidRPr="009B7D8A">
        <w:rPr>
          <w:rFonts w:ascii="Book Antiqua" w:eastAsia="Aptos" w:hAnsi="Book Antiqua"/>
          <w:color w:val="000000" w:themeColor="text1"/>
          <w:kern w:val="2"/>
          <w:szCs w:val="24"/>
          <w:lang w:val="es-PR"/>
          <w14:ligatures w14:val="standardContextual"/>
        </w:rPr>
        <w:t>la representante</w:t>
      </w:r>
      <w:r w:rsidRPr="009B7D8A">
        <w:rPr>
          <w:rFonts w:ascii="Book Antiqua" w:eastAsia="Aptos" w:hAnsi="Book Antiqua"/>
          <w:i/>
          <w:iCs/>
          <w:color w:val="000000" w:themeColor="text1"/>
          <w:kern w:val="2"/>
          <w:szCs w:val="24"/>
          <w:lang w:val="es-PR"/>
          <w14:ligatures w14:val="standardContextual"/>
        </w:rPr>
        <w:t xml:space="preserve"> Peña Dávila;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Pérez Cordero, Pérez Ortiz; </w:t>
      </w:r>
      <w:r w:rsidRPr="009B7D8A">
        <w:rPr>
          <w:rFonts w:ascii="Book Antiqua" w:eastAsia="Aptos" w:hAnsi="Book Antiqua"/>
          <w:color w:val="000000" w:themeColor="text1"/>
          <w:kern w:val="2"/>
          <w:szCs w:val="24"/>
          <w:lang w:val="es-PR"/>
          <w14:ligatures w14:val="standardContextual"/>
        </w:rPr>
        <w:t>las representantes</w:t>
      </w:r>
      <w:r w:rsidRPr="009B7D8A">
        <w:rPr>
          <w:rFonts w:ascii="Book Antiqua" w:eastAsia="Aptos" w:hAnsi="Book Antiqua"/>
          <w:i/>
          <w:iCs/>
          <w:color w:val="000000" w:themeColor="text1"/>
          <w:kern w:val="2"/>
          <w:szCs w:val="24"/>
          <w:lang w:val="es-PR"/>
          <w14:ligatures w14:val="standardContextual"/>
        </w:rPr>
        <w:t xml:space="preserve"> Pérez Ramírez, Ramos Rivera; </w:t>
      </w:r>
      <w:r w:rsidRPr="009B7D8A">
        <w:rPr>
          <w:rFonts w:ascii="Book Antiqua" w:eastAsia="Aptos" w:hAnsi="Book Antiqua"/>
          <w:color w:val="000000" w:themeColor="text1"/>
          <w:kern w:val="2"/>
          <w:szCs w:val="24"/>
          <w:lang w:val="es-PR"/>
          <w14:ligatures w14:val="standardContextual"/>
        </w:rPr>
        <w:t>los representantes</w:t>
      </w:r>
      <w:r w:rsidRPr="009B7D8A">
        <w:rPr>
          <w:rFonts w:ascii="Book Antiqua" w:eastAsia="Aptos" w:hAnsi="Book Antiqua"/>
          <w:i/>
          <w:iCs/>
          <w:color w:val="000000" w:themeColor="text1"/>
          <w:kern w:val="2"/>
          <w:szCs w:val="24"/>
          <w:lang w:val="es-PR"/>
          <w14:ligatures w14:val="standardContextual"/>
        </w:rPr>
        <w:t xml:space="preserve"> Robles Rivera, Rodríguez Aguiló, Rodríguez Torres, Roque Gracia, Sanabria Colón </w:t>
      </w:r>
      <w:r w:rsidRPr="009B7D8A">
        <w:rPr>
          <w:rFonts w:ascii="Book Antiqua" w:eastAsia="Aptos" w:hAnsi="Book Antiqua"/>
          <w:color w:val="000000" w:themeColor="text1"/>
          <w:kern w:val="2"/>
          <w:szCs w:val="24"/>
          <w:lang w:val="es-PR"/>
          <w14:ligatures w14:val="standardContextual"/>
        </w:rPr>
        <w:t>y</w:t>
      </w:r>
      <w:r w:rsidRPr="009B7D8A">
        <w:rPr>
          <w:rFonts w:ascii="Book Antiqua" w:eastAsia="Aptos" w:hAnsi="Book Antiqua"/>
          <w:i/>
          <w:iCs/>
          <w:color w:val="000000" w:themeColor="text1"/>
          <w:kern w:val="2"/>
          <w:szCs w:val="24"/>
          <w:lang w:val="es-PR"/>
          <w14:ligatures w14:val="standardContextual"/>
        </w:rPr>
        <w:t xml:space="preserve"> Santiago Guzmán</w:t>
      </w:r>
    </w:p>
    <w:p w14:paraId="615D4011" w14:textId="77777777" w:rsidR="00A42890" w:rsidRPr="009B7D8A" w:rsidRDefault="00A42890" w:rsidP="00E155E3">
      <w:pPr>
        <w:ind w:left="810" w:hanging="810"/>
        <w:jc w:val="both"/>
        <w:rPr>
          <w:rFonts w:ascii="Book Antiqua" w:eastAsia="Aptos" w:hAnsi="Book Antiqua"/>
          <w:i/>
          <w:iCs/>
          <w:color w:val="000000" w:themeColor="text1"/>
          <w:kern w:val="2"/>
          <w:szCs w:val="24"/>
          <w:lang w:val="es-PR"/>
          <w14:ligatures w14:val="standardContextual"/>
        </w:rPr>
      </w:pPr>
    </w:p>
    <w:p w14:paraId="4699192E" w14:textId="687C66A2" w:rsidR="00E155E3" w:rsidRPr="003A208B" w:rsidRDefault="00E155E3" w:rsidP="00E155E3">
      <w:pPr>
        <w:jc w:val="center"/>
        <w:rPr>
          <w:rFonts w:ascii="Book Antiqua" w:hAnsi="Book Antiqua"/>
          <w:iCs/>
          <w:color w:val="000000" w:themeColor="text1"/>
          <w:szCs w:val="24"/>
          <w:lang w:val="es-PR"/>
        </w:rPr>
      </w:pPr>
      <w:r w:rsidRPr="003A208B">
        <w:rPr>
          <w:rFonts w:ascii="Book Antiqua" w:hAnsi="Book Antiqua"/>
          <w:iCs/>
          <w:color w:val="000000" w:themeColor="text1"/>
          <w:lang w:val="es-PR"/>
        </w:rPr>
        <w:t>Referido</w:t>
      </w:r>
      <w:r w:rsidR="00A42890">
        <w:rPr>
          <w:rFonts w:ascii="Book Antiqua" w:hAnsi="Book Antiqua"/>
          <w:iCs/>
          <w:color w:val="000000" w:themeColor="text1"/>
          <w:lang w:val="es-PR"/>
        </w:rPr>
        <w:t xml:space="preserve"> a la Comisión de </w:t>
      </w:r>
      <w:r w:rsidR="00A06649" w:rsidRPr="00A06649">
        <w:rPr>
          <w:rFonts w:ascii="Book Antiqua" w:hAnsi="Book Antiqua"/>
          <w:iCs/>
          <w:color w:val="000000" w:themeColor="text1"/>
          <w:lang w:val="es-PR"/>
        </w:rPr>
        <w:t xml:space="preserve">Reorganización, Eficiencia </w:t>
      </w:r>
      <w:r w:rsidR="00A06649">
        <w:rPr>
          <w:rFonts w:ascii="Book Antiqua" w:hAnsi="Book Antiqua"/>
          <w:iCs/>
          <w:color w:val="000000" w:themeColor="text1"/>
          <w:lang w:val="es-PR"/>
        </w:rPr>
        <w:t>y</w:t>
      </w:r>
      <w:r w:rsidR="00A06649" w:rsidRPr="00A06649">
        <w:rPr>
          <w:rFonts w:ascii="Book Antiqua" w:hAnsi="Book Antiqua"/>
          <w:iCs/>
          <w:color w:val="000000" w:themeColor="text1"/>
          <w:lang w:val="es-PR"/>
        </w:rPr>
        <w:t xml:space="preserve"> Diligencia</w:t>
      </w:r>
    </w:p>
    <w:p w14:paraId="7A67E2FB" w14:textId="77777777" w:rsidR="00E155E3" w:rsidRPr="003A208B" w:rsidRDefault="00E155E3" w:rsidP="00E155E3">
      <w:pPr>
        <w:jc w:val="both"/>
        <w:rPr>
          <w:rFonts w:ascii="Book Antiqua" w:hAnsi="Book Antiqua"/>
          <w:color w:val="000000" w:themeColor="text1"/>
          <w:lang w:val="es-PR"/>
        </w:rPr>
      </w:pPr>
    </w:p>
    <w:p w14:paraId="7E7BBF40" w14:textId="77777777" w:rsidR="00E155E3" w:rsidRPr="003A208B" w:rsidRDefault="00E155E3" w:rsidP="00E155E3">
      <w:pPr>
        <w:jc w:val="center"/>
        <w:rPr>
          <w:rFonts w:ascii="Book Antiqua" w:hAnsi="Book Antiqua"/>
          <w:b/>
          <w:color w:val="000000" w:themeColor="text1"/>
          <w:sz w:val="28"/>
          <w:szCs w:val="28"/>
          <w:lang w:val="es-PR"/>
        </w:rPr>
      </w:pPr>
      <w:r w:rsidRPr="003A208B">
        <w:rPr>
          <w:rFonts w:ascii="Book Antiqua" w:hAnsi="Book Antiqua"/>
          <w:b/>
          <w:color w:val="000000" w:themeColor="text1"/>
          <w:sz w:val="28"/>
          <w:szCs w:val="28"/>
          <w:lang w:val="es-PR"/>
        </w:rPr>
        <w:t>LEY</w:t>
      </w:r>
    </w:p>
    <w:p w14:paraId="6C64F50E" w14:textId="77777777" w:rsidR="00E155E3" w:rsidRPr="003A208B" w:rsidRDefault="00E155E3" w:rsidP="00E155E3">
      <w:pPr>
        <w:jc w:val="both"/>
        <w:rPr>
          <w:rFonts w:ascii="Book Antiqua" w:hAnsi="Book Antiqua"/>
          <w:color w:val="000000" w:themeColor="text1"/>
          <w:lang w:val="es-PR"/>
        </w:rPr>
      </w:pPr>
    </w:p>
    <w:p w14:paraId="781A0F32" w14:textId="055D61D6" w:rsidR="00E155E3" w:rsidRPr="003A208B" w:rsidRDefault="00E155E3" w:rsidP="009B7D8A">
      <w:pPr>
        <w:ind w:left="720" w:hanging="720"/>
        <w:jc w:val="both"/>
        <w:rPr>
          <w:rFonts w:ascii="Book Antiqua" w:eastAsia="Book Antiqua" w:hAnsi="Book Antiqua" w:cs="Book Antiqua"/>
          <w:color w:val="000000" w:themeColor="text1"/>
          <w:szCs w:val="24"/>
          <w:lang w:val="es-PR"/>
        </w:rPr>
      </w:pPr>
      <w:r w:rsidRPr="00C36660">
        <w:rPr>
          <w:rFonts w:ascii="Book Antiqua" w:eastAsia="Book Antiqua" w:hAnsi="Book Antiqua" w:cs="Book Antiqua"/>
          <w:color w:val="000000" w:themeColor="text1"/>
          <w:szCs w:val="24"/>
          <w:lang w:val="es-PR"/>
        </w:rPr>
        <w:t xml:space="preserve">Para </w:t>
      </w:r>
      <w:r w:rsidR="00B11847">
        <w:rPr>
          <w:rFonts w:ascii="Book Antiqua" w:eastAsia="Book Antiqua" w:hAnsi="Book Antiqua" w:cs="Book Antiqua"/>
          <w:color w:val="000000" w:themeColor="text1"/>
          <w:szCs w:val="24"/>
          <w:lang w:val="es-PR"/>
        </w:rPr>
        <w:t>derogar</w:t>
      </w:r>
      <w:r w:rsidRPr="00C36660">
        <w:rPr>
          <w:rFonts w:ascii="Book Antiqua" w:eastAsia="Book Antiqua" w:hAnsi="Book Antiqua" w:cs="Book Antiqua"/>
          <w:color w:val="000000" w:themeColor="text1"/>
          <w:szCs w:val="24"/>
          <w:lang w:val="es-PR"/>
        </w:rPr>
        <w:t xml:space="preserve"> </w:t>
      </w:r>
      <w:r w:rsidR="00EA704B">
        <w:rPr>
          <w:rFonts w:ascii="Book Antiqua" w:eastAsia="Book Antiqua" w:hAnsi="Book Antiqua" w:cs="Book Antiqua"/>
          <w:color w:val="000000" w:themeColor="text1"/>
          <w:szCs w:val="24"/>
          <w:lang w:val="es-PR"/>
        </w:rPr>
        <w:t xml:space="preserve">la </w:t>
      </w:r>
      <w:r w:rsidR="00EA704B" w:rsidRPr="00EA704B">
        <w:rPr>
          <w:rFonts w:ascii="Book Antiqua" w:eastAsia="Book Antiqua" w:hAnsi="Book Antiqua" w:cs="Book Antiqua"/>
          <w:color w:val="000000" w:themeColor="text1"/>
          <w:szCs w:val="24"/>
          <w:lang w:val="es-PR"/>
        </w:rPr>
        <w:t>Ley Núm. 212</w:t>
      </w:r>
      <w:r w:rsidR="008C0E2B">
        <w:rPr>
          <w:rFonts w:ascii="Book Antiqua" w:eastAsia="Book Antiqua" w:hAnsi="Book Antiqua" w:cs="Book Antiqua"/>
          <w:color w:val="000000" w:themeColor="text1"/>
          <w:szCs w:val="24"/>
          <w:lang w:val="es-PR"/>
        </w:rPr>
        <w:t>-</w:t>
      </w:r>
      <w:r w:rsidR="00EA704B" w:rsidRPr="00EA704B">
        <w:rPr>
          <w:rFonts w:ascii="Book Antiqua" w:eastAsia="Book Antiqua" w:hAnsi="Book Antiqua" w:cs="Book Antiqua"/>
          <w:color w:val="000000" w:themeColor="text1"/>
          <w:szCs w:val="24"/>
          <w:lang w:val="es-PR"/>
        </w:rPr>
        <w:t>2014, conocida como “Ley de Desarrollo y Preservación del Tren de Arroyo”</w:t>
      </w:r>
      <w:r w:rsidR="00C92337" w:rsidRPr="00C92337">
        <w:rPr>
          <w:lang w:val="es-PR"/>
        </w:rPr>
        <w:t xml:space="preserve"> </w:t>
      </w:r>
      <w:r w:rsidR="00A47FCA" w:rsidRPr="00A47FCA">
        <w:rPr>
          <w:rFonts w:ascii="Book Antiqua" w:eastAsia="Book Antiqua" w:hAnsi="Book Antiqua" w:cs="Book Antiqua"/>
          <w:color w:val="000000" w:themeColor="text1"/>
          <w:szCs w:val="24"/>
          <w:lang w:val="es-PR"/>
        </w:rPr>
        <w:t xml:space="preserve">a los fines de eliminar del ordenamiento jurídico un organismo </w:t>
      </w:r>
      <w:proofErr w:type="spellStart"/>
      <w:r w:rsidR="00A47FCA" w:rsidRPr="00A47FCA">
        <w:rPr>
          <w:rFonts w:ascii="Book Antiqua" w:eastAsia="Book Antiqua" w:hAnsi="Book Antiqua" w:cs="Book Antiqua"/>
          <w:color w:val="000000" w:themeColor="text1"/>
          <w:szCs w:val="24"/>
          <w:lang w:val="es-PR"/>
        </w:rPr>
        <w:t>interagencial</w:t>
      </w:r>
      <w:proofErr w:type="spellEnd"/>
      <w:r w:rsidR="00A47FCA" w:rsidRPr="00A47FCA">
        <w:rPr>
          <w:rFonts w:ascii="Book Antiqua" w:eastAsia="Book Antiqua" w:hAnsi="Book Antiqua" w:cs="Book Antiqua"/>
          <w:color w:val="000000" w:themeColor="text1"/>
          <w:szCs w:val="24"/>
          <w:lang w:val="es-PR"/>
        </w:rPr>
        <w:t xml:space="preserve"> inoperante desde 2015, evitar duplicidad administrativa y modernizar el andamiaje gubernamental de Puerto Rico</w:t>
      </w:r>
      <w:r w:rsidR="007D3014">
        <w:rPr>
          <w:rFonts w:ascii="Book Antiqua" w:eastAsia="Book Antiqua" w:hAnsi="Book Antiqua" w:cs="Book Antiqua"/>
          <w:color w:val="000000" w:themeColor="text1"/>
          <w:szCs w:val="24"/>
          <w:lang w:val="es-PR"/>
        </w:rPr>
        <w:t xml:space="preserve">. </w:t>
      </w:r>
    </w:p>
    <w:p w14:paraId="1AC5EDC6" w14:textId="77777777" w:rsidR="00E155E3" w:rsidRPr="003A208B" w:rsidRDefault="00E155E3" w:rsidP="00E155E3">
      <w:pPr>
        <w:ind w:left="360" w:hanging="360"/>
        <w:jc w:val="both"/>
        <w:rPr>
          <w:rFonts w:ascii="Book Antiqua" w:hAnsi="Book Antiqua"/>
          <w:color w:val="000000" w:themeColor="text1"/>
          <w:lang w:val="es-PR"/>
        </w:rPr>
      </w:pPr>
    </w:p>
    <w:p w14:paraId="363F7B1B" w14:textId="77777777" w:rsidR="00E155E3" w:rsidRDefault="00E155E3" w:rsidP="00D04534">
      <w:pPr>
        <w:jc w:val="center"/>
        <w:rPr>
          <w:rFonts w:ascii="Book Antiqua" w:hAnsi="Book Antiqua"/>
          <w:bCs/>
          <w:color w:val="000000" w:themeColor="text1"/>
          <w:szCs w:val="24"/>
          <w:lang w:val="es-PR"/>
        </w:rPr>
      </w:pPr>
      <w:r w:rsidRPr="003A208B">
        <w:rPr>
          <w:rFonts w:ascii="Book Antiqua" w:hAnsi="Book Antiqua"/>
          <w:bCs/>
          <w:color w:val="000000" w:themeColor="text1"/>
          <w:szCs w:val="24"/>
          <w:lang w:val="es-PR"/>
        </w:rPr>
        <w:t>EXPOSICIÓN DE MOTIVOS</w:t>
      </w:r>
    </w:p>
    <w:p w14:paraId="3C627ACC" w14:textId="77777777" w:rsidR="00E155E3" w:rsidRPr="003A208B" w:rsidRDefault="00E155E3" w:rsidP="00D04534">
      <w:pPr>
        <w:jc w:val="both"/>
        <w:rPr>
          <w:rFonts w:ascii="Book Antiqua" w:hAnsi="Book Antiqua"/>
          <w:bCs/>
          <w:color w:val="000000" w:themeColor="text1"/>
          <w:szCs w:val="24"/>
          <w:lang w:val="es-PR"/>
        </w:rPr>
      </w:pPr>
    </w:p>
    <w:p w14:paraId="54219E66" w14:textId="19E76E53"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tab/>
      </w:r>
      <w:r w:rsidR="00A06EDC" w:rsidRPr="00A06EDC">
        <w:rPr>
          <w:rFonts w:ascii="Book Antiqua" w:hAnsi="Book Antiqua"/>
          <w:szCs w:val="24"/>
          <w:lang w:val="es-PR"/>
        </w:rPr>
        <w:t xml:space="preserve">La Ley Núm. 212 de 16 de diciembre de 2014, conocida como “Ley de Desarrollo y Preservación del Tren de Arroyo”, se aprobó con el fin de reconocer la importancia histórica y cultural del antiguo Tren del Sur y establecer mecanismos institucionales para su conservación y eventual reactivación como proyecto de valor turístico y educativo. Para ello, la ley creó 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para el Desarrollo y Preservación del Tren de Arroyo, encargado de coordinar acciones, identificar recursos y recomendar estrategias para alcanzar dichos objetivos.</w:t>
      </w:r>
    </w:p>
    <w:p w14:paraId="62EED154" w14:textId="5E8031D4"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lastRenderedPageBreak/>
        <w:tab/>
      </w:r>
      <w:r w:rsidR="00A06EDC" w:rsidRPr="00A06EDC">
        <w:rPr>
          <w:rFonts w:ascii="Book Antiqua" w:hAnsi="Book Antiqua"/>
          <w:szCs w:val="24"/>
          <w:lang w:val="es-PR"/>
        </w:rPr>
        <w:t xml:space="preserve">No obstante, han transcurrido más de diez (10) años desde la aprobación de la Ley 212 y 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nunca se consolidó como un cuerpo funcional. De hecho, desde el año 2015 no se han realizado nombramientos de sus integrantes, lo cual ha resultado en su inactividad absoluta. Mantener en el ordenamiento jurídico la existencia de un organismo que no opera y que no cumple con las funciones para las cuales fue concebido constituye una carga innecesaria que abona a la proliferación de juntas y comités inactivos en el Gobierno de Puerto Rico.</w:t>
      </w:r>
    </w:p>
    <w:p w14:paraId="7EE16B23" w14:textId="77777777" w:rsidR="00A06EDC" w:rsidRPr="00A06EDC" w:rsidRDefault="00A06EDC" w:rsidP="00A06EDC">
      <w:pPr>
        <w:ind w:left="12" w:right="34" w:firstLine="380"/>
        <w:jc w:val="both"/>
        <w:rPr>
          <w:rFonts w:ascii="Book Antiqua" w:hAnsi="Book Antiqua"/>
          <w:szCs w:val="24"/>
          <w:lang w:val="es-PR"/>
        </w:rPr>
      </w:pPr>
    </w:p>
    <w:p w14:paraId="28D825F0" w14:textId="77047D63" w:rsidR="00A06EDC" w:rsidRPr="00A06EDC" w:rsidRDefault="00A42890" w:rsidP="004D303A">
      <w:pPr>
        <w:ind w:left="12" w:right="34"/>
        <w:jc w:val="both"/>
        <w:rPr>
          <w:rFonts w:ascii="Book Antiqua" w:hAnsi="Book Antiqua"/>
          <w:szCs w:val="24"/>
          <w:lang w:val="es-PR"/>
        </w:rPr>
      </w:pPr>
      <w:r>
        <w:rPr>
          <w:rFonts w:ascii="Book Antiqua" w:hAnsi="Book Antiqua"/>
          <w:szCs w:val="24"/>
          <w:lang w:val="es-PR"/>
        </w:rPr>
        <w:tab/>
      </w:r>
      <w:r w:rsidR="00AA562D">
        <w:rPr>
          <w:rFonts w:ascii="Book Antiqua" w:hAnsi="Book Antiqua"/>
          <w:szCs w:val="24"/>
          <w:lang w:val="es-PR"/>
        </w:rPr>
        <w:t>Nuestra</w:t>
      </w:r>
      <w:r w:rsidR="00A06EDC" w:rsidRPr="00A06EDC">
        <w:rPr>
          <w:rFonts w:ascii="Book Antiqua" w:hAnsi="Book Antiqua"/>
          <w:szCs w:val="24"/>
          <w:lang w:val="es-PR"/>
        </w:rPr>
        <w:t xml:space="preserve"> política pública actual persigue un gobierno ágil, eficiente y libre de estructuras burocráticas en desuso. En lugar de mantener comités inoperantes, corresponde optimizar los recursos y centralizar funciones en las agencias con competencia directa en la materia, como el Municipio de Arroyo, el Instituto de Cultura Puertorriqueña y la Compañía de Turismo, quienes pueden impulsar esfuerzos de preservación patrimonial y desarrollo turístico sin necesidad de un organismo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adicional.</w:t>
      </w:r>
    </w:p>
    <w:p w14:paraId="0734245C" w14:textId="77777777" w:rsidR="00A06EDC" w:rsidRPr="00A06EDC" w:rsidRDefault="00A06EDC" w:rsidP="00A06EDC">
      <w:pPr>
        <w:ind w:left="12" w:right="34" w:firstLine="380"/>
        <w:jc w:val="both"/>
        <w:rPr>
          <w:rFonts w:ascii="Book Antiqua" w:hAnsi="Book Antiqua"/>
          <w:szCs w:val="24"/>
          <w:lang w:val="es-PR"/>
        </w:rPr>
      </w:pPr>
    </w:p>
    <w:p w14:paraId="103405B7" w14:textId="024B23F9" w:rsidR="00D04534" w:rsidRPr="002D156E" w:rsidRDefault="00A42890" w:rsidP="004D303A">
      <w:pPr>
        <w:ind w:left="12" w:right="34"/>
        <w:jc w:val="both"/>
        <w:rPr>
          <w:rFonts w:ascii="Book Antiqua" w:hAnsi="Book Antiqua"/>
          <w:szCs w:val="24"/>
          <w:lang w:val="es-PR"/>
        </w:rPr>
      </w:pPr>
      <w:r>
        <w:rPr>
          <w:rFonts w:ascii="Book Antiqua" w:hAnsi="Book Antiqua"/>
          <w:szCs w:val="24"/>
          <w:lang w:val="es-PR"/>
        </w:rPr>
        <w:tab/>
      </w:r>
      <w:r w:rsidR="00A06EDC" w:rsidRPr="00A06EDC">
        <w:rPr>
          <w:rFonts w:ascii="Book Antiqua" w:hAnsi="Book Antiqua"/>
          <w:szCs w:val="24"/>
          <w:lang w:val="es-PR"/>
        </w:rPr>
        <w:t xml:space="preserve">Por todo lo anterior, esta medida propone la eliminación del Comité </w:t>
      </w:r>
      <w:proofErr w:type="spellStart"/>
      <w:r w:rsidR="00A06EDC" w:rsidRPr="00A06EDC">
        <w:rPr>
          <w:rFonts w:ascii="Book Antiqua" w:hAnsi="Book Antiqua"/>
          <w:szCs w:val="24"/>
          <w:lang w:val="es-PR"/>
        </w:rPr>
        <w:t>Interagencial</w:t>
      </w:r>
      <w:proofErr w:type="spellEnd"/>
      <w:r w:rsidR="00A06EDC" w:rsidRPr="00A06EDC">
        <w:rPr>
          <w:rFonts w:ascii="Book Antiqua" w:hAnsi="Book Antiqua"/>
          <w:szCs w:val="24"/>
          <w:lang w:val="es-PR"/>
        </w:rPr>
        <w:t xml:space="preserve"> para el Desarrollo y Preservación del Tren de Arroyo creado bajo la Ley Núm. 212-2014. Con ello, se reafirma el compromiso de </w:t>
      </w:r>
      <w:r w:rsidR="00AA562D">
        <w:rPr>
          <w:rFonts w:ascii="Book Antiqua" w:hAnsi="Book Antiqua"/>
          <w:szCs w:val="24"/>
          <w:lang w:val="es-PR"/>
        </w:rPr>
        <w:t xml:space="preserve">esta administración </w:t>
      </w:r>
      <w:r w:rsidR="00A06EDC" w:rsidRPr="00A06EDC">
        <w:rPr>
          <w:rFonts w:ascii="Book Antiqua" w:hAnsi="Book Antiqua"/>
          <w:szCs w:val="24"/>
          <w:lang w:val="es-PR"/>
        </w:rPr>
        <w:t>de modernizar el andamiaje gubernamental, eliminar estructuras obsoletas e inoperantes y encaminar a Puerto Rico hacia una administración pública más efectiva, enfocada en resultados concretos para el pueblo.</w:t>
      </w:r>
    </w:p>
    <w:p w14:paraId="34EEE9DD" w14:textId="77777777" w:rsidR="00E155E3" w:rsidRPr="003A208B" w:rsidRDefault="00E155E3" w:rsidP="00E155E3">
      <w:pPr>
        <w:rPr>
          <w:rFonts w:ascii="Book Antiqua" w:eastAsia="Book Antiqua" w:hAnsi="Book Antiqua" w:cs="Book Antiqua"/>
          <w:color w:val="000000" w:themeColor="text1"/>
          <w:szCs w:val="24"/>
          <w:lang w:val="es-PR"/>
        </w:rPr>
      </w:pPr>
    </w:p>
    <w:p w14:paraId="4C8EA18B" w14:textId="77777777" w:rsidR="00E155E3" w:rsidRPr="003A208B" w:rsidRDefault="00E155E3" w:rsidP="00E155E3">
      <w:pPr>
        <w:spacing w:line="480" w:lineRule="auto"/>
        <w:jc w:val="both"/>
        <w:rPr>
          <w:rFonts w:ascii="Book Antiqua" w:hAnsi="Book Antiqua"/>
          <w:bCs/>
          <w:i/>
          <w:iCs/>
          <w:color w:val="000000" w:themeColor="text1"/>
          <w:szCs w:val="24"/>
          <w:lang w:val="es-PR"/>
        </w:rPr>
      </w:pPr>
      <w:r w:rsidRPr="003A208B">
        <w:rPr>
          <w:rFonts w:ascii="Book Antiqua" w:hAnsi="Book Antiqua"/>
          <w:bCs/>
          <w:i/>
          <w:iCs/>
          <w:color w:val="000000" w:themeColor="text1"/>
          <w:szCs w:val="24"/>
          <w:lang w:val="es-PR"/>
        </w:rPr>
        <w:t>DECRÉTASE POR LA ASAMBLEA LEGISLATIVA DE PUERTO RICO:</w:t>
      </w:r>
    </w:p>
    <w:p w14:paraId="16D83EAB" w14:textId="77777777" w:rsidR="00E155E3" w:rsidRPr="003A208B" w:rsidRDefault="00E155E3" w:rsidP="00E155E3">
      <w:pPr>
        <w:spacing w:line="480" w:lineRule="auto"/>
        <w:jc w:val="both"/>
        <w:rPr>
          <w:rFonts w:ascii="Book Antiqua" w:hAnsi="Book Antiqua"/>
          <w:color w:val="000000" w:themeColor="text1"/>
          <w:szCs w:val="24"/>
          <w:lang w:val="es-PR"/>
        </w:rPr>
        <w:sectPr w:rsidR="00E155E3" w:rsidRPr="003A208B" w:rsidSect="00E155E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73771640" w14:textId="3868FD3C" w:rsidR="00A06EDC" w:rsidRPr="00BD7F86" w:rsidRDefault="00A06EDC" w:rsidP="00A06EDC">
      <w:pPr>
        <w:spacing w:line="480" w:lineRule="auto"/>
        <w:ind w:firstLine="360"/>
        <w:jc w:val="both"/>
        <w:rPr>
          <w:rFonts w:ascii="Book Antiqua" w:hAnsi="Book Antiqua"/>
          <w:lang w:val="es-ES"/>
        </w:rPr>
      </w:pPr>
      <w:bookmarkStart w:id="0" w:name="_Hlk206434876"/>
      <w:r w:rsidRPr="00624B02">
        <w:rPr>
          <w:rFonts w:ascii="Book Antiqua" w:hAnsi="Book Antiqua"/>
          <w:lang w:val="es-ES_tradnl"/>
        </w:rPr>
        <w:t xml:space="preserve">Sección 1.- Se </w:t>
      </w:r>
      <w:r>
        <w:rPr>
          <w:rFonts w:ascii="Book Antiqua" w:hAnsi="Book Antiqua"/>
          <w:lang w:val="es-ES_tradnl"/>
        </w:rPr>
        <w:t xml:space="preserve">deroga </w:t>
      </w:r>
      <w:r w:rsidR="002E2D24">
        <w:rPr>
          <w:rFonts w:ascii="Book Antiqua" w:hAnsi="Book Antiqua"/>
          <w:lang w:val="es-ES_tradnl"/>
        </w:rPr>
        <w:t>l</w:t>
      </w:r>
      <w:r w:rsidR="00A74C10" w:rsidRPr="00A74C10">
        <w:rPr>
          <w:rFonts w:ascii="Book Antiqua" w:hAnsi="Book Antiqua"/>
          <w:lang w:val="es-ES_tradnl"/>
        </w:rPr>
        <w:t>a Ley Núm. 212</w:t>
      </w:r>
      <w:r w:rsidR="008C0E2B">
        <w:rPr>
          <w:rFonts w:ascii="Book Antiqua" w:hAnsi="Book Antiqua"/>
          <w:lang w:val="es-ES_tradnl"/>
        </w:rPr>
        <w:t>-</w:t>
      </w:r>
      <w:r w:rsidR="00A74C10" w:rsidRPr="00A74C10">
        <w:rPr>
          <w:rFonts w:ascii="Book Antiqua" w:hAnsi="Book Antiqua"/>
          <w:lang w:val="es-ES_tradnl"/>
        </w:rPr>
        <w:t>2014, conocida como “Ley de Desarrollo y Preservación del Tren de Arroyo”</w:t>
      </w:r>
    </w:p>
    <w:bookmarkEnd w:id="0"/>
    <w:p w14:paraId="23A60290" w14:textId="59C2DD36" w:rsidR="00E155E3" w:rsidRPr="003A208B" w:rsidRDefault="00E155E3" w:rsidP="00E155E3">
      <w:pPr>
        <w:pStyle w:val="BodyText"/>
        <w:spacing w:line="480" w:lineRule="auto"/>
        <w:ind w:firstLine="720"/>
        <w:rPr>
          <w:rFonts w:ascii="Book Antiqua" w:hAnsi="Book Antiqua"/>
          <w:color w:val="000000" w:themeColor="text1"/>
        </w:rPr>
      </w:pPr>
      <w:r>
        <w:rPr>
          <w:rFonts w:ascii="Book Antiqua" w:eastAsia="Book Antiqua" w:hAnsi="Book Antiqua" w:cs="Book Antiqua"/>
          <w:color w:val="000000" w:themeColor="text1"/>
        </w:rPr>
        <w:t>Sección.</w:t>
      </w:r>
      <w:r w:rsidRPr="003A208B">
        <w:rPr>
          <w:rFonts w:ascii="Book Antiqua" w:eastAsia="Book Antiqua" w:hAnsi="Book Antiqua" w:cs="Book Antiqua"/>
          <w:color w:val="000000" w:themeColor="text1"/>
        </w:rPr>
        <w:t xml:space="preserve"> </w:t>
      </w:r>
      <w:r w:rsidR="00A06EDC">
        <w:rPr>
          <w:rFonts w:ascii="Book Antiqua" w:eastAsia="Book Antiqua" w:hAnsi="Book Antiqua" w:cs="Book Antiqua"/>
          <w:color w:val="000000" w:themeColor="text1"/>
        </w:rPr>
        <w:t>2</w:t>
      </w:r>
      <w:r w:rsidRPr="003A208B">
        <w:rPr>
          <w:rFonts w:ascii="Book Antiqua" w:eastAsia="Book Antiqua" w:hAnsi="Book Antiqua" w:cs="Book Antiqua"/>
          <w:color w:val="000000" w:themeColor="text1"/>
        </w:rPr>
        <w:t>.- Vigencia.</w:t>
      </w:r>
    </w:p>
    <w:p w14:paraId="0E500200" w14:textId="612C66DE" w:rsidR="00FD3565" w:rsidRPr="00E155E3" w:rsidRDefault="00A06EDC" w:rsidP="00A06EDC">
      <w:pPr>
        <w:spacing w:line="480" w:lineRule="auto"/>
        <w:ind w:firstLine="720"/>
        <w:jc w:val="both"/>
        <w:rPr>
          <w:color w:val="000000" w:themeColor="text1"/>
          <w:lang w:val="es-PR"/>
        </w:rPr>
      </w:pPr>
      <w:r w:rsidRPr="00A06EDC">
        <w:rPr>
          <w:rFonts w:ascii="Book Antiqua" w:eastAsia="Book Antiqua" w:hAnsi="Book Antiqua" w:cs="Book Antiqua"/>
          <w:color w:val="000000" w:themeColor="text1"/>
          <w:szCs w:val="24"/>
          <w:lang w:val="es-PR"/>
        </w:rPr>
        <w:t xml:space="preserve">Esta Ley entrará en vigor inmediatamente después de aprobación.  </w:t>
      </w:r>
    </w:p>
    <w:sectPr w:rsidR="00FD3565" w:rsidRPr="00E155E3" w:rsidSect="00E155E3">
      <w:headerReference w:type="even" r:id="rId11"/>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196D" w14:textId="77777777" w:rsidR="00DD3749" w:rsidRDefault="00DD3749" w:rsidP="00E155E3">
      <w:r>
        <w:separator/>
      </w:r>
    </w:p>
  </w:endnote>
  <w:endnote w:type="continuationSeparator" w:id="0">
    <w:p w14:paraId="7FF720D5" w14:textId="77777777" w:rsidR="00DD3749" w:rsidRDefault="00DD3749" w:rsidP="00E1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692CCBC1" w14:textId="77777777">
      <w:trPr>
        <w:trHeight w:val="300"/>
      </w:trPr>
      <w:tc>
        <w:tcPr>
          <w:tcW w:w="3120" w:type="dxa"/>
        </w:tcPr>
        <w:p w14:paraId="4DAC11BA" w14:textId="77777777" w:rsidR="00E155E3" w:rsidRDefault="00E155E3">
          <w:pPr>
            <w:pStyle w:val="Header"/>
            <w:ind w:left="-115"/>
          </w:pPr>
        </w:p>
      </w:tc>
      <w:tc>
        <w:tcPr>
          <w:tcW w:w="3120" w:type="dxa"/>
        </w:tcPr>
        <w:p w14:paraId="5D30EAE7" w14:textId="77777777" w:rsidR="00E155E3" w:rsidRDefault="00E155E3">
          <w:pPr>
            <w:pStyle w:val="Header"/>
            <w:jc w:val="center"/>
          </w:pPr>
        </w:p>
      </w:tc>
      <w:tc>
        <w:tcPr>
          <w:tcW w:w="3120" w:type="dxa"/>
        </w:tcPr>
        <w:p w14:paraId="38B0940F" w14:textId="77777777" w:rsidR="00E155E3" w:rsidRDefault="00E155E3">
          <w:pPr>
            <w:pStyle w:val="Header"/>
            <w:ind w:right="-115"/>
            <w:jc w:val="right"/>
          </w:pPr>
        </w:p>
      </w:tc>
    </w:tr>
  </w:tbl>
  <w:p w14:paraId="76918FD0" w14:textId="77777777" w:rsidR="00E155E3" w:rsidRDefault="00E15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54442AB7" w14:textId="77777777">
      <w:trPr>
        <w:trHeight w:val="300"/>
      </w:trPr>
      <w:tc>
        <w:tcPr>
          <w:tcW w:w="3120" w:type="dxa"/>
        </w:tcPr>
        <w:p w14:paraId="56C77088" w14:textId="77777777" w:rsidR="00E155E3" w:rsidRDefault="00E155E3">
          <w:pPr>
            <w:pStyle w:val="Header"/>
            <w:ind w:left="-115"/>
          </w:pPr>
        </w:p>
      </w:tc>
      <w:tc>
        <w:tcPr>
          <w:tcW w:w="3120" w:type="dxa"/>
        </w:tcPr>
        <w:p w14:paraId="3C34F1D7" w14:textId="77777777" w:rsidR="00E155E3" w:rsidRDefault="00E155E3">
          <w:pPr>
            <w:pStyle w:val="Header"/>
            <w:jc w:val="center"/>
          </w:pPr>
        </w:p>
      </w:tc>
      <w:tc>
        <w:tcPr>
          <w:tcW w:w="3120" w:type="dxa"/>
        </w:tcPr>
        <w:p w14:paraId="562E962D" w14:textId="77777777" w:rsidR="00E155E3" w:rsidRDefault="00E155E3">
          <w:pPr>
            <w:pStyle w:val="Header"/>
            <w:ind w:right="-115"/>
            <w:jc w:val="right"/>
          </w:pPr>
        </w:p>
      </w:tc>
    </w:tr>
  </w:tbl>
  <w:p w14:paraId="56279DAC" w14:textId="77777777" w:rsidR="00E155E3" w:rsidRDefault="00E15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7F153834" w14:textId="77777777">
      <w:trPr>
        <w:trHeight w:val="300"/>
      </w:trPr>
      <w:tc>
        <w:tcPr>
          <w:tcW w:w="3120" w:type="dxa"/>
        </w:tcPr>
        <w:p w14:paraId="6525E446" w14:textId="77777777" w:rsidR="00E155E3" w:rsidRDefault="00E155E3">
          <w:pPr>
            <w:pStyle w:val="Header"/>
            <w:ind w:left="-115"/>
          </w:pPr>
        </w:p>
      </w:tc>
      <w:tc>
        <w:tcPr>
          <w:tcW w:w="3120" w:type="dxa"/>
        </w:tcPr>
        <w:p w14:paraId="79B32D37" w14:textId="77777777" w:rsidR="00E155E3" w:rsidRDefault="00E155E3">
          <w:pPr>
            <w:pStyle w:val="Header"/>
            <w:jc w:val="center"/>
          </w:pPr>
        </w:p>
      </w:tc>
      <w:tc>
        <w:tcPr>
          <w:tcW w:w="3120" w:type="dxa"/>
        </w:tcPr>
        <w:p w14:paraId="69DA8460" w14:textId="77777777" w:rsidR="00E155E3" w:rsidRDefault="00E155E3">
          <w:pPr>
            <w:pStyle w:val="Header"/>
            <w:ind w:right="-115"/>
            <w:jc w:val="right"/>
          </w:pPr>
        </w:p>
      </w:tc>
    </w:tr>
  </w:tbl>
  <w:p w14:paraId="6C1A2138" w14:textId="77777777" w:rsidR="00E155E3" w:rsidRDefault="00E155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0537C068" w14:textId="77777777">
      <w:trPr>
        <w:trHeight w:val="300"/>
      </w:trPr>
      <w:tc>
        <w:tcPr>
          <w:tcW w:w="3120" w:type="dxa"/>
        </w:tcPr>
        <w:p w14:paraId="63F39F5C" w14:textId="77777777" w:rsidR="00E155E3" w:rsidRDefault="00E155E3">
          <w:pPr>
            <w:pStyle w:val="Header"/>
            <w:ind w:left="-115"/>
          </w:pPr>
        </w:p>
      </w:tc>
      <w:tc>
        <w:tcPr>
          <w:tcW w:w="3120" w:type="dxa"/>
        </w:tcPr>
        <w:p w14:paraId="14358895" w14:textId="77777777" w:rsidR="00E155E3" w:rsidRDefault="00E155E3">
          <w:pPr>
            <w:pStyle w:val="Header"/>
            <w:jc w:val="center"/>
          </w:pPr>
        </w:p>
      </w:tc>
      <w:tc>
        <w:tcPr>
          <w:tcW w:w="3120" w:type="dxa"/>
        </w:tcPr>
        <w:p w14:paraId="64C56EC7" w14:textId="77777777" w:rsidR="00E155E3" w:rsidRDefault="00E155E3">
          <w:pPr>
            <w:pStyle w:val="Header"/>
            <w:ind w:right="-115"/>
            <w:jc w:val="right"/>
          </w:pPr>
        </w:p>
      </w:tc>
    </w:tr>
  </w:tbl>
  <w:p w14:paraId="46DD0FC7" w14:textId="77777777" w:rsidR="00E155E3" w:rsidRDefault="00E15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52099" w14:textId="77777777" w:rsidR="00DD3749" w:rsidRDefault="00DD3749" w:rsidP="00E155E3">
      <w:r>
        <w:separator/>
      </w:r>
    </w:p>
  </w:footnote>
  <w:footnote w:type="continuationSeparator" w:id="0">
    <w:p w14:paraId="61B80658" w14:textId="77777777" w:rsidR="00DD3749" w:rsidRDefault="00DD3749" w:rsidP="00E1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9157" w14:textId="155D2388" w:rsidR="00E155E3" w:rsidRDefault="00E155E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0EAC" w14:textId="67308EFF" w:rsidR="00E155E3" w:rsidRDefault="00E155E3">
    <w:pPr>
      <w:pStyle w:val="Header"/>
      <w:jc w:val="right"/>
    </w:pPr>
    <w:r>
      <w:t>A-0</w:t>
    </w:r>
    <w:r w:rsidR="004D303A">
      <w:t>79</w:t>
    </w:r>
  </w:p>
  <w:p w14:paraId="3A3BC1A3" w14:textId="77777777" w:rsidR="00E155E3" w:rsidRDefault="00E155E3">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50219" w14:textId="77777777" w:rsidR="00E155E3" w:rsidRDefault="00E155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5BCF" w14:textId="77777777" w:rsidR="00E155E3" w:rsidRDefault="00E155E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3B44" w14:textId="77777777" w:rsidR="00E155E3" w:rsidRDefault="00E15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6074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E3"/>
    <w:rsid w:val="0001293C"/>
    <w:rsid w:val="00042AD1"/>
    <w:rsid w:val="000A663E"/>
    <w:rsid w:val="000B0936"/>
    <w:rsid w:val="000D7834"/>
    <w:rsid w:val="00120305"/>
    <w:rsid w:val="001231B9"/>
    <w:rsid w:val="001B242C"/>
    <w:rsid w:val="001D2EC4"/>
    <w:rsid w:val="00214243"/>
    <w:rsid w:val="00270E01"/>
    <w:rsid w:val="002E2D24"/>
    <w:rsid w:val="003E463F"/>
    <w:rsid w:val="004031F4"/>
    <w:rsid w:val="004D303A"/>
    <w:rsid w:val="00585F25"/>
    <w:rsid w:val="005B5533"/>
    <w:rsid w:val="007113C1"/>
    <w:rsid w:val="00725940"/>
    <w:rsid w:val="00751D53"/>
    <w:rsid w:val="007932BC"/>
    <w:rsid w:val="007D3014"/>
    <w:rsid w:val="007D73B6"/>
    <w:rsid w:val="008A3601"/>
    <w:rsid w:val="008C0E2B"/>
    <w:rsid w:val="009B7D8A"/>
    <w:rsid w:val="00A06649"/>
    <w:rsid w:val="00A06EDC"/>
    <w:rsid w:val="00A07652"/>
    <w:rsid w:val="00A10947"/>
    <w:rsid w:val="00A42890"/>
    <w:rsid w:val="00A47FCA"/>
    <w:rsid w:val="00A74C10"/>
    <w:rsid w:val="00AA562D"/>
    <w:rsid w:val="00AC30A6"/>
    <w:rsid w:val="00AE0375"/>
    <w:rsid w:val="00B11847"/>
    <w:rsid w:val="00B65554"/>
    <w:rsid w:val="00C92337"/>
    <w:rsid w:val="00CB5E21"/>
    <w:rsid w:val="00D04534"/>
    <w:rsid w:val="00D3072B"/>
    <w:rsid w:val="00D57D95"/>
    <w:rsid w:val="00D769B5"/>
    <w:rsid w:val="00D936F3"/>
    <w:rsid w:val="00DD3749"/>
    <w:rsid w:val="00E155E3"/>
    <w:rsid w:val="00EA704B"/>
    <w:rsid w:val="00EA766D"/>
    <w:rsid w:val="00EE055B"/>
    <w:rsid w:val="00F469A3"/>
    <w:rsid w:val="00FD1CD9"/>
    <w:rsid w:val="00FD3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E0DD3"/>
  <w15:chartTrackingRefBased/>
  <w15:docId w15:val="{9D5A32E4-8994-4008-B3C4-AFAF8AD7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E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15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5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5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5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5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5E3"/>
    <w:rPr>
      <w:rFonts w:eastAsiaTheme="majorEastAsia" w:cstheme="majorBidi"/>
      <w:color w:val="272727" w:themeColor="text1" w:themeTint="D8"/>
    </w:rPr>
  </w:style>
  <w:style w:type="paragraph" w:styleId="Title">
    <w:name w:val="Title"/>
    <w:basedOn w:val="Normal"/>
    <w:next w:val="Normal"/>
    <w:link w:val="TitleChar"/>
    <w:uiPriority w:val="10"/>
    <w:qFormat/>
    <w:rsid w:val="00E15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5E3"/>
    <w:pPr>
      <w:spacing w:before="160"/>
      <w:jc w:val="center"/>
    </w:pPr>
    <w:rPr>
      <w:i/>
      <w:iCs/>
      <w:color w:val="404040" w:themeColor="text1" w:themeTint="BF"/>
    </w:rPr>
  </w:style>
  <w:style w:type="character" w:customStyle="1" w:styleId="QuoteChar">
    <w:name w:val="Quote Char"/>
    <w:basedOn w:val="DefaultParagraphFont"/>
    <w:link w:val="Quote"/>
    <w:uiPriority w:val="29"/>
    <w:rsid w:val="00E155E3"/>
    <w:rPr>
      <w:i/>
      <w:iCs/>
      <w:color w:val="404040" w:themeColor="text1" w:themeTint="BF"/>
    </w:rPr>
  </w:style>
  <w:style w:type="paragraph" w:styleId="ListParagraph">
    <w:name w:val="List Paragraph"/>
    <w:basedOn w:val="Normal"/>
    <w:uiPriority w:val="34"/>
    <w:qFormat/>
    <w:rsid w:val="00E155E3"/>
    <w:pPr>
      <w:ind w:left="720"/>
      <w:contextualSpacing/>
    </w:pPr>
  </w:style>
  <w:style w:type="character" w:styleId="IntenseEmphasis">
    <w:name w:val="Intense Emphasis"/>
    <w:basedOn w:val="DefaultParagraphFont"/>
    <w:uiPriority w:val="21"/>
    <w:qFormat/>
    <w:rsid w:val="00E155E3"/>
    <w:rPr>
      <w:i/>
      <w:iCs/>
      <w:color w:val="0F4761" w:themeColor="accent1" w:themeShade="BF"/>
    </w:rPr>
  </w:style>
  <w:style w:type="paragraph" w:styleId="IntenseQuote">
    <w:name w:val="Intense Quote"/>
    <w:basedOn w:val="Normal"/>
    <w:next w:val="Normal"/>
    <w:link w:val="IntenseQuoteChar"/>
    <w:uiPriority w:val="30"/>
    <w:qFormat/>
    <w:rsid w:val="00E15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5E3"/>
    <w:rPr>
      <w:i/>
      <w:iCs/>
      <w:color w:val="0F4761" w:themeColor="accent1" w:themeShade="BF"/>
    </w:rPr>
  </w:style>
  <w:style w:type="character" w:styleId="IntenseReference">
    <w:name w:val="Intense Reference"/>
    <w:basedOn w:val="DefaultParagraphFont"/>
    <w:uiPriority w:val="32"/>
    <w:qFormat/>
    <w:rsid w:val="00E155E3"/>
    <w:rPr>
      <w:b/>
      <w:bCs/>
      <w:smallCaps/>
      <w:color w:val="0F4761" w:themeColor="accent1" w:themeShade="BF"/>
      <w:spacing w:val="5"/>
    </w:rPr>
  </w:style>
  <w:style w:type="paragraph" w:styleId="Footer">
    <w:name w:val="footer"/>
    <w:basedOn w:val="Normal"/>
    <w:link w:val="FooterChar"/>
    <w:rsid w:val="00E155E3"/>
    <w:pPr>
      <w:tabs>
        <w:tab w:val="center" w:pos="4320"/>
        <w:tab w:val="right" w:pos="8640"/>
      </w:tabs>
    </w:pPr>
  </w:style>
  <w:style w:type="character" w:customStyle="1" w:styleId="FooterChar">
    <w:name w:val="Footer Char"/>
    <w:basedOn w:val="DefaultParagraphFont"/>
    <w:link w:val="Footer"/>
    <w:rsid w:val="00E155E3"/>
    <w:rPr>
      <w:rFonts w:ascii="Times New Roman" w:eastAsia="Times New Roman" w:hAnsi="Times New Roman" w:cs="Times New Roman"/>
      <w:kern w:val="0"/>
      <w:szCs w:val="20"/>
      <w14:ligatures w14:val="none"/>
    </w:rPr>
  </w:style>
  <w:style w:type="paragraph" w:styleId="Header">
    <w:name w:val="header"/>
    <w:basedOn w:val="Normal"/>
    <w:link w:val="HeaderChar"/>
    <w:rsid w:val="00E155E3"/>
    <w:pPr>
      <w:tabs>
        <w:tab w:val="center" w:pos="4320"/>
        <w:tab w:val="right" w:pos="8640"/>
      </w:tabs>
    </w:pPr>
  </w:style>
  <w:style w:type="character" w:customStyle="1" w:styleId="HeaderChar">
    <w:name w:val="Header Char"/>
    <w:basedOn w:val="DefaultParagraphFont"/>
    <w:link w:val="Header"/>
    <w:rsid w:val="00E155E3"/>
    <w:rPr>
      <w:rFonts w:ascii="Times New Roman" w:eastAsia="Times New Roman" w:hAnsi="Times New Roman" w:cs="Times New Roman"/>
      <w:kern w:val="0"/>
      <w:szCs w:val="20"/>
      <w14:ligatures w14:val="none"/>
    </w:rPr>
  </w:style>
  <w:style w:type="character" w:styleId="PageNumber">
    <w:name w:val="page number"/>
    <w:basedOn w:val="DefaultParagraphFont"/>
    <w:rsid w:val="00E155E3"/>
  </w:style>
  <w:style w:type="paragraph" w:customStyle="1" w:styleId="Title2">
    <w:name w:val="Title2"/>
    <w:basedOn w:val="Normal"/>
    <w:next w:val="Normal"/>
    <w:rsid w:val="00E155E3"/>
    <w:pPr>
      <w:tabs>
        <w:tab w:val="left" w:pos="648"/>
        <w:tab w:val="right" w:pos="7776"/>
        <w:tab w:val="left" w:pos="7848"/>
      </w:tabs>
    </w:pPr>
  </w:style>
  <w:style w:type="paragraph" w:styleId="FootnoteText">
    <w:name w:val="footnote text"/>
    <w:basedOn w:val="Normal"/>
    <w:link w:val="FootnoteTextChar"/>
    <w:unhideWhenUsed/>
    <w:rsid w:val="00E155E3"/>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rsid w:val="00E155E3"/>
    <w:rPr>
      <w:sz w:val="20"/>
      <w:szCs w:val="20"/>
    </w:rPr>
  </w:style>
  <w:style w:type="character" w:styleId="FootnoteReference">
    <w:name w:val="footnote reference"/>
    <w:basedOn w:val="DefaultParagraphFont"/>
    <w:semiHidden/>
    <w:unhideWhenUsed/>
    <w:rsid w:val="00E155E3"/>
    <w:rPr>
      <w:vertAlign w:val="superscript"/>
    </w:rPr>
  </w:style>
  <w:style w:type="paragraph" w:styleId="BodyText">
    <w:name w:val="Body Text"/>
    <w:basedOn w:val="Normal"/>
    <w:link w:val="BodyTextChar"/>
    <w:qFormat/>
    <w:rsid w:val="00E155E3"/>
    <w:pPr>
      <w:jc w:val="both"/>
    </w:pPr>
    <w:rPr>
      <w:szCs w:val="24"/>
      <w:lang w:val="es-PR"/>
    </w:rPr>
  </w:style>
  <w:style w:type="character" w:customStyle="1" w:styleId="BodyTextChar">
    <w:name w:val="Body Text Char"/>
    <w:basedOn w:val="DefaultParagraphFont"/>
    <w:link w:val="BodyText"/>
    <w:qFormat/>
    <w:rsid w:val="00E155E3"/>
    <w:rPr>
      <w:rFonts w:ascii="Times New Roman" w:eastAsia="Times New Roman" w:hAnsi="Times New Roman" w:cs="Times New Roman"/>
      <w:kern w:val="0"/>
      <w:lang w:val="es-PR"/>
      <w14:ligatures w14:val="none"/>
    </w:rPr>
  </w:style>
  <w:style w:type="character" w:styleId="LineNumber">
    <w:name w:val="line number"/>
    <w:basedOn w:val="DefaultParagraphFont"/>
    <w:uiPriority w:val="99"/>
    <w:semiHidden/>
    <w:unhideWhenUsed/>
    <w:rsid w:val="00E15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julian.soto@fortaleza.pr.gov</dc:creator>
  <cp:keywords/>
  <dc:description/>
  <cp:lastModifiedBy>Gladys J. Burgos Torres</cp:lastModifiedBy>
  <cp:revision>5</cp:revision>
  <cp:lastPrinted>2025-10-14T18:31:00Z</cp:lastPrinted>
  <dcterms:created xsi:type="dcterms:W3CDTF">2025-10-14T18:00:00Z</dcterms:created>
  <dcterms:modified xsi:type="dcterms:W3CDTF">2025-10-15T14:52:00Z</dcterms:modified>
</cp:coreProperties>
</file>