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CB1979"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CB1979">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CB1979"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20</w:t>
      </w:r>
      <w:r w:rsidRPr="00CB1979">
        <w:rPr>
          <w:rFonts w:ascii="Book Antiqua" w:eastAsia="Times New Roman" w:hAnsi="Book Antiqua" w:cs="Times New Roman"/>
          <w:color w:val="000000"/>
          <w:kern w:val="0"/>
          <w:position w:val="10"/>
          <w:vertAlign w:val="superscript"/>
          <w:lang w:val="es-ES"/>
          <w14:ligatures w14:val="none"/>
        </w:rPr>
        <w:t>ma</w:t>
      </w:r>
      <w:r w:rsidR="005E118E" w:rsidRPr="00CB1979">
        <w:rPr>
          <w:rFonts w:ascii="Book Antiqua" w:eastAsia="Times New Roman" w:hAnsi="Book Antiqua" w:cs="Times New Roman"/>
          <w:color w:val="000000"/>
          <w:kern w:val="0"/>
          <w:position w:val="10"/>
          <w:vertAlign w:val="superscript"/>
          <w:lang w:val="es-ES"/>
          <w14:ligatures w14:val="none"/>
        </w:rPr>
        <w:t>.</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Asamblea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947E8C">
        <w:rPr>
          <w:rFonts w:ascii="Book Antiqua" w:eastAsia="Times New Roman" w:hAnsi="Book Antiqua" w:cs="Times New Roman"/>
          <w:color w:val="000000"/>
          <w:kern w:val="0"/>
          <w:lang w:val="es-ES"/>
          <w14:ligatures w14:val="none"/>
        </w:rPr>
        <w:t>3</w:t>
      </w:r>
      <w:r w:rsidR="00947E8C">
        <w:rPr>
          <w:rFonts w:ascii="Book Antiqua" w:eastAsia="Times New Roman" w:hAnsi="Book Antiqua" w:cs="Times New Roman"/>
          <w:color w:val="000000"/>
          <w:kern w:val="0"/>
          <w:vertAlign w:val="superscript"/>
          <w:lang w:val="es-ES"/>
          <w14:ligatures w14:val="none"/>
        </w:rPr>
        <w:t>r</w:t>
      </w:r>
      <w:r w:rsidRPr="00CB1979">
        <w:rPr>
          <w:rFonts w:ascii="Book Antiqua" w:eastAsia="Times New Roman" w:hAnsi="Book Antiqua" w:cs="Times New Roman"/>
          <w:color w:val="000000"/>
          <w:kern w:val="0"/>
          <w:vertAlign w:val="superscript"/>
          <w:lang w:val="es-ES"/>
          <w14:ligatures w14:val="none"/>
        </w:rPr>
        <w:t>a.</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 xml:space="preserve">Sesión </w:t>
      </w:r>
    </w:p>
    <w:p w14:paraId="4C99236B" w14:textId="15E116D3"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Legislativa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 xml:space="preserve">Ordinaria </w:t>
      </w:r>
    </w:p>
    <w:p w14:paraId="29F090CC"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CB1979">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CB1979" w:rsidRDefault="00A54AF0" w:rsidP="00A54AF0">
      <w:pPr>
        <w:spacing w:after="0" w:line="240" w:lineRule="auto"/>
        <w:jc w:val="center"/>
        <w:rPr>
          <w:rFonts w:ascii="Book Antiqua" w:eastAsia="Times New Roman" w:hAnsi="Book Antiqua" w:cs="Times New Roman"/>
          <w:kern w:val="0"/>
          <w14:ligatures w14:val="none"/>
        </w:rPr>
      </w:pPr>
    </w:p>
    <w:p w14:paraId="3895E960" w14:textId="20A8BB13" w:rsidR="00A54AF0" w:rsidRPr="00CB1979" w:rsidRDefault="00A54AF0" w:rsidP="00A54AF0">
      <w:pPr>
        <w:spacing w:after="0" w:line="240" w:lineRule="auto"/>
        <w:jc w:val="center"/>
        <w:rPr>
          <w:rFonts w:ascii="Book Antiqua" w:eastAsia="Times New Roman" w:hAnsi="Book Antiqua" w:cs="Times New Roman"/>
          <w:b/>
          <w:kern w:val="0"/>
          <w:sz w:val="52"/>
          <w:szCs w:val="52"/>
          <w14:ligatures w14:val="none"/>
        </w:rPr>
      </w:pPr>
      <w:r w:rsidRPr="00CB1979">
        <w:rPr>
          <w:rFonts w:ascii="Book Antiqua" w:eastAsia="Times New Roman" w:hAnsi="Book Antiqua" w:cs="Times New Roman"/>
          <w:b/>
          <w:kern w:val="0"/>
          <w:sz w:val="52"/>
          <w:szCs w:val="52"/>
          <w14:ligatures w14:val="none"/>
        </w:rPr>
        <w:t xml:space="preserve">P. de la C. </w:t>
      </w:r>
      <w:r w:rsidR="00155FF4" w:rsidRPr="00CB1979">
        <w:rPr>
          <w:rFonts w:ascii="Book Antiqua" w:eastAsia="Times New Roman" w:hAnsi="Book Antiqua" w:cs="Times New Roman"/>
          <w:b/>
          <w:kern w:val="0"/>
          <w:sz w:val="52"/>
          <w:szCs w:val="52"/>
          <w14:ligatures w14:val="none"/>
        </w:rPr>
        <w:t>916</w:t>
      </w:r>
    </w:p>
    <w:p w14:paraId="6A26D0A1" w14:textId="0C4658AE" w:rsidR="00A54AF0" w:rsidRPr="00CB1979" w:rsidRDefault="00E363B5"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Pr>
          <w:rFonts w:ascii="Book Antiqua" w:eastAsia="Times New Roman" w:hAnsi="Book Antiqua" w:cs="Times New Roman"/>
          <w:b/>
          <w:bCs/>
          <w:color w:val="000000"/>
          <w:kern w:val="0"/>
          <w:sz w:val="28"/>
          <w:szCs w:val="28"/>
          <w:lang w:eastAsia="x-none"/>
          <w14:ligatures w14:val="none"/>
        </w:rPr>
        <w:t>TERCER</w:t>
      </w:r>
      <w:r w:rsidR="00E53500">
        <w:rPr>
          <w:rFonts w:ascii="Book Antiqua" w:eastAsia="Times New Roman" w:hAnsi="Book Antiqua" w:cs="Times New Roman"/>
          <w:b/>
          <w:bCs/>
          <w:color w:val="000000"/>
          <w:kern w:val="0"/>
          <w:sz w:val="28"/>
          <w:szCs w:val="28"/>
          <w:lang w:eastAsia="x-none"/>
          <w14:ligatures w14:val="none"/>
        </w:rPr>
        <w:t xml:space="preserve"> </w:t>
      </w:r>
      <w:r w:rsidR="00A54AF0" w:rsidRPr="00CB1979">
        <w:rPr>
          <w:rFonts w:ascii="Book Antiqua" w:eastAsia="Times New Roman" w:hAnsi="Book Antiqua" w:cs="Times New Roman"/>
          <w:b/>
          <w:bCs/>
          <w:color w:val="000000"/>
          <w:kern w:val="0"/>
          <w:sz w:val="28"/>
          <w:szCs w:val="28"/>
          <w:lang w:eastAsia="x-none"/>
          <w14:ligatures w14:val="none"/>
        </w:rPr>
        <w:t xml:space="preserve">INFORME </w:t>
      </w:r>
      <w:r>
        <w:rPr>
          <w:rFonts w:ascii="Book Antiqua" w:eastAsia="Times New Roman" w:hAnsi="Book Antiqua" w:cs="Times New Roman"/>
          <w:b/>
          <w:bCs/>
          <w:color w:val="000000"/>
          <w:kern w:val="0"/>
          <w:sz w:val="28"/>
          <w:szCs w:val="28"/>
          <w:lang w:eastAsia="x-none"/>
          <w14:ligatures w14:val="none"/>
        </w:rPr>
        <w:t>NEGATIVO</w:t>
      </w:r>
    </w:p>
    <w:p w14:paraId="6E1E98A3" w14:textId="77777777" w:rsidR="00A54AF0" w:rsidRPr="00CB1979"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08DA7965" w:rsidR="00A54AF0" w:rsidRPr="00CB1979" w:rsidRDefault="00A54AF0" w:rsidP="00A54AF0">
      <w:pPr>
        <w:spacing w:after="0" w:line="240" w:lineRule="auto"/>
        <w:jc w:val="center"/>
        <w:rPr>
          <w:rFonts w:ascii="Book Antiqua" w:eastAsia="Times New Roman" w:hAnsi="Book Antiqua" w:cs="Times New Roman"/>
          <w:color w:val="000000"/>
          <w:kern w:val="0"/>
          <w14:ligatures w14:val="none"/>
        </w:rPr>
      </w:pPr>
      <w:r w:rsidRPr="00CB1979">
        <w:rPr>
          <w:rFonts w:ascii="Book Antiqua" w:eastAsia="Times New Roman" w:hAnsi="Book Antiqua" w:cs="Times New Roman"/>
          <w:bCs/>
          <w:color w:val="000000"/>
          <w:kern w:val="0"/>
          <w14:ligatures w14:val="none"/>
        </w:rPr>
        <w:t xml:space="preserve">____ DE </w:t>
      </w:r>
      <w:r w:rsidR="00BB3493">
        <w:rPr>
          <w:rFonts w:ascii="Book Antiqua" w:eastAsia="Times New Roman" w:hAnsi="Book Antiqua" w:cs="Times New Roman"/>
          <w:bCs/>
          <w:color w:val="000000"/>
          <w:kern w:val="0"/>
          <w14:ligatures w14:val="none"/>
        </w:rPr>
        <w:t>JUNIO</w:t>
      </w:r>
      <w:r w:rsidR="00663D4E">
        <w:rPr>
          <w:rFonts w:ascii="Book Antiqua" w:eastAsia="Times New Roman" w:hAnsi="Book Antiqua" w:cs="Times New Roman"/>
          <w:bCs/>
          <w:color w:val="000000"/>
          <w:kern w:val="0"/>
          <w14:ligatures w14:val="none"/>
        </w:rPr>
        <w:t xml:space="preserve"> </w:t>
      </w:r>
      <w:r w:rsidRPr="00CB1979">
        <w:rPr>
          <w:rFonts w:ascii="Book Antiqua" w:eastAsia="Times New Roman" w:hAnsi="Book Antiqua" w:cs="Times New Roman"/>
          <w:bCs/>
          <w:color w:val="000000"/>
          <w:kern w:val="0"/>
          <w14:ligatures w14:val="none"/>
        </w:rPr>
        <w:t>DE 202</w:t>
      </w:r>
      <w:r w:rsidR="0078577E">
        <w:rPr>
          <w:rFonts w:ascii="Book Antiqua" w:eastAsia="Times New Roman" w:hAnsi="Book Antiqua" w:cs="Times New Roman"/>
          <w:bCs/>
          <w:color w:val="000000"/>
          <w:kern w:val="0"/>
          <w14:ligatures w14:val="none"/>
        </w:rPr>
        <w:t>6</w:t>
      </w:r>
    </w:p>
    <w:p w14:paraId="77242E04" w14:textId="77777777" w:rsidR="00A54AF0" w:rsidRPr="00CB1979"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CB1979"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CB1979" w:rsidRDefault="00A54AF0" w:rsidP="00A54AF0">
      <w:pPr>
        <w:spacing w:after="0" w:line="240" w:lineRule="auto"/>
        <w:ind w:firstLine="720"/>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A LA CÁMARA DE REPRESENTANTES DE PUERTO RICO:</w:t>
      </w:r>
    </w:p>
    <w:p w14:paraId="1DE7F01B" w14:textId="77777777" w:rsidR="00A54AF0" w:rsidRPr="00CB1979" w:rsidRDefault="00A54AF0" w:rsidP="00A54AF0">
      <w:pPr>
        <w:spacing w:after="0" w:line="240" w:lineRule="auto"/>
        <w:rPr>
          <w:rFonts w:ascii="Book Antiqua" w:eastAsia="Times New Roman" w:hAnsi="Book Antiqua" w:cs="Times New Roman"/>
          <w:b/>
          <w:bCs/>
          <w:kern w:val="0"/>
          <w14:ligatures w14:val="none"/>
        </w:rPr>
      </w:pPr>
    </w:p>
    <w:p w14:paraId="65F2FF51" w14:textId="2369B8DB" w:rsidR="00A54AF0" w:rsidRPr="00CB1979" w:rsidRDefault="00A54AF0" w:rsidP="00AB7D4B">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w:t>
      </w:r>
      <w:r w:rsidR="00E363B5">
        <w:rPr>
          <w:rFonts w:ascii="Book Antiqua" w:eastAsia="Times New Roman" w:hAnsi="Book Antiqua" w:cs="Times New Roman"/>
          <w:kern w:val="0"/>
          <w14:ligatures w14:val="none"/>
        </w:rPr>
        <w:t xml:space="preserve">considerando el tracto de Proyecto de la Cámara 916 (P. de la C. 916)(A-079), y la aprobación de la Ley Núm. 90-2026, </w:t>
      </w:r>
      <w:r w:rsidR="00E363B5" w:rsidRPr="00E56A03">
        <w:rPr>
          <w:rFonts w:ascii="Book Antiqua" w:eastAsia="Times New Roman" w:hAnsi="Book Antiqua" w:cs="Times New Roman"/>
          <w:b/>
          <w:bCs/>
          <w:kern w:val="0"/>
          <w:u w:val="single"/>
          <w14:ligatures w14:val="none"/>
        </w:rPr>
        <w:t>no recomienda</w:t>
      </w:r>
      <w:r w:rsidR="00E363B5">
        <w:rPr>
          <w:rFonts w:ascii="Book Antiqua" w:eastAsia="Times New Roman" w:hAnsi="Book Antiqua" w:cs="Times New Roman"/>
          <w:kern w:val="0"/>
          <w14:ligatures w14:val="none"/>
        </w:rPr>
        <w:t xml:space="preserve"> la aprobación del P. de la C. 916. </w:t>
      </w:r>
      <w:r w:rsidR="0078577E">
        <w:rPr>
          <w:rFonts w:ascii="Book Antiqua" w:eastAsia="Times New Roman" w:hAnsi="Book Antiqua" w:cs="Times New Roman"/>
          <w:kern w:val="0"/>
          <w14:ligatures w14:val="none"/>
        </w:rPr>
        <w:t xml:space="preserve"> </w:t>
      </w:r>
    </w:p>
    <w:p w14:paraId="3639B984"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CB1979"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CB1979">
        <w:rPr>
          <w:rFonts w:ascii="Book Antiqua" w:eastAsia="Times New Roman" w:hAnsi="Book Antiqua" w:cs="Times New Roman"/>
          <w:b/>
          <w:bCs/>
          <w:kern w:val="0"/>
          <w:lang w:eastAsia="x-none"/>
          <w14:ligatures w14:val="none"/>
        </w:rPr>
        <w:t>ALCANCE DE LA MEDIDA</w:t>
      </w:r>
    </w:p>
    <w:p w14:paraId="05D2FB6C"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4429AAC6" w14:textId="77777777" w:rsidR="00F0725D" w:rsidRPr="00CB1979" w:rsidRDefault="00F0725D" w:rsidP="00AC04B8">
      <w:pPr>
        <w:spacing w:after="0" w:line="240" w:lineRule="auto"/>
        <w:ind w:left="720" w:right="720" w:hanging="360"/>
        <w:jc w:val="both"/>
        <w:rPr>
          <w:rFonts w:ascii="Book Antiqua" w:eastAsia="Book Antiqua" w:hAnsi="Book Antiqua" w:cs="Book Antiqua"/>
          <w:color w:val="000000" w:themeColor="text1"/>
          <w:kern w:val="0"/>
          <w14:ligatures w14:val="none"/>
        </w:rPr>
      </w:pPr>
      <w:r w:rsidRPr="00CB1979">
        <w:rPr>
          <w:rFonts w:ascii="Book Antiqua" w:eastAsia="Book Antiqua" w:hAnsi="Book Antiqua" w:cs="Book Antiqua"/>
          <w:color w:val="000000" w:themeColor="text1"/>
          <w:kern w:val="0"/>
          <w14:ligatures w14:val="none"/>
        </w:rPr>
        <w:t>Para derogar la Ley Núm. 212-2014, conocida como “Ley de Desarrollo y Preservación del Tren de Arroyo”</w:t>
      </w:r>
      <w:r w:rsidRPr="00CB1979">
        <w:rPr>
          <w:rFonts w:ascii="Book Antiqua" w:eastAsia="Times New Roman" w:hAnsi="Book Antiqua" w:cs="Times New Roman"/>
          <w:kern w:val="0"/>
          <w:szCs w:val="20"/>
          <w14:ligatures w14:val="none"/>
        </w:rPr>
        <w:t xml:space="preserve"> </w:t>
      </w:r>
      <w:r w:rsidRPr="00CB1979">
        <w:rPr>
          <w:rFonts w:ascii="Book Antiqua" w:eastAsia="Book Antiqua" w:hAnsi="Book Antiqua" w:cs="Book Antiqua"/>
          <w:color w:val="000000" w:themeColor="text1"/>
          <w:kern w:val="0"/>
          <w14:ligatures w14:val="none"/>
        </w:rPr>
        <w:t xml:space="preserve">a los fines de eliminar del ordenamiento jurídico un organismo interagencial inoperante desde 2015, evitar duplicidad administrativa y modernizar el andamiaje gubernamental de Puerto Rico. </w:t>
      </w:r>
    </w:p>
    <w:p w14:paraId="59170590"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p>
    <w:p w14:paraId="633D576D"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INTRODUCCIÓN</w:t>
      </w:r>
    </w:p>
    <w:p w14:paraId="577851B1" w14:textId="77777777" w:rsidR="005E118E" w:rsidRPr="00CB1979" w:rsidRDefault="005E118E" w:rsidP="005E118E">
      <w:pPr>
        <w:spacing w:after="0" w:line="240" w:lineRule="auto"/>
        <w:rPr>
          <w:rFonts w:ascii="Book Antiqua" w:eastAsia="Times New Roman" w:hAnsi="Book Antiqua" w:cs="Times New Roman"/>
          <w:b/>
          <w:bCs/>
          <w:kern w:val="0"/>
          <w14:ligatures w14:val="none"/>
        </w:rPr>
      </w:pPr>
    </w:p>
    <w:p w14:paraId="2906D864" w14:textId="1B0EDD5E" w:rsidR="00E363B5" w:rsidRDefault="005E118E" w:rsidP="00DD08D2">
      <w:pPr>
        <w:spacing w:after="0" w:line="360" w:lineRule="auto"/>
        <w:jc w:val="both"/>
        <w:rPr>
          <w:rFonts w:ascii="Book Antiqua" w:eastAsia="Times New Roman" w:hAnsi="Book Antiqua" w:cs="Times New Roman"/>
          <w:kern w:val="0"/>
          <w14:ligatures w14:val="none"/>
        </w:rPr>
      </w:pPr>
      <w:r w:rsidRPr="00CB1979">
        <w:rPr>
          <w:rFonts w:ascii="Book Antiqua" w:eastAsia="Times New Roman" w:hAnsi="Book Antiqua" w:cs="Times New Roman"/>
          <w:b/>
          <w:bCs/>
          <w:kern w:val="0"/>
          <w14:ligatures w14:val="none"/>
        </w:rPr>
        <w:tab/>
      </w:r>
      <w:r w:rsidRPr="00CB1979">
        <w:rPr>
          <w:rFonts w:ascii="Book Antiqua" w:eastAsia="Times New Roman" w:hAnsi="Book Antiqua" w:cs="Times New Roman"/>
          <w:kern w:val="0"/>
          <w14:ligatures w14:val="none"/>
        </w:rPr>
        <w:t xml:space="preserve">El </w:t>
      </w:r>
      <w:r w:rsidRPr="00CB1979">
        <w:rPr>
          <w:rFonts w:ascii="Book Antiqua" w:eastAsia="Times New Roman" w:hAnsi="Book Antiqua" w:cs="Times New Roman"/>
          <w:b/>
          <w:bCs/>
          <w:kern w:val="0"/>
          <w14:ligatures w14:val="none"/>
        </w:rPr>
        <w:t>P</w:t>
      </w:r>
      <w:r w:rsidR="00433876" w:rsidRPr="00CB1979">
        <w:rPr>
          <w:rFonts w:ascii="Book Antiqua" w:eastAsia="Times New Roman" w:hAnsi="Book Antiqua" w:cs="Times New Roman"/>
          <w:b/>
          <w:bCs/>
          <w:kern w:val="0"/>
          <w14:ligatures w14:val="none"/>
        </w:rPr>
        <w:t>. de la C.</w:t>
      </w:r>
      <w:r w:rsidRPr="00CB1979">
        <w:rPr>
          <w:rFonts w:ascii="Book Antiqua" w:eastAsia="Times New Roman" w:hAnsi="Book Antiqua" w:cs="Times New Roman"/>
          <w:b/>
          <w:bCs/>
          <w:kern w:val="0"/>
          <w14:ligatures w14:val="none"/>
        </w:rPr>
        <w:t xml:space="preserve"> </w:t>
      </w:r>
      <w:r w:rsidR="00EC3642">
        <w:rPr>
          <w:rFonts w:ascii="Book Antiqua" w:eastAsia="Times New Roman" w:hAnsi="Book Antiqua" w:cs="Times New Roman"/>
          <w:b/>
          <w:bCs/>
          <w:kern w:val="0"/>
          <w14:ligatures w14:val="none"/>
        </w:rPr>
        <w:t xml:space="preserve">916 </w:t>
      </w:r>
      <w:r w:rsidRPr="00CB1979">
        <w:rPr>
          <w:rFonts w:ascii="Book Antiqua" w:eastAsia="Times New Roman" w:hAnsi="Book Antiqua" w:cs="Times New Roman"/>
          <w:kern w:val="0"/>
          <w14:ligatures w14:val="none"/>
        </w:rPr>
        <w:t>propon</w:t>
      </w:r>
      <w:r w:rsidR="00E363B5">
        <w:rPr>
          <w:rFonts w:ascii="Book Antiqua" w:eastAsia="Times New Roman" w:hAnsi="Book Antiqua" w:cs="Times New Roman"/>
          <w:kern w:val="0"/>
          <w14:ligatures w14:val="none"/>
        </w:rPr>
        <w:t>ía</w:t>
      </w:r>
      <w:r w:rsidRPr="00CB1979">
        <w:rPr>
          <w:rFonts w:ascii="Book Antiqua" w:eastAsia="Times New Roman" w:hAnsi="Book Antiqua" w:cs="Times New Roman"/>
          <w:kern w:val="0"/>
          <w14:ligatures w14:val="none"/>
        </w:rPr>
        <w:t xml:space="preserve"> derogar la Ley Núm. </w:t>
      </w:r>
      <w:r w:rsidR="00F0725D" w:rsidRPr="00CB1979">
        <w:rPr>
          <w:rFonts w:ascii="Book Antiqua" w:eastAsia="Times New Roman" w:hAnsi="Book Antiqua" w:cs="Times New Roman"/>
          <w:kern w:val="0"/>
          <w14:ligatures w14:val="none"/>
        </w:rPr>
        <w:t>212-2014</w:t>
      </w:r>
      <w:r w:rsidRPr="00CB1979">
        <w:rPr>
          <w:rFonts w:ascii="Book Antiqua" w:eastAsia="Times New Roman" w:hAnsi="Book Antiqua" w:cs="Times New Roman"/>
          <w:kern w:val="0"/>
          <w14:ligatures w14:val="none"/>
        </w:rPr>
        <w:t xml:space="preserve">, conocida </w:t>
      </w:r>
      <w:r w:rsidR="00F0725D" w:rsidRPr="00CB1979">
        <w:rPr>
          <w:rFonts w:ascii="Book Antiqua" w:eastAsia="Book Antiqua" w:hAnsi="Book Antiqua" w:cs="Book Antiqua"/>
          <w:color w:val="000000" w:themeColor="text1"/>
          <w:kern w:val="0"/>
          <w14:ligatures w14:val="none"/>
        </w:rPr>
        <w:t>como “Ley de Desarrollo y Preservación del Tren de Arroyo”</w:t>
      </w:r>
      <w:r w:rsidR="007908EA" w:rsidRPr="00CB1979">
        <w:rPr>
          <w:rStyle w:val="FootnoteReference"/>
          <w:rFonts w:ascii="Book Antiqua" w:eastAsia="Book Antiqua" w:hAnsi="Book Antiqua"/>
          <w:color w:val="000000" w:themeColor="text1"/>
          <w:kern w:val="0"/>
          <w14:ligatures w14:val="none"/>
        </w:rPr>
        <w:footnoteReference w:id="1"/>
      </w:r>
      <w:r w:rsidR="005B7DE9" w:rsidRPr="00CB1979">
        <w:rPr>
          <w:rFonts w:ascii="Book Antiqua" w:eastAsia="Times New Roman" w:hAnsi="Book Antiqua" w:cs="Times New Roman"/>
          <w:kern w:val="0"/>
          <w14:ligatures w14:val="none"/>
        </w:rPr>
        <w:t xml:space="preserve">. </w:t>
      </w:r>
      <w:r w:rsidR="00E363B5" w:rsidRPr="00CB1979">
        <w:rPr>
          <w:rFonts w:ascii="Book Antiqua" w:eastAsia="Times New Roman" w:hAnsi="Book Antiqua" w:cs="Times New Roman"/>
          <w:kern w:val="0"/>
          <w14:ligatures w14:val="none"/>
        </w:rPr>
        <w:t xml:space="preserve">Como fundamento para su derogación expone, en síntesis, que la pieza legislativa se tornó obsoleta e inoficiosa, y que </w:t>
      </w:r>
      <w:r w:rsidR="00E363B5" w:rsidRPr="00CB1979">
        <w:rPr>
          <w:rFonts w:ascii="Book Antiqua" w:hAnsi="Book Antiqua"/>
        </w:rPr>
        <w:t xml:space="preserve">“han </w:t>
      </w:r>
      <w:r w:rsidR="00E363B5" w:rsidRPr="00CB1979">
        <w:rPr>
          <w:rFonts w:ascii="Book Antiqua" w:hAnsi="Book Antiqua"/>
        </w:rPr>
        <w:lastRenderedPageBreak/>
        <w:t>transcurrido más de diez (10) años desde la aprobación de la Ley 212 y el Comité Interagencial nunca se consolidó como un cuerpo funcional.”</w:t>
      </w:r>
      <w:r w:rsidR="00E363B5" w:rsidRPr="00CB1979">
        <w:rPr>
          <w:rStyle w:val="FootnoteReference"/>
          <w:rFonts w:ascii="Book Antiqua" w:hAnsi="Book Antiqua"/>
        </w:rPr>
        <w:footnoteReference w:id="2"/>
      </w:r>
      <w:r w:rsidR="00E363B5" w:rsidRPr="00CB1979">
        <w:rPr>
          <w:rFonts w:ascii="Book Antiqua" w:hAnsi="Book Antiqua"/>
        </w:rPr>
        <w:t xml:space="preserve"> De igual modo, añade que “desde el año 2015 no se han realizado nombramientos de sus integrantes, lo cual ha resultado en su inactividad absoluta.”</w:t>
      </w:r>
      <w:r w:rsidR="00E363B5" w:rsidRPr="00CB1979">
        <w:rPr>
          <w:rStyle w:val="FootnoteReference"/>
          <w:rFonts w:ascii="Book Antiqua" w:hAnsi="Book Antiqua"/>
        </w:rPr>
        <w:footnoteReference w:id="3"/>
      </w:r>
      <w:r w:rsidR="00E363B5">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Dicho Proyecto se presentó </w:t>
      </w:r>
      <w:r w:rsidR="005B7DE9" w:rsidRPr="00CB1979">
        <w:rPr>
          <w:rFonts w:ascii="Book Antiqua" w:eastAsia="Times New Roman" w:hAnsi="Book Antiqua" w:cs="Times New Roman"/>
          <w:kern w:val="0"/>
          <w14:ligatures w14:val="none"/>
        </w:rPr>
        <w:t>14 de octubre</w:t>
      </w:r>
      <w:r w:rsidRPr="00CB1979">
        <w:rPr>
          <w:rFonts w:ascii="Book Antiqua" w:eastAsia="Times New Roman" w:hAnsi="Book Antiqua" w:cs="Times New Roman"/>
          <w:kern w:val="0"/>
          <w14:ligatures w14:val="none"/>
        </w:rPr>
        <w:t xml:space="preserve"> de 2025, y </w:t>
      </w:r>
      <w:r w:rsidR="005B7DE9" w:rsidRPr="00CB1979">
        <w:rPr>
          <w:rFonts w:ascii="Book Antiqua" w:eastAsia="Times New Roman" w:hAnsi="Book Antiqua" w:cs="Times New Roman"/>
          <w:kern w:val="0"/>
          <w14:ligatures w14:val="none"/>
        </w:rPr>
        <w:t xml:space="preserve">fue </w:t>
      </w:r>
      <w:r w:rsidRPr="00CB1979">
        <w:rPr>
          <w:rFonts w:ascii="Book Antiqua" w:eastAsia="Times New Roman" w:hAnsi="Book Antiqua" w:cs="Times New Roman"/>
          <w:kern w:val="0"/>
          <w14:ligatures w14:val="none"/>
        </w:rPr>
        <w:t xml:space="preserve">referido a la </w:t>
      </w:r>
      <w:r w:rsidRPr="00CB1979">
        <w:rPr>
          <w:rFonts w:ascii="Book Antiqua" w:eastAsia="Times New Roman" w:hAnsi="Book Antiqua" w:cs="Times New Roman"/>
          <w:i/>
          <w:iCs/>
          <w:kern w:val="0"/>
          <w14:ligatures w14:val="none"/>
        </w:rPr>
        <w:t>Comisión de Reorganización, Eficiencia y Diligencia (CRED)</w:t>
      </w:r>
      <w:r w:rsidRPr="00CB1979">
        <w:rPr>
          <w:rFonts w:ascii="Book Antiqua" w:eastAsia="Times New Roman" w:hAnsi="Book Antiqua" w:cs="Times New Roman"/>
          <w:kern w:val="0"/>
          <w14:ligatures w14:val="none"/>
        </w:rPr>
        <w:t xml:space="preserve"> el </w:t>
      </w:r>
      <w:r w:rsidR="005B7DE9" w:rsidRPr="00CB1979">
        <w:rPr>
          <w:rFonts w:ascii="Book Antiqua" w:eastAsia="Times New Roman" w:hAnsi="Book Antiqua" w:cs="Times New Roman"/>
          <w:kern w:val="0"/>
          <w14:ligatures w14:val="none"/>
        </w:rPr>
        <w:t>16 de octubre de 2025.</w:t>
      </w:r>
      <w:r w:rsidR="00E363B5">
        <w:rPr>
          <w:rFonts w:ascii="Book Antiqua" w:eastAsia="Times New Roman" w:hAnsi="Book Antiqua" w:cs="Times New Roman"/>
          <w:kern w:val="0"/>
          <w14:ligatures w14:val="none"/>
        </w:rPr>
        <w:t xml:space="preserve"> Posteriormente, la CRED remitió dos informes positiovos, y el el P. de la C. 916 quedó en los asuntos pendientes del cuerpo desde el 19 de marzo de 2026. </w:t>
      </w:r>
    </w:p>
    <w:p w14:paraId="3819E205" w14:textId="77777777" w:rsidR="00E363B5" w:rsidRDefault="00E363B5" w:rsidP="00E363B5">
      <w:pPr>
        <w:spacing w:after="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8 de octubre de 2025, se presentó en el Senado el Proyecto del Senado 770 (A-079), el cual luego del trámite de rigor fue aprobado en el Senado de Puerto Rico el 2 de febrero de 2026 y remitido a la Cámara de Representantes. Finalmente, luego de aprobado en la Cámara y haberse logrado un acuerdo en el Comité de Conferencia se convirtió en la Ley Núm. 90-2026, aprobada el 13 de mayo de 2026. </w:t>
      </w:r>
    </w:p>
    <w:p w14:paraId="09172F77" w14:textId="1AF9CF93" w:rsidR="00E363B5" w:rsidRDefault="00E363B5" w:rsidP="00E363B5">
      <w:pPr>
        <w:spacing w:after="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Considerando el contenido del </w:t>
      </w:r>
      <w:r w:rsidR="00E56A03">
        <w:rPr>
          <w:rFonts w:ascii="Book Antiqua" w:eastAsia="Times New Roman" w:hAnsi="Book Antiqua" w:cs="Times New Roman"/>
          <w:kern w:val="0"/>
          <w14:ligatures w14:val="none"/>
        </w:rPr>
        <w:t>p</w:t>
      </w:r>
      <w:r>
        <w:rPr>
          <w:rFonts w:ascii="Book Antiqua" w:eastAsia="Times New Roman" w:hAnsi="Book Antiqua" w:cs="Times New Roman"/>
          <w:kern w:val="0"/>
          <w14:ligatures w14:val="none"/>
        </w:rPr>
        <w:t xml:space="preserve">royecto de </w:t>
      </w:r>
      <w:r w:rsidR="00E56A03">
        <w:rPr>
          <w:rFonts w:ascii="Book Antiqua" w:eastAsia="Times New Roman" w:hAnsi="Book Antiqua" w:cs="Times New Roman"/>
          <w:kern w:val="0"/>
          <w14:ligatures w14:val="none"/>
        </w:rPr>
        <w:t>l</w:t>
      </w:r>
      <w:r>
        <w:rPr>
          <w:rFonts w:ascii="Book Antiqua" w:eastAsia="Times New Roman" w:hAnsi="Book Antiqua" w:cs="Times New Roman"/>
          <w:kern w:val="0"/>
          <w14:ligatures w14:val="none"/>
        </w:rPr>
        <w:t xml:space="preserve">ey y compararlo con la legislación vigente, particularmente la Ley Núm. 90-2026, entendemos que el texto de la medida resulta esencialmente idéntico al aprobado y promulgado por el Senado de Puerto Rico en el P. del S. 770. Por tanto, no añade valor normativo adicional, ni introduce cambios sutanciales que justifiquen su consideración como legislación independiente.  </w:t>
      </w:r>
    </w:p>
    <w:p w14:paraId="2841EF18" w14:textId="77777777" w:rsidR="004A4E99" w:rsidRPr="00CB1979" w:rsidRDefault="004A4E99" w:rsidP="00EC3642">
      <w:pPr>
        <w:spacing w:after="0" w:line="276" w:lineRule="auto"/>
        <w:jc w:val="both"/>
        <w:rPr>
          <w:rFonts w:ascii="Book Antiqua" w:eastAsia="Times New Roman" w:hAnsi="Book Antiqua" w:cs="Times New Roman"/>
          <w:kern w:val="0"/>
          <w:lang w:val="es-ES_tradnl"/>
          <w14:ligatures w14:val="none"/>
        </w:rPr>
      </w:pPr>
    </w:p>
    <w:p w14:paraId="6D3F4264" w14:textId="7B51B0DB" w:rsidR="00A54AF0" w:rsidRPr="00CB1979" w:rsidRDefault="00647DED"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 xml:space="preserve">PONENCIAS O </w:t>
      </w:r>
      <w:r w:rsidR="00A54AF0" w:rsidRPr="00CB1979">
        <w:rPr>
          <w:rFonts w:ascii="Book Antiqua" w:eastAsia="Times New Roman" w:hAnsi="Book Antiqua" w:cs="Times New Roman"/>
          <w:b/>
          <w:kern w:val="0"/>
          <w14:ligatures w14:val="none"/>
        </w:rPr>
        <w:t>MEMORIALES RECIBID</w:t>
      </w:r>
      <w:r w:rsidRPr="00CB1979">
        <w:rPr>
          <w:rFonts w:ascii="Book Antiqua" w:eastAsia="Times New Roman" w:hAnsi="Book Antiqua" w:cs="Times New Roman"/>
          <w:b/>
          <w:kern w:val="0"/>
          <w14:ligatures w14:val="none"/>
        </w:rPr>
        <w:t>O</w:t>
      </w:r>
      <w:r w:rsidR="00A54AF0" w:rsidRPr="00CB1979">
        <w:rPr>
          <w:rFonts w:ascii="Book Antiqua" w:eastAsia="Times New Roman" w:hAnsi="Book Antiqua" w:cs="Times New Roman"/>
          <w:b/>
          <w:kern w:val="0"/>
          <w14:ligatures w14:val="none"/>
        </w:rPr>
        <w:t>S</w:t>
      </w:r>
    </w:p>
    <w:p w14:paraId="2EE2EDEA"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Pr="00CB1979" w:rsidRDefault="00A54AF0" w:rsidP="00E363B5">
      <w:pPr>
        <w:numPr>
          <w:ilvl w:val="0"/>
          <w:numId w:val="2"/>
        </w:numPr>
        <w:spacing w:after="200" w:line="480" w:lineRule="auto"/>
        <w:ind w:left="360"/>
        <w:contextualSpacing/>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Memoriales Explicativos</w:t>
      </w:r>
    </w:p>
    <w:p w14:paraId="1F795497" w14:textId="74DB19ED" w:rsidR="0078577E" w:rsidRPr="00E363B5" w:rsidRDefault="00E363B5" w:rsidP="00E363B5">
      <w:pPr>
        <w:spacing w:after="200" w:line="276" w:lineRule="auto"/>
        <w:ind w:left="360" w:firstLine="360"/>
        <w:contextualSpacing/>
        <w:rPr>
          <w:rFonts w:ascii="Book Antiqua" w:eastAsia="Times New Roman" w:hAnsi="Book Antiqua" w:cs="Times New Roman"/>
          <w:bCs/>
          <w:kern w:val="0"/>
          <w14:ligatures w14:val="none"/>
        </w:rPr>
      </w:pPr>
      <w:r w:rsidRPr="00E363B5">
        <w:rPr>
          <w:rFonts w:ascii="Book Antiqua" w:eastAsia="Times New Roman" w:hAnsi="Book Antiqua" w:cs="Times New Roman"/>
          <w:kern w:val="0"/>
          <w14:ligatures w14:val="none"/>
        </w:rPr>
        <w:t xml:space="preserve">La CRED recibió los memoriales de las siguientes entidades: </w:t>
      </w:r>
      <w:r w:rsidR="00F523E4" w:rsidRPr="00E363B5">
        <w:rPr>
          <w:rFonts w:ascii="Book Antiqua" w:eastAsia="Times New Roman" w:hAnsi="Book Antiqua" w:cs="Times New Roman"/>
          <w:kern w:val="0"/>
          <w14:ligatures w14:val="none"/>
        </w:rPr>
        <w:t>Instituto de Cultura Puertorriqueña</w:t>
      </w:r>
      <w:r w:rsidRPr="00E363B5">
        <w:rPr>
          <w:rFonts w:ascii="Book Antiqua" w:eastAsia="Times New Roman" w:hAnsi="Book Antiqua" w:cs="Times New Roman"/>
          <w:bCs/>
          <w:kern w:val="0"/>
          <w14:ligatures w14:val="none"/>
        </w:rPr>
        <w:t xml:space="preserve"> y el </w:t>
      </w:r>
      <w:r w:rsidR="00F523E4" w:rsidRPr="00E363B5">
        <w:rPr>
          <w:rFonts w:ascii="Book Antiqua" w:eastAsia="Times New Roman" w:hAnsi="Book Antiqua" w:cs="Times New Roman"/>
          <w:bCs/>
          <w:kern w:val="0"/>
          <w14:ligatures w14:val="none"/>
        </w:rPr>
        <w:t>Municipio de Arroyo</w:t>
      </w:r>
      <w:bookmarkStart w:id="0" w:name="_Hlk191473974"/>
    </w:p>
    <w:p w14:paraId="2B9E4C04" w14:textId="690E9978" w:rsidR="006B79E0" w:rsidRPr="00CB1979"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Informes</w:t>
      </w:r>
    </w:p>
    <w:p w14:paraId="0A1EF1C4" w14:textId="1D98D19A" w:rsidR="00884D33" w:rsidRDefault="00E363B5" w:rsidP="00E363B5">
      <w:pPr>
        <w:spacing w:after="200" w:line="360" w:lineRule="auto"/>
        <w:ind w:firstLine="720"/>
        <w:jc w:val="both"/>
        <w:rPr>
          <w:rFonts w:ascii="Book Antiqua" w:eastAsia="Times New Roman" w:hAnsi="Book Antiqua" w:cs="Times New Roman"/>
          <w:bCs/>
          <w:kern w:val="0"/>
          <w14:ligatures w14:val="none"/>
        </w:rPr>
      </w:pPr>
      <w:r w:rsidRPr="00E363B5">
        <w:rPr>
          <w:rFonts w:ascii="Book Antiqua" w:eastAsia="Times New Roman" w:hAnsi="Book Antiqua" w:cs="Times New Roman"/>
          <w:bCs/>
          <w:kern w:val="0"/>
          <w14:ligatures w14:val="none"/>
        </w:rPr>
        <w:t xml:space="preserve">La CRED recibió el informe de la </w:t>
      </w:r>
      <w:r w:rsidR="006B79E0" w:rsidRPr="00E363B5">
        <w:rPr>
          <w:rFonts w:ascii="Book Antiqua" w:eastAsia="Times New Roman" w:hAnsi="Book Antiqua" w:cs="Times New Roman"/>
          <w:bCs/>
          <w:kern w:val="0"/>
          <w14:ligatures w14:val="none"/>
        </w:rPr>
        <w:t>Oficina de Presupuesto de la Asamblea Legislativa (OPAL)</w:t>
      </w:r>
    </w:p>
    <w:p w14:paraId="1A069392" w14:textId="77777777" w:rsidR="00E363B5" w:rsidRPr="00CB1979" w:rsidRDefault="00E363B5" w:rsidP="00E363B5">
      <w:pPr>
        <w:spacing w:after="200" w:line="360" w:lineRule="auto"/>
        <w:ind w:firstLine="720"/>
        <w:jc w:val="both"/>
        <w:rPr>
          <w:rFonts w:ascii="Book Antiqua" w:eastAsia="Times New Roman" w:hAnsi="Book Antiqua" w:cs="Times New Roman"/>
          <w:bCs/>
          <w:kern w:val="0"/>
          <w14:ligatures w14:val="none"/>
        </w:rPr>
      </w:pPr>
    </w:p>
    <w:bookmarkEnd w:id="0"/>
    <w:p w14:paraId="1FB3A56A" w14:textId="068DD491"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 PÚBLICA</w:t>
      </w:r>
    </w:p>
    <w:p w14:paraId="523D9D94"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41BB334A" w14:textId="515BCB31" w:rsidR="00A54AF0" w:rsidRPr="00CB1979" w:rsidRDefault="00A54AF0" w:rsidP="009D7DC8">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Esta Comisión decidió no realizar Vistas Públicas, toda vez que la información proporcionada por las entidades </w:t>
      </w:r>
      <w:r w:rsidR="00433876" w:rsidRPr="00CB1979">
        <w:rPr>
          <w:rFonts w:ascii="Book Antiqua" w:eastAsia="Times New Roman" w:hAnsi="Book Antiqua" w:cs="Times New Roman"/>
          <w:kern w:val="0"/>
          <w14:ligatures w14:val="none"/>
        </w:rPr>
        <w:t>que remitieron Memoriales Explicativos</w:t>
      </w:r>
      <w:r w:rsidRPr="00CB1979">
        <w:rPr>
          <w:rFonts w:ascii="Book Antiqua" w:eastAsia="Times New Roman" w:hAnsi="Book Antiqua" w:cs="Times New Roman"/>
          <w:kern w:val="0"/>
          <w14:ligatures w14:val="none"/>
        </w:rPr>
        <w:t xml:space="preserve"> resultó suficiente para ponderar el alcance del proyecto de ley, aprovechando y utilizando así los recursos del Gobierno de Puerto Rico, y en particular la Asamblea Legislativa, de la manera más eficiente y costo-efectiva posible. </w:t>
      </w:r>
    </w:p>
    <w:p w14:paraId="4C745D19" w14:textId="77777777" w:rsidR="00A54AF0" w:rsidRPr="00CB1979" w:rsidRDefault="00A54AF0" w:rsidP="00A54AF0">
      <w:pPr>
        <w:spacing w:after="0" w:line="276" w:lineRule="auto"/>
        <w:jc w:val="both"/>
        <w:rPr>
          <w:rFonts w:ascii="Book Antiqua" w:eastAsia="Times New Roman" w:hAnsi="Book Antiqua" w:cs="Times New Roman"/>
          <w:kern w:val="0"/>
          <w14:ligatures w14:val="none"/>
        </w:rPr>
      </w:pPr>
    </w:p>
    <w:p w14:paraId="69BBB4F1" w14:textId="6FC7FE81"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IMPACTO ECONÓMICO</w:t>
      </w:r>
    </w:p>
    <w:p w14:paraId="2DED5907" w14:textId="77777777"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p>
    <w:p w14:paraId="74C7D11E" w14:textId="55FCA059" w:rsidR="007703AC" w:rsidRPr="00CB1979" w:rsidRDefault="00CF6184" w:rsidP="00D03212">
      <w:pPr>
        <w:spacing w:after="0" w:line="360" w:lineRule="auto"/>
        <w:jc w:val="both"/>
        <w:rPr>
          <w:rFonts w:ascii="Book Antiqua" w:eastAsia="Times New Roman" w:hAnsi="Book Antiqua" w:cs="Times New Roman"/>
          <w:bCs/>
          <w:kern w:val="0"/>
          <w14:ligatures w14:val="none"/>
        </w:rPr>
      </w:pPr>
      <w:r w:rsidRPr="00CB1979">
        <w:rPr>
          <w:rFonts w:ascii="Book Antiqua" w:eastAsia="Times New Roman" w:hAnsi="Book Antiqua" w:cs="Times New Roman"/>
          <w:kern w:val="0"/>
          <w14:ligatures w14:val="none"/>
        </w:rPr>
        <w:tab/>
      </w:r>
      <w:r w:rsidR="007703AC" w:rsidRPr="00CB1979">
        <w:rPr>
          <w:rFonts w:ascii="Book Antiqua" w:eastAsia="Times New Roman" w:hAnsi="Book Antiqua" w:cs="Times New Roman"/>
          <w:bCs/>
          <w:kern w:val="0"/>
          <w14:ligatures w14:val="none"/>
        </w:rPr>
        <w:t xml:space="preserve"> </w:t>
      </w:r>
      <w:r w:rsidR="008E59D2" w:rsidRPr="00CB1979">
        <w:rPr>
          <w:rFonts w:ascii="Book Antiqua" w:eastAsia="Times New Roman" w:hAnsi="Book Antiqua" w:cs="Times New Roman"/>
          <w:bCs/>
          <w:kern w:val="0"/>
          <w14:ligatures w14:val="none"/>
        </w:rPr>
        <w:t>De conformidad con el análisis provisto por la OPAL, la medida no tendr</w:t>
      </w:r>
      <w:r w:rsidR="00B40114">
        <w:rPr>
          <w:rFonts w:ascii="Book Antiqua" w:eastAsia="Times New Roman" w:hAnsi="Book Antiqua" w:cs="Times New Roman"/>
          <w:bCs/>
          <w:kern w:val="0"/>
          <w14:ligatures w14:val="none"/>
        </w:rPr>
        <w:t>ía</w:t>
      </w:r>
      <w:r w:rsidR="008E59D2" w:rsidRPr="00CB1979">
        <w:rPr>
          <w:rFonts w:ascii="Book Antiqua" w:eastAsia="Times New Roman" w:hAnsi="Book Antiqua" w:cs="Times New Roman"/>
          <w:bCs/>
          <w:kern w:val="0"/>
          <w14:ligatures w14:val="none"/>
        </w:rPr>
        <w:t xml:space="preserve"> un impacto económico adverso en las finanzas públicas, y municipales. </w:t>
      </w:r>
      <w:r w:rsidR="008E59D2" w:rsidRPr="00CB1979">
        <w:rPr>
          <w:rStyle w:val="FootnoteReference"/>
          <w:rFonts w:ascii="Book Antiqua" w:eastAsia="Times New Roman" w:hAnsi="Book Antiqua"/>
          <w:bCs/>
          <w:kern w:val="0"/>
          <w14:ligatures w14:val="none"/>
        </w:rPr>
        <w:footnoteReference w:id="4"/>
      </w:r>
    </w:p>
    <w:p w14:paraId="30C09981" w14:textId="77777777" w:rsidR="00D03212" w:rsidRPr="00CB1979" w:rsidRDefault="00D03212" w:rsidP="00D03212">
      <w:pPr>
        <w:spacing w:after="0" w:line="360" w:lineRule="auto"/>
        <w:jc w:val="both"/>
        <w:rPr>
          <w:rFonts w:ascii="Book Antiqua" w:eastAsia="Times New Roman" w:hAnsi="Book Antiqua" w:cs="Times New Roman"/>
          <w:bCs/>
          <w:kern w:val="0"/>
          <w14:ligatures w14:val="none"/>
        </w:rPr>
      </w:pPr>
    </w:p>
    <w:p w14:paraId="27245D47" w14:textId="498F04A5"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ANÁLISIS DE LA MEDIDA</w:t>
      </w:r>
    </w:p>
    <w:p w14:paraId="115914DA" w14:textId="77777777" w:rsidR="006736F9" w:rsidRPr="00CB1979" w:rsidRDefault="006736F9" w:rsidP="006736F9">
      <w:pPr>
        <w:spacing w:after="0" w:line="240" w:lineRule="auto"/>
        <w:rPr>
          <w:rFonts w:ascii="Book Antiqua" w:eastAsia="Times New Roman" w:hAnsi="Book Antiqua" w:cs="Times New Roman"/>
          <w:b/>
          <w:kern w:val="0"/>
          <w14:ligatures w14:val="none"/>
        </w:rPr>
      </w:pPr>
    </w:p>
    <w:p w14:paraId="6AA413CC" w14:textId="549B53EE" w:rsidR="00A54AF0" w:rsidRPr="00A059B0" w:rsidRDefault="006736F9" w:rsidP="00A059B0">
      <w:pPr>
        <w:spacing w:line="360" w:lineRule="auto"/>
        <w:ind w:firstLine="708"/>
        <w:contextualSpacing/>
        <w:jc w:val="both"/>
        <w:rPr>
          <w:rFonts w:ascii="Book Antiqua" w:hAnsi="Book Antiqua"/>
          <w:lang w:val="es-ES"/>
        </w:rPr>
      </w:pPr>
      <w:r w:rsidRPr="00CB1979">
        <w:rPr>
          <w:rFonts w:ascii="Book Antiqua" w:eastAsia="Times New Roman" w:hAnsi="Book Antiqua" w:cs="Times New Roman"/>
          <w:b/>
          <w:kern w:val="0"/>
          <w14:ligatures w14:val="none"/>
        </w:rPr>
        <w:tab/>
      </w:r>
      <w:r w:rsidR="00862A5F" w:rsidRPr="00CB1979">
        <w:rPr>
          <w:rFonts w:ascii="Book Antiqua" w:hAnsi="Book Antiqua"/>
          <w:lang w:val="es-ES_tradnl"/>
        </w:rPr>
        <w:t xml:space="preserve"> </w:t>
      </w:r>
      <w:r w:rsidR="00B40114" w:rsidRPr="00663441">
        <w:rPr>
          <w:rFonts w:ascii="Book Antiqua" w:hAnsi="Book Antiqua"/>
          <w:lang w:val="es-ES"/>
        </w:rPr>
        <w:t xml:space="preserve">Atendiendo su responsabilidad y deber ministerial en el estudio y evaluación del presente </w:t>
      </w:r>
      <w:r w:rsidR="00B40114">
        <w:rPr>
          <w:rFonts w:ascii="Book Antiqua" w:hAnsi="Book Antiqua"/>
          <w:lang w:val="es-ES"/>
        </w:rPr>
        <w:t>Proyecto</w:t>
      </w:r>
      <w:r w:rsidR="00B40114" w:rsidRPr="00663441">
        <w:rPr>
          <w:rFonts w:ascii="Book Antiqua" w:hAnsi="Book Antiqua"/>
          <w:lang w:val="es-ES"/>
        </w:rPr>
        <w:t xml:space="preserve">, </w:t>
      </w:r>
      <w:r w:rsidR="00B40114">
        <w:rPr>
          <w:rFonts w:ascii="Book Antiqua" w:hAnsi="Book Antiqua"/>
          <w:lang w:val="es-ES"/>
        </w:rPr>
        <w:t>la CRED analizó y comparó el proyecto con legislación vigente, y concluyó que lo propuesto en el Proyecto de la Cámara 916 está incluido dentro de la Ley 90-2026.</w:t>
      </w:r>
      <w:r w:rsidR="00A059B0">
        <w:rPr>
          <w:rFonts w:ascii="Book Antiqua" w:hAnsi="Book Antiqua"/>
          <w:lang w:val="es-ES"/>
        </w:rPr>
        <w:t xml:space="preserve">                                                </w:t>
      </w:r>
      <w:r w:rsidR="00A54AF0" w:rsidRPr="00CB1979">
        <w:rPr>
          <w:rFonts w:ascii="Book Antiqua" w:eastAsia="Times New Roman" w:hAnsi="Book Antiqua" w:cs="Times New Roman"/>
          <w:b/>
          <w:bCs/>
          <w:spacing w:val="-3"/>
          <w:kern w:val="0"/>
          <w:lang w:val="es-ES" w:eastAsia="x-none"/>
          <w14:ligatures w14:val="none"/>
        </w:rPr>
        <w:t>CONCLUSIÓN</w:t>
      </w:r>
    </w:p>
    <w:p w14:paraId="339877AA"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7B338694" w14:textId="48997203" w:rsidR="00A54AF0" w:rsidRPr="00CB1979" w:rsidRDefault="00A54AF0" w:rsidP="00D03212">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Por los fundamentos antes expuestos, 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somete el presente </w:t>
      </w:r>
      <w:r w:rsidRPr="00CB1979">
        <w:rPr>
          <w:rFonts w:ascii="Book Antiqua" w:eastAsia="Times New Roman" w:hAnsi="Book Antiqua" w:cs="Times New Roman"/>
          <w:b/>
          <w:bCs/>
          <w:kern w:val="0"/>
          <w:u w:val="single"/>
          <w14:ligatures w14:val="none"/>
        </w:rPr>
        <w:t xml:space="preserve">Informe </w:t>
      </w:r>
      <w:r w:rsidR="00B40114">
        <w:rPr>
          <w:rFonts w:ascii="Book Antiqua" w:eastAsia="Times New Roman" w:hAnsi="Book Antiqua" w:cs="Times New Roman"/>
          <w:b/>
          <w:bCs/>
          <w:kern w:val="0"/>
          <w:u w:val="single"/>
          <w14:ligatures w14:val="none"/>
        </w:rPr>
        <w:t>Negativo</w:t>
      </w:r>
      <w:r w:rsidRPr="00CB1979">
        <w:rPr>
          <w:rFonts w:ascii="Book Antiqua" w:eastAsia="Times New Roman" w:hAnsi="Book Antiqua" w:cs="Times New Roman"/>
          <w:kern w:val="0"/>
          <w14:ligatures w14:val="none"/>
        </w:rPr>
        <w:t xml:space="preserve"> en el que </w:t>
      </w:r>
      <w:r w:rsidRPr="00CB1979">
        <w:rPr>
          <w:rFonts w:ascii="Book Antiqua" w:eastAsia="Times New Roman" w:hAnsi="Book Antiqua" w:cs="Times New Roman"/>
          <w:kern w:val="0"/>
          <w:u w:val="single"/>
          <w14:ligatures w14:val="none"/>
        </w:rPr>
        <w:t>recomienda</w:t>
      </w:r>
      <w:r w:rsidRPr="00CB1979">
        <w:rPr>
          <w:rFonts w:ascii="Book Antiqua" w:eastAsia="Times New Roman" w:hAnsi="Book Antiqua" w:cs="Times New Roman"/>
          <w:kern w:val="0"/>
          <w14:ligatures w14:val="none"/>
        </w:rPr>
        <w:t xml:space="preserve"> a esta Cámara de Representantes que </w:t>
      </w:r>
      <w:r w:rsidR="00B40114" w:rsidRPr="00B40114">
        <w:rPr>
          <w:rFonts w:ascii="Book Antiqua" w:eastAsia="Times New Roman" w:hAnsi="Book Antiqua" w:cs="Times New Roman"/>
          <w:kern w:val="0"/>
          <w:u w:val="single"/>
          <w14:ligatures w14:val="none"/>
        </w:rPr>
        <w:t xml:space="preserve">no </w:t>
      </w:r>
      <w:r w:rsidRPr="00B40114">
        <w:rPr>
          <w:rFonts w:ascii="Book Antiqua" w:eastAsia="Times New Roman" w:hAnsi="Book Antiqua" w:cs="Times New Roman"/>
          <w:kern w:val="0"/>
          <w:u w:val="single"/>
          <w14:ligatures w14:val="none"/>
        </w:rPr>
        <w:t>apruebe</w:t>
      </w:r>
      <w:r w:rsidRPr="00CB1979">
        <w:rPr>
          <w:rFonts w:ascii="Book Antiqua" w:eastAsia="Times New Roman" w:hAnsi="Book Antiqua" w:cs="Times New Roman"/>
          <w:kern w:val="0"/>
          <w14:ligatures w14:val="none"/>
        </w:rPr>
        <w:t xml:space="preserve"> el </w:t>
      </w:r>
      <w:r w:rsidRPr="00CB1979">
        <w:rPr>
          <w:rFonts w:ascii="Book Antiqua" w:eastAsia="Times New Roman" w:hAnsi="Book Antiqua" w:cs="Times New Roman"/>
          <w:b/>
          <w:bCs/>
          <w:kern w:val="0"/>
          <w14:ligatures w14:val="none"/>
        </w:rPr>
        <w:t xml:space="preserve">Proyecto de la Cámara </w:t>
      </w:r>
      <w:r w:rsidR="00D03212" w:rsidRPr="00CB1979">
        <w:rPr>
          <w:rFonts w:ascii="Book Antiqua" w:eastAsia="Times New Roman" w:hAnsi="Book Antiqua" w:cs="Times New Roman"/>
          <w:b/>
          <w:bCs/>
          <w:kern w:val="0"/>
          <w14:ligatures w14:val="none"/>
        </w:rPr>
        <w:t>916</w:t>
      </w:r>
      <w:r w:rsidR="00AB0792">
        <w:rPr>
          <w:rFonts w:ascii="Book Antiqua" w:eastAsia="Times New Roman" w:hAnsi="Book Antiqua" w:cs="Times New Roman"/>
          <w:b/>
          <w:bCs/>
          <w:kern w:val="0"/>
          <w14:ligatures w14:val="none"/>
        </w:rPr>
        <w:t xml:space="preserve"> (A-079)</w:t>
      </w:r>
      <w:r w:rsidR="00B40114">
        <w:rPr>
          <w:rFonts w:ascii="Book Antiqua" w:eastAsia="Times New Roman" w:hAnsi="Book Antiqua" w:cs="Times New Roman"/>
          <w:kern w:val="0"/>
          <w14:ligatures w14:val="none"/>
        </w:rPr>
        <w:t xml:space="preserve">. </w:t>
      </w:r>
    </w:p>
    <w:p w14:paraId="02BEC319"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CB1979" w:rsidRDefault="00A54AF0" w:rsidP="00AC29DB">
      <w:pPr>
        <w:spacing w:after="0" w:line="240" w:lineRule="auto"/>
        <w:ind w:firstLine="720"/>
        <w:rPr>
          <w:rFonts w:ascii="Book Antiqua" w:eastAsia="Times New Roman" w:hAnsi="Book Antiqua" w:cs="Times New Roman"/>
          <w:kern w:val="0"/>
          <w:lang w:eastAsia="x-none"/>
          <w14:ligatures w14:val="none"/>
        </w:rPr>
      </w:pPr>
      <w:r w:rsidRPr="00CB1979">
        <w:rPr>
          <w:rFonts w:ascii="Book Antiqua" w:eastAsia="Times New Roman" w:hAnsi="Book Antiqua" w:cs="Times New Roman"/>
          <w:kern w:val="0"/>
          <w:lang w:eastAsia="x-none"/>
          <w14:ligatures w14:val="none"/>
        </w:rPr>
        <w:t>Respetuosamente sometido,</w:t>
      </w:r>
    </w:p>
    <w:p w14:paraId="615F6C7E"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2B509771"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5AE1325A" w14:textId="24D21A88" w:rsidR="00A54AF0" w:rsidRPr="00CB1979"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CB1979">
        <w:rPr>
          <w:rFonts w:ascii="Book Antiqua" w:eastAsia="Times New Roman" w:hAnsi="Book Antiqua" w:cs="Times New Roman"/>
          <w:b/>
          <w:bCs/>
          <w:kern w:val="0"/>
          <w:sz w:val="22"/>
          <w:szCs w:val="22"/>
          <w:lang w:eastAsia="x-none"/>
          <w14:ligatures w14:val="none"/>
        </w:rPr>
        <w:t>Hon. Ángel A. Morey Noble</w:t>
      </w:r>
      <w:r w:rsidRPr="00CB1979">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CB1979"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CB1979">
        <w:rPr>
          <w:rFonts w:ascii="Book Antiqua" w:eastAsia="Times New Roman" w:hAnsi="Book Antiqua" w:cs="Times New Roman"/>
          <w:i/>
          <w:iCs/>
          <w:kern w:val="0"/>
          <w:sz w:val="22"/>
          <w:szCs w:val="22"/>
          <w:lang w:eastAsia="x-none"/>
          <w14:ligatures w14:val="none"/>
        </w:rPr>
        <w:t>Presidente</w:t>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p>
    <w:p w14:paraId="60E9B1BB" w14:textId="047D4680" w:rsidR="00A54AF0" w:rsidRPr="00CB1979"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CB1979">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CB19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9FF59" w14:textId="77777777" w:rsidR="00D3544D" w:rsidRDefault="00D3544D" w:rsidP="00A54AF0">
      <w:pPr>
        <w:spacing w:after="0" w:line="240" w:lineRule="auto"/>
      </w:pPr>
      <w:r>
        <w:separator/>
      </w:r>
    </w:p>
  </w:endnote>
  <w:endnote w:type="continuationSeparator" w:id="0">
    <w:p w14:paraId="61A1D16E" w14:textId="77777777" w:rsidR="00D3544D" w:rsidRDefault="00D3544D"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7FEA8" w14:textId="77777777" w:rsidR="00D3544D" w:rsidRDefault="00D3544D" w:rsidP="00A54AF0">
      <w:pPr>
        <w:spacing w:after="0" w:line="240" w:lineRule="auto"/>
      </w:pPr>
      <w:r>
        <w:separator/>
      </w:r>
    </w:p>
  </w:footnote>
  <w:footnote w:type="continuationSeparator" w:id="0">
    <w:p w14:paraId="04E5FD03" w14:textId="77777777" w:rsidR="00D3544D" w:rsidRDefault="00D3544D" w:rsidP="00A54AF0">
      <w:pPr>
        <w:spacing w:after="0" w:line="240" w:lineRule="auto"/>
      </w:pPr>
      <w:r>
        <w:continuationSeparator/>
      </w:r>
    </w:p>
  </w:footnote>
  <w:footnote w:id="1">
    <w:p w14:paraId="4FF7E9E3" w14:textId="44CC1A1E" w:rsidR="007908EA" w:rsidRPr="007908EA" w:rsidRDefault="007908EA" w:rsidP="007908EA">
      <w:pPr>
        <w:pStyle w:val="FootnoteText"/>
        <w:ind w:left="720" w:hanging="720"/>
        <w:jc w:val="both"/>
        <w:rPr>
          <w:rFonts w:ascii="Book Antiqua" w:hAnsi="Book Antiqua"/>
        </w:rPr>
      </w:pPr>
      <w:r w:rsidRPr="007908EA">
        <w:rPr>
          <w:rStyle w:val="FootnoteReference"/>
          <w:rFonts w:ascii="Book Antiqua" w:hAnsi="Book Antiqua"/>
        </w:rPr>
        <w:footnoteRef/>
      </w:r>
      <w:r w:rsidRPr="007908EA">
        <w:rPr>
          <w:rFonts w:ascii="Book Antiqua" w:hAnsi="Book Antiqua"/>
        </w:rPr>
        <w:t xml:space="preserve"> </w:t>
      </w:r>
      <w:r w:rsidRPr="007908EA">
        <w:rPr>
          <w:rFonts w:ascii="Book Antiqua" w:hAnsi="Book Antiqua"/>
        </w:rPr>
        <w:tab/>
        <w:t>Ley Núm. 212-214, conocida como</w:t>
      </w:r>
      <w:r w:rsidR="00AB7D4B">
        <w:rPr>
          <w:rFonts w:ascii="Book Antiqua" w:hAnsi="Book Antiqua"/>
        </w:rPr>
        <w:t xml:space="preserve"> </w:t>
      </w:r>
      <w:r w:rsidRPr="00AB7D4B">
        <w:rPr>
          <w:rFonts w:ascii="Book Antiqua" w:hAnsi="Book Antiqua"/>
          <w:i/>
          <w:iCs/>
        </w:rPr>
        <w:t>Ley de Desarrollo y Preservación del Tren de Arroyo</w:t>
      </w:r>
      <w:r w:rsidRPr="007908EA">
        <w:rPr>
          <w:rFonts w:ascii="Book Antiqua" w:hAnsi="Book Antiqua"/>
        </w:rPr>
        <w:t>, 23 LPRA secs. 7511-7516.</w:t>
      </w:r>
    </w:p>
  </w:footnote>
  <w:footnote w:id="2">
    <w:p w14:paraId="1FEDD73F" w14:textId="33050CDA" w:rsidR="00E363B5" w:rsidRPr="00083DB6" w:rsidRDefault="00E363B5" w:rsidP="00E363B5">
      <w:pPr>
        <w:pStyle w:val="FootnoteText"/>
        <w:ind w:left="720" w:hanging="720"/>
        <w:jc w:val="both"/>
        <w:rPr>
          <w:rFonts w:ascii="Book Antiqua" w:hAnsi="Book Antiqua"/>
        </w:rPr>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t>P. de la C. 916, Vigésima Asamblea Legislativa,</w:t>
      </w:r>
      <w:r w:rsidR="00F013C1">
        <w:rPr>
          <w:rFonts w:ascii="Book Antiqua" w:hAnsi="Book Antiqua"/>
        </w:rPr>
        <w:t xml:space="preserve"> Segunda Sesión Ordinaria,</w:t>
      </w:r>
      <w:r w:rsidRPr="00083DB6">
        <w:rPr>
          <w:rFonts w:ascii="Book Antiqua" w:hAnsi="Book Antiqua"/>
        </w:rPr>
        <w:t xml:space="preserve"> pág. 1 (2025).</w:t>
      </w:r>
    </w:p>
  </w:footnote>
  <w:footnote w:id="3">
    <w:p w14:paraId="02675C83" w14:textId="77777777" w:rsidR="00E363B5" w:rsidRPr="00083DB6" w:rsidRDefault="00E363B5" w:rsidP="00E363B5">
      <w:pPr>
        <w:pStyle w:val="FootnoteText"/>
        <w:ind w:left="720" w:hanging="720"/>
        <w:jc w:val="both"/>
        <w:rPr>
          <w:rFonts w:ascii="Book Antiqua" w:hAnsi="Book Antiqua"/>
        </w:rPr>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r>
      <w:r w:rsidRPr="00EC3642">
        <w:rPr>
          <w:rFonts w:ascii="Book Antiqua" w:hAnsi="Book Antiqua"/>
          <w:i/>
          <w:iCs/>
        </w:rPr>
        <w:t>Íd</w:t>
      </w:r>
      <w:r>
        <w:rPr>
          <w:rFonts w:ascii="Book Antiqua" w:hAnsi="Book Antiqua"/>
        </w:rPr>
        <w:t>.</w:t>
      </w:r>
      <w:r w:rsidRPr="00083DB6">
        <w:rPr>
          <w:rFonts w:ascii="Book Antiqua" w:hAnsi="Book Antiqua"/>
        </w:rPr>
        <w:t>, pág. 2.</w:t>
      </w:r>
    </w:p>
  </w:footnote>
  <w:footnote w:id="4">
    <w:p w14:paraId="4AF72E61" w14:textId="7B6029DA" w:rsidR="008E59D2" w:rsidRPr="008E59D2" w:rsidRDefault="008E59D2" w:rsidP="00E56A03">
      <w:pPr>
        <w:pStyle w:val="FootnoteText"/>
        <w:ind w:left="720" w:hanging="720"/>
      </w:pPr>
      <w:r>
        <w:rPr>
          <w:rStyle w:val="FootnoteReference"/>
        </w:rPr>
        <w:footnoteRef/>
      </w:r>
      <w:r>
        <w:t xml:space="preserve"> </w:t>
      </w:r>
      <w:r w:rsidRPr="008E59D2">
        <w:tab/>
      </w:r>
      <w:r>
        <w:rPr>
          <w:rFonts w:ascii="Book Antiqua" w:hAnsi="Book Antiqua" w:cs="Times New Roman"/>
        </w:rPr>
        <w:t xml:space="preserve"> </w:t>
      </w:r>
      <w:r w:rsidR="00E56A03">
        <w:rPr>
          <w:rFonts w:ascii="Book Antiqua" w:hAnsi="Book Antiqua" w:cs="Times New Roman"/>
        </w:rPr>
        <w:t>Oficina de Presupuesto de la Asamblea Kegislativa</w:t>
      </w:r>
      <w:r w:rsidR="00D03212" w:rsidRPr="00D03212">
        <w:rPr>
          <w:rFonts w:ascii="Book Antiqua" w:hAnsi="Book Antiqua" w:cs="Times New Roman"/>
        </w:rPr>
        <w:t>,</w:t>
      </w:r>
      <w:r w:rsidR="00D03212">
        <w:rPr>
          <w:rFonts w:ascii="Book Antiqua" w:hAnsi="Book Antiqua" w:cs="Times New Roman"/>
        </w:rPr>
        <w:t xml:space="preserve"> </w:t>
      </w:r>
      <w:r w:rsidR="00E56A03">
        <w:rPr>
          <w:rFonts w:ascii="Book Antiqua" w:hAnsi="Book Antiqua" w:cs="Times New Roman"/>
          <w:i/>
          <w:iCs/>
        </w:rPr>
        <w:t xml:space="preserve">Informe sobre el efecto fiscal del Proyecto de la Cámara 916, </w:t>
      </w:r>
      <w:r w:rsidR="00E56A03">
        <w:rPr>
          <w:rFonts w:ascii="Book Antiqua" w:hAnsi="Book Antiqua" w:cs="Times New Roman"/>
        </w:rPr>
        <w:t>Informe 2026-232,</w:t>
      </w:r>
      <w:r w:rsidR="00D03212">
        <w:rPr>
          <w:rFonts w:ascii="Book Antiqua" w:hAnsi="Book Antiqua" w:cs="Times New Roman"/>
        </w:rPr>
        <w:t xml:space="preserve"> </w:t>
      </w:r>
      <w:r w:rsidR="00D03212" w:rsidRPr="00D03212">
        <w:rPr>
          <w:rFonts w:ascii="Book Antiqua" w:hAnsi="Book Antiqua" w:cs="Times New Roman"/>
        </w:rPr>
        <w:t>pág</w:t>
      </w:r>
      <w:r w:rsidR="00D03212">
        <w:rPr>
          <w:rFonts w:ascii="Book Antiqua" w:hAnsi="Book Antiqua" w:cs="Times New Roman"/>
        </w:rPr>
        <w:t>s</w:t>
      </w:r>
      <w:r w:rsidR="00D03212" w:rsidRPr="00D03212">
        <w:rPr>
          <w:rFonts w:ascii="Book Antiqua" w:hAnsi="Book Antiqua" w:cs="Times New Roman"/>
        </w:rPr>
        <w:t xml:space="preserve">. </w:t>
      </w:r>
      <w:r w:rsidR="00D03212">
        <w:rPr>
          <w:rFonts w:ascii="Book Antiqua" w:hAnsi="Book Antiqua" w:cs="Times New Roman"/>
        </w:rPr>
        <w:t>2 y 4</w:t>
      </w:r>
      <w:r w:rsidR="00E56A03">
        <w:rPr>
          <w:rFonts w:ascii="Book Antiqua" w:hAnsi="Book Antiqua" w:cs="Times New Roman"/>
        </w:rPr>
        <w:t xml:space="preserve"> (octubre 2025).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0810"/>
    <w:multiLevelType w:val="hybridMultilevel"/>
    <w:tmpl w:val="11626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B54F6D"/>
    <w:multiLevelType w:val="hybridMultilevel"/>
    <w:tmpl w:val="76889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4"/>
  </w:num>
  <w:num w:numId="2" w16cid:durableId="1796752155">
    <w:abstractNumId w:val="3"/>
  </w:num>
  <w:num w:numId="3" w16cid:durableId="1833058163">
    <w:abstractNumId w:val="6"/>
  </w:num>
  <w:num w:numId="4" w16cid:durableId="151996382">
    <w:abstractNumId w:val="5"/>
  </w:num>
  <w:num w:numId="5" w16cid:durableId="1383552919">
    <w:abstractNumId w:val="2"/>
  </w:num>
  <w:num w:numId="6" w16cid:durableId="760948948">
    <w:abstractNumId w:val="1"/>
  </w:num>
  <w:num w:numId="7" w16cid:durableId="372921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145A3"/>
    <w:rsid w:val="00040D99"/>
    <w:rsid w:val="00047647"/>
    <w:rsid w:val="00053B4D"/>
    <w:rsid w:val="00055081"/>
    <w:rsid w:val="0006062E"/>
    <w:rsid w:val="00083DB6"/>
    <w:rsid w:val="00087E69"/>
    <w:rsid w:val="000A235C"/>
    <w:rsid w:val="000B275E"/>
    <w:rsid w:val="000C0ECB"/>
    <w:rsid w:val="000C5343"/>
    <w:rsid w:val="000E3027"/>
    <w:rsid w:val="00121035"/>
    <w:rsid w:val="00130008"/>
    <w:rsid w:val="0013170B"/>
    <w:rsid w:val="0014295A"/>
    <w:rsid w:val="00155FF4"/>
    <w:rsid w:val="001578CC"/>
    <w:rsid w:val="00184D12"/>
    <w:rsid w:val="001B0795"/>
    <w:rsid w:val="001B1548"/>
    <w:rsid w:val="001B4EAF"/>
    <w:rsid w:val="001D0744"/>
    <w:rsid w:val="001F12B4"/>
    <w:rsid w:val="001F5CAD"/>
    <w:rsid w:val="0020165B"/>
    <w:rsid w:val="00247570"/>
    <w:rsid w:val="002554B3"/>
    <w:rsid w:val="002753B7"/>
    <w:rsid w:val="002928F0"/>
    <w:rsid w:val="002B5A25"/>
    <w:rsid w:val="002C132D"/>
    <w:rsid w:val="002D3140"/>
    <w:rsid w:val="002D578F"/>
    <w:rsid w:val="00304481"/>
    <w:rsid w:val="00312586"/>
    <w:rsid w:val="00312DC8"/>
    <w:rsid w:val="0034567B"/>
    <w:rsid w:val="00352764"/>
    <w:rsid w:val="00392771"/>
    <w:rsid w:val="00394C77"/>
    <w:rsid w:val="003A73E0"/>
    <w:rsid w:val="003B622A"/>
    <w:rsid w:val="003C54BF"/>
    <w:rsid w:val="003D0453"/>
    <w:rsid w:val="00406F4D"/>
    <w:rsid w:val="00417087"/>
    <w:rsid w:val="004267E1"/>
    <w:rsid w:val="004316C7"/>
    <w:rsid w:val="00433876"/>
    <w:rsid w:val="00440A59"/>
    <w:rsid w:val="00445064"/>
    <w:rsid w:val="00485951"/>
    <w:rsid w:val="004A4E99"/>
    <w:rsid w:val="004A5647"/>
    <w:rsid w:val="004B2A29"/>
    <w:rsid w:val="004D0894"/>
    <w:rsid w:val="004D44C6"/>
    <w:rsid w:val="004E0F19"/>
    <w:rsid w:val="004E197E"/>
    <w:rsid w:val="00596031"/>
    <w:rsid w:val="005A2C60"/>
    <w:rsid w:val="005B7DE9"/>
    <w:rsid w:val="005C2470"/>
    <w:rsid w:val="005C6849"/>
    <w:rsid w:val="005E118E"/>
    <w:rsid w:val="0060366D"/>
    <w:rsid w:val="00647DED"/>
    <w:rsid w:val="006548AD"/>
    <w:rsid w:val="00663D4E"/>
    <w:rsid w:val="00667221"/>
    <w:rsid w:val="006736F9"/>
    <w:rsid w:val="00675DC7"/>
    <w:rsid w:val="00683501"/>
    <w:rsid w:val="006B79E0"/>
    <w:rsid w:val="006C6ADE"/>
    <w:rsid w:val="006F61CA"/>
    <w:rsid w:val="00702959"/>
    <w:rsid w:val="007119D0"/>
    <w:rsid w:val="00737B6A"/>
    <w:rsid w:val="0076518E"/>
    <w:rsid w:val="007703AC"/>
    <w:rsid w:val="0077572B"/>
    <w:rsid w:val="0078577E"/>
    <w:rsid w:val="007908EA"/>
    <w:rsid w:val="007A354B"/>
    <w:rsid w:val="007D7A61"/>
    <w:rsid w:val="007E23F0"/>
    <w:rsid w:val="007F1076"/>
    <w:rsid w:val="00804BB9"/>
    <w:rsid w:val="00845457"/>
    <w:rsid w:val="00860EC4"/>
    <w:rsid w:val="00862A5F"/>
    <w:rsid w:val="00884D33"/>
    <w:rsid w:val="00887245"/>
    <w:rsid w:val="008A26CD"/>
    <w:rsid w:val="008A4272"/>
    <w:rsid w:val="008A7707"/>
    <w:rsid w:val="008B2205"/>
    <w:rsid w:val="008C3B2E"/>
    <w:rsid w:val="008D7B18"/>
    <w:rsid w:val="008D7B2F"/>
    <w:rsid w:val="008E59D2"/>
    <w:rsid w:val="008F5773"/>
    <w:rsid w:val="008F6046"/>
    <w:rsid w:val="0091317D"/>
    <w:rsid w:val="009471DA"/>
    <w:rsid w:val="00947E8C"/>
    <w:rsid w:val="00950C35"/>
    <w:rsid w:val="00967CDA"/>
    <w:rsid w:val="009722AA"/>
    <w:rsid w:val="009735EC"/>
    <w:rsid w:val="0098281E"/>
    <w:rsid w:val="009A0011"/>
    <w:rsid w:val="009A0D1F"/>
    <w:rsid w:val="009B4196"/>
    <w:rsid w:val="009C5642"/>
    <w:rsid w:val="009D7122"/>
    <w:rsid w:val="009D76F2"/>
    <w:rsid w:val="009D7DC8"/>
    <w:rsid w:val="00A059B0"/>
    <w:rsid w:val="00A350FB"/>
    <w:rsid w:val="00A54AF0"/>
    <w:rsid w:val="00A5783E"/>
    <w:rsid w:val="00A7082D"/>
    <w:rsid w:val="00A82641"/>
    <w:rsid w:val="00A931F0"/>
    <w:rsid w:val="00A96E54"/>
    <w:rsid w:val="00AB0792"/>
    <w:rsid w:val="00AB7D4B"/>
    <w:rsid w:val="00AC04B8"/>
    <w:rsid w:val="00AC29DB"/>
    <w:rsid w:val="00AC6B4B"/>
    <w:rsid w:val="00AD79E9"/>
    <w:rsid w:val="00B07592"/>
    <w:rsid w:val="00B33B22"/>
    <w:rsid w:val="00B33F20"/>
    <w:rsid w:val="00B40114"/>
    <w:rsid w:val="00B44FB9"/>
    <w:rsid w:val="00B638D1"/>
    <w:rsid w:val="00B71591"/>
    <w:rsid w:val="00B87248"/>
    <w:rsid w:val="00BB3493"/>
    <w:rsid w:val="00BD214E"/>
    <w:rsid w:val="00C1455B"/>
    <w:rsid w:val="00C36EC1"/>
    <w:rsid w:val="00C75809"/>
    <w:rsid w:val="00CA12CB"/>
    <w:rsid w:val="00CB1979"/>
    <w:rsid w:val="00CE4CF6"/>
    <w:rsid w:val="00CF6184"/>
    <w:rsid w:val="00D02CDF"/>
    <w:rsid w:val="00D03212"/>
    <w:rsid w:val="00D11501"/>
    <w:rsid w:val="00D21B1F"/>
    <w:rsid w:val="00D3544D"/>
    <w:rsid w:val="00D36E37"/>
    <w:rsid w:val="00D6171B"/>
    <w:rsid w:val="00D6465F"/>
    <w:rsid w:val="00D92DD5"/>
    <w:rsid w:val="00DA35FB"/>
    <w:rsid w:val="00DD08D2"/>
    <w:rsid w:val="00DD76F7"/>
    <w:rsid w:val="00E31E91"/>
    <w:rsid w:val="00E363B5"/>
    <w:rsid w:val="00E53500"/>
    <w:rsid w:val="00E56A03"/>
    <w:rsid w:val="00E92C53"/>
    <w:rsid w:val="00E97F9B"/>
    <w:rsid w:val="00EC3642"/>
    <w:rsid w:val="00EE614E"/>
    <w:rsid w:val="00EE7EF2"/>
    <w:rsid w:val="00EF2D95"/>
    <w:rsid w:val="00F013C1"/>
    <w:rsid w:val="00F06CD1"/>
    <w:rsid w:val="00F0725D"/>
    <w:rsid w:val="00F36C67"/>
    <w:rsid w:val="00F523E4"/>
    <w:rsid w:val="00F751C1"/>
    <w:rsid w:val="00F96831"/>
    <w:rsid w:val="00FA7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iPriority w:val="99"/>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604</Words>
  <Characters>3444</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2026-06-15T02:40:00Z</cp:lastPrinted>
  <dcterms:created xsi:type="dcterms:W3CDTF">2026-06-16T13:53:00Z</dcterms:created>
  <dcterms:modified xsi:type="dcterms:W3CDTF">2026-06-16T13:53:00Z</dcterms:modified>
</cp:coreProperties>
</file>