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9C1A0" w14:textId="77777777" w:rsidR="009B0546" w:rsidRPr="005861FD" w:rsidRDefault="009B0546" w:rsidP="009B0546">
      <w:pPr>
        <w:jc w:val="center"/>
        <w:rPr>
          <w:rFonts w:ascii="Book Antiqua" w:hAnsi="Book Antiqua"/>
          <w:caps/>
          <w:sz w:val="28"/>
          <w:szCs w:val="28"/>
          <w:lang w:val="es-ES"/>
        </w:rPr>
      </w:pPr>
      <w:r w:rsidRPr="005861FD">
        <w:rPr>
          <w:rFonts w:ascii="Book Antiqua" w:hAnsi="Book Antiqua"/>
          <w:caps/>
          <w:sz w:val="28"/>
          <w:szCs w:val="28"/>
          <w:lang w:val="es-ES"/>
        </w:rPr>
        <w:t>GOBIERNO de Puerto Rico</w:t>
      </w:r>
    </w:p>
    <w:p w14:paraId="6CD5DBAF" w14:textId="77777777" w:rsidR="009B0546" w:rsidRPr="005861FD" w:rsidRDefault="009B0546" w:rsidP="009B0546">
      <w:pPr>
        <w:jc w:val="center"/>
        <w:rPr>
          <w:rFonts w:ascii="Book Antiqua" w:hAnsi="Book Antiqua"/>
          <w:caps/>
          <w:szCs w:val="24"/>
          <w:lang w:val="es-ES"/>
        </w:rPr>
      </w:pPr>
    </w:p>
    <w:p w14:paraId="6359AA21" w14:textId="63CFC7F4" w:rsidR="009B0546" w:rsidRPr="005861FD" w:rsidRDefault="00B16DDE" w:rsidP="009B0546">
      <w:pPr>
        <w:jc w:val="both"/>
        <w:rPr>
          <w:rFonts w:ascii="Book Antiqua" w:hAnsi="Book Antiqua"/>
          <w:szCs w:val="24"/>
          <w:lang w:val="es-ES"/>
        </w:rPr>
      </w:pPr>
      <w:r w:rsidRPr="005861FD">
        <w:rPr>
          <w:rFonts w:ascii="Book Antiqua" w:hAnsi="Book Antiqua"/>
          <w:szCs w:val="24"/>
          <w:lang w:val="es-ES"/>
        </w:rPr>
        <w:t>20m</w:t>
      </w:r>
      <w:r w:rsidR="009B0546" w:rsidRPr="005861FD">
        <w:rPr>
          <w:rFonts w:ascii="Book Antiqua" w:hAnsi="Book Antiqua"/>
          <w:szCs w:val="24"/>
          <w:lang w:val="es-ES"/>
        </w:rPr>
        <w:t>a. Asamblea</w:t>
      </w:r>
      <w:r w:rsidR="009B0546" w:rsidRPr="005861FD">
        <w:rPr>
          <w:rFonts w:ascii="Book Antiqua" w:hAnsi="Book Antiqua"/>
          <w:szCs w:val="24"/>
          <w:lang w:val="es-ES"/>
        </w:rPr>
        <w:tab/>
      </w:r>
      <w:r w:rsidR="009B0546" w:rsidRPr="005861FD">
        <w:rPr>
          <w:rFonts w:ascii="Book Antiqua" w:hAnsi="Book Antiqua"/>
          <w:szCs w:val="24"/>
          <w:lang w:val="es-ES"/>
        </w:rPr>
        <w:tab/>
      </w:r>
      <w:r w:rsidR="009B0546" w:rsidRPr="005861FD">
        <w:rPr>
          <w:rFonts w:ascii="Book Antiqua" w:hAnsi="Book Antiqua"/>
          <w:szCs w:val="24"/>
          <w:lang w:val="es-ES"/>
        </w:rPr>
        <w:tab/>
      </w:r>
      <w:r w:rsidR="009B0546" w:rsidRPr="005861FD">
        <w:rPr>
          <w:rFonts w:ascii="Book Antiqua" w:hAnsi="Book Antiqua"/>
          <w:szCs w:val="24"/>
          <w:lang w:val="es-ES"/>
        </w:rPr>
        <w:tab/>
      </w:r>
      <w:r w:rsidR="009B0546" w:rsidRPr="005861FD">
        <w:rPr>
          <w:rFonts w:ascii="Book Antiqua" w:hAnsi="Book Antiqua"/>
          <w:szCs w:val="24"/>
          <w:lang w:val="es-ES"/>
        </w:rPr>
        <w:tab/>
      </w:r>
      <w:r w:rsidR="009B0546" w:rsidRPr="005861FD">
        <w:rPr>
          <w:rFonts w:ascii="Book Antiqua" w:hAnsi="Book Antiqua"/>
          <w:szCs w:val="24"/>
          <w:lang w:val="es-ES"/>
        </w:rPr>
        <w:tab/>
      </w:r>
      <w:r w:rsidR="009B0546" w:rsidRPr="005861FD">
        <w:rPr>
          <w:rFonts w:ascii="Book Antiqua" w:hAnsi="Book Antiqua"/>
          <w:szCs w:val="24"/>
          <w:lang w:val="es-ES"/>
        </w:rPr>
        <w:tab/>
      </w:r>
      <w:r w:rsidR="009B0546" w:rsidRPr="005861FD">
        <w:rPr>
          <w:rFonts w:ascii="Book Antiqua" w:hAnsi="Book Antiqua"/>
          <w:szCs w:val="24"/>
          <w:lang w:val="es-ES"/>
        </w:rPr>
        <w:tab/>
        <w:t xml:space="preserve">           </w:t>
      </w:r>
      <w:r w:rsidR="00554309" w:rsidRPr="005861FD">
        <w:rPr>
          <w:rFonts w:ascii="Book Antiqua" w:hAnsi="Book Antiqua"/>
          <w:szCs w:val="24"/>
          <w:lang w:val="es-ES"/>
        </w:rPr>
        <w:t>2d</w:t>
      </w:r>
      <w:r w:rsidR="009B0546" w:rsidRPr="005861FD">
        <w:rPr>
          <w:rFonts w:ascii="Book Antiqua" w:hAnsi="Book Antiqua"/>
          <w:szCs w:val="24"/>
          <w:lang w:val="es-ES"/>
        </w:rPr>
        <w:t>a. Sesión</w:t>
      </w:r>
    </w:p>
    <w:p w14:paraId="01E0A103" w14:textId="77777777" w:rsidR="009B0546" w:rsidRPr="005861FD" w:rsidRDefault="009B0546" w:rsidP="009B0546">
      <w:pPr>
        <w:ind w:firstLine="561"/>
        <w:jc w:val="both"/>
        <w:rPr>
          <w:rFonts w:ascii="Book Antiqua" w:hAnsi="Book Antiqua"/>
          <w:szCs w:val="24"/>
          <w:lang w:val="es-ES"/>
        </w:rPr>
      </w:pPr>
      <w:r w:rsidRPr="005861FD">
        <w:rPr>
          <w:rFonts w:ascii="Book Antiqua" w:hAnsi="Book Antiqua"/>
          <w:szCs w:val="24"/>
          <w:lang w:val="es-ES"/>
        </w:rPr>
        <w:t xml:space="preserve"> Legislativa</w:t>
      </w:r>
      <w:r w:rsidRPr="005861FD">
        <w:rPr>
          <w:rFonts w:ascii="Book Antiqua" w:hAnsi="Book Antiqua"/>
          <w:szCs w:val="24"/>
          <w:lang w:val="es-ES"/>
        </w:rPr>
        <w:tab/>
      </w:r>
      <w:r w:rsidRPr="005861FD">
        <w:rPr>
          <w:rFonts w:ascii="Book Antiqua" w:hAnsi="Book Antiqua"/>
          <w:szCs w:val="24"/>
          <w:lang w:val="es-ES"/>
        </w:rPr>
        <w:tab/>
      </w:r>
      <w:r w:rsidRPr="005861FD">
        <w:rPr>
          <w:rFonts w:ascii="Book Antiqua" w:hAnsi="Book Antiqua"/>
          <w:szCs w:val="24"/>
          <w:lang w:val="es-ES"/>
        </w:rPr>
        <w:tab/>
      </w:r>
      <w:r w:rsidRPr="005861FD">
        <w:rPr>
          <w:rFonts w:ascii="Book Antiqua" w:hAnsi="Book Antiqua"/>
          <w:szCs w:val="24"/>
          <w:lang w:val="es-ES"/>
        </w:rPr>
        <w:tab/>
      </w:r>
      <w:r w:rsidRPr="005861FD">
        <w:rPr>
          <w:rFonts w:ascii="Book Antiqua" w:hAnsi="Book Antiqua"/>
          <w:szCs w:val="24"/>
          <w:lang w:val="es-ES"/>
        </w:rPr>
        <w:tab/>
      </w:r>
      <w:r w:rsidRPr="005861FD">
        <w:rPr>
          <w:rFonts w:ascii="Book Antiqua" w:hAnsi="Book Antiqua"/>
          <w:szCs w:val="24"/>
          <w:lang w:val="es-ES"/>
        </w:rPr>
        <w:tab/>
      </w:r>
      <w:r w:rsidRPr="005861FD">
        <w:rPr>
          <w:rFonts w:ascii="Book Antiqua" w:hAnsi="Book Antiqua"/>
          <w:szCs w:val="24"/>
          <w:lang w:val="es-ES"/>
        </w:rPr>
        <w:tab/>
      </w:r>
      <w:r w:rsidRPr="005861FD">
        <w:rPr>
          <w:rFonts w:ascii="Book Antiqua" w:hAnsi="Book Antiqua"/>
          <w:szCs w:val="24"/>
          <w:lang w:val="es-ES"/>
        </w:rPr>
        <w:tab/>
      </w:r>
      <w:r w:rsidRPr="005861FD">
        <w:rPr>
          <w:rFonts w:ascii="Book Antiqua" w:hAnsi="Book Antiqua"/>
          <w:szCs w:val="24"/>
          <w:lang w:val="es-ES"/>
        </w:rPr>
        <w:tab/>
        <w:t xml:space="preserve">      Ordinaria</w:t>
      </w:r>
    </w:p>
    <w:p w14:paraId="218DAE95" w14:textId="77777777" w:rsidR="009B0546" w:rsidRPr="005861FD" w:rsidRDefault="009B0546" w:rsidP="009B0546">
      <w:pPr>
        <w:ind w:firstLine="561"/>
        <w:jc w:val="both"/>
        <w:rPr>
          <w:rFonts w:ascii="Book Antiqua" w:hAnsi="Book Antiqua"/>
          <w:szCs w:val="24"/>
          <w:lang w:val="es-ES"/>
        </w:rPr>
      </w:pPr>
    </w:p>
    <w:p w14:paraId="536F5057" w14:textId="77777777" w:rsidR="009B0546" w:rsidRPr="005861FD" w:rsidRDefault="009B0546" w:rsidP="009B0546">
      <w:pPr>
        <w:jc w:val="center"/>
        <w:rPr>
          <w:rFonts w:ascii="Book Antiqua" w:hAnsi="Book Antiqua"/>
          <w:b/>
          <w:sz w:val="36"/>
          <w:szCs w:val="36"/>
          <w:lang w:val="es-ES"/>
        </w:rPr>
      </w:pPr>
      <w:r w:rsidRPr="005861FD">
        <w:rPr>
          <w:rFonts w:ascii="Book Antiqua" w:hAnsi="Book Antiqua"/>
          <w:b/>
          <w:caps/>
          <w:sz w:val="36"/>
          <w:szCs w:val="36"/>
          <w:lang w:val="es-ES"/>
        </w:rPr>
        <w:t>Cámara</w:t>
      </w:r>
      <w:r w:rsidRPr="005861FD">
        <w:rPr>
          <w:rFonts w:ascii="Book Antiqua" w:hAnsi="Book Antiqua"/>
          <w:b/>
          <w:sz w:val="36"/>
          <w:szCs w:val="36"/>
          <w:lang w:val="es-ES"/>
        </w:rPr>
        <w:t xml:space="preserve"> DE REPRESENTANTES</w:t>
      </w:r>
    </w:p>
    <w:p w14:paraId="7069EBA6" w14:textId="77777777" w:rsidR="009B0546" w:rsidRPr="005861FD" w:rsidRDefault="009B0546" w:rsidP="009B0546">
      <w:pPr>
        <w:jc w:val="center"/>
        <w:rPr>
          <w:rFonts w:ascii="Book Antiqua" w:hAnsi="Book Antiqua"/>
          <w:b/>
          <w:szCs w:val="24"/>
          <w:lang w:val="es-ES"/>
        </w:rPr>
      </w:pPr>
    </w:p>
    <w:p w14:paraId="2A823B8A" w14:textId="3E91B85F" w:rsidR="009B0546" w:rsidRPr="005861FD" w:rsidRDefault="00B16DDE" w:rsidP="009B0546">
      <w:pPr>
        <w:jc w:val="center"/>
        <w:rPr>
          <w:rFonts w:ascii="Book Antiqua" w:hAnsi="Book Antiqua"/>
          <w:b/>
          <w:szCs w:val="24"/>
          <w:lang w:val="es-ES"/>
        </w:rPr>
      </w:pPr>
      <w:r w:rsidRPr="005861FD">
        <w:rPr>
          <w:rFonts w:ascii="Book Antiqua" w:hAnsi="Book Antiqua"/>
          <w:b/>
          <w:sz w:val="52"/>
          <w:szCs w:val="52"/>
          <w:lang w:val="es-ES"/>
        </w:rPr>
        <w:t>R</w:t>
      </w:r>
      <w:r w:rsidR="009B0546" w:rsidRPr="005861FD">
        <w:rPr>
          <w:rFonts w:ascii="Book Antiqua" w:hAnsi="Book Antiqua"/>
          <w:b/>
          <w:sz w:val="52"/>
          <w:szCs w:val="52"/>
          <w:lang w:val="es-ES"/>
        </w:rPr>
        <w:t>.</w:t>
      </w:r>
      <w:r w:rsidRPr="005861FD">
        <w:rPr>
          <w:rFonts w:ascii="Book Antiqua" w:hAnsi="Book Antiqua"/>
          <w:b/>
          <w:sz w:val="52"/>
          <w:szCs w:val="52"/>
          <w:lang w:val="es-ES"/>
        </w:rPr>
        <w:t xml:space="preserve"> C.</w:t>
      </w:r>
      <w:r w:rsidR="009B0546" w:rsidRPr="005861FD">
        <w:rPr>
          <w:rFonts w:ascii="Book Antiqua" w:hAnsi="Book Antiqua"/>
          <w:b/>
          <w:sz w:val="52"/>
          <w:szCs w:val="52"/>
          <w:lang w:val="es-ES"/>
        </w:rPr>
        <w:t xml:space="preserve"> de la C. </w:t>
      </w:r>
      <w:r w:rsidR="00962A90">
        <w:rPr>
          <w:rFonts w:ascii="Book Antiqua" w:hAnsi="Book Antiqua"/>
          <w:b/>
          <w:sz w:val="52"/>
          <w:szCs w:val="52"/>
          <w:lang w:val="es-ES"/>
        </w:rPr>
        <w:t>222</w:t>
      </w:r>
    </w:p>
    <w:p w14:paraId="6132D6E7" w14:textId="77777777" w:rsidR="009B0546" w:rsidRPr="005861FD" w:rsidRDefault="009B0546" w:rsidP="009B0546">
      <w:pPr>
        <w:jc w:val="center"/>
        <w:rPr>
          <w:rFonts w:ascii="Book Antiqua" w:hAnsi="Book Antiqua" w:cs="Arial"/>
          <w:caps/>
          <w:szCs w:val="24"/>
          <w:lang w:val="es-ES"/>
        </w:rPr>
      </w:pPr>
    </w:p>
    <w:p w14:paraId="766B377A" w14:textId="3DBD7736" w:rsidR="009B0546" w:rsidRPr="005861FD" w:rsidRDefault="00962A90" w:rsidP="009B0546">
      <w:pPr>
        <w:jc w:val="center"/>
        <w:rPr>
          <w:rFonts w:ascii="Book Antiqua" w:hAnsi="Book Antiqua" w:cs="Arial"/>
          <w:caps/>
          <w:szCs w:val="24"/>
          <w:lang w:val="es-ES"/>
        </w:rPr>
      </w:pPr>
      <w:r>
        <w:rPr>
          <w:rFonts w:ascii="Book Antiqua" w:hAnsi="Book Antiqua" w:cs="Arial"/>
          <w:caps/>
          <w:szCs w:val="24"/>
          <w:lang w:val="es-ES"/>
        </w:rPr>
        <w:t>14</w:t>
      </w:r>
      <w:r w:rsidR="00705147" w:rsidRPr="005861FD">
        <w:rPr>
          <w:rFonts w:ascii="Book Antiqua" w:hAnsi="Book Antiqua" w:cs="Arial"/>
          <w:caps/>
          <w:szCs w:val="24"/>
          <w:lang w:val="es-ES"/>
        </w:rPr>
        <w:t xml:space="preserve"> de </w:t>
      </w:r>
      <w:r w:rsidR="005861FD" w:rsidRPr="005861FD">
        <w:rPr>
          <w:rFonts w:ascii="Book Antiqua" w:hAnsi="Book Antiqua" w:cs="Arial"/>
          <w:caps/>
          <w:szCs w:val="24"/>
          <w:lang w:val="es-ES"/>
        </w:rPr>
        <w:t>OCTUBRE</w:t>
      </w:r>
      <w:r w:rsidR="00554309" w:rsidRPr="005861FD">
        <w:rPr>
          <w:rFonts w:ascii="Book Antiqua" w:hAnsi="Book Antiqua" w:cs="Arial"/>
          <w:caps/>
          <w:szCs w:val="24"/>
          <w:lang w:val="es-ES"/>
        </w:rPr>
        <w:t xml:space="preserve"> </w:t>
      </w:r>
      <w:r w:rsidR="00705147" w:rsidRPr="005861FD">
        <w:rPr>
          <w:rFonts w:ascii="Book Antiqua" w:hAnsi="Book Antiqua" w:cs="Arial"/>
          <w:caps/>
          <w:szCs w:val="24"/>
          <w:lang w:val="es-ES"/>
        </w:rPr>
        <w:t>de 202</w:t>
      </w:r>
      <w:r w:rsidR="00B16DDE" w:rsidRPr="005861FD">
        <w:rPr>
          <w:rFonts w:ascii="Book Antiqua" w:hAnsi="Book Antiqua" w:cs="Arial"/>
          <w:caps/>
          <w:szCs w:val="24"/>
          <w:lang w:val="es-ES"/>
        </w:rPr>
        <w:t>5</w:t>
      </w:r>
    </w:p>
    <w:p w14:paraId="0A3C422D" w14:textId="77777777" w:rsidR="009B0546" w:rsidRPr="005861FD" w:rsidRDefault="009B0546" w:rsidP="009B0546">
      <w:pPr>
        <w:jc w:val="center"/>
        <w:rPr>
          <w:rFonts w:ascii="Book Antiqua" w:hAnsi="Book Antiqua" w:cs="Arial"/>
          <w:caps/>
          <w:szCs w:val="24"/>
          <w:lang w:val="es-ES"/>
        </w:rPr>
      </w:pPr>
    </w:p>
    <w:p w14:paraId="44C37FC1" w14:textId="066A6EE2" w:rsidR="009B0546" w:rsidRPr="005861FD" w:rsidRDefault="009B0546" w:rsidP="009B0546">
      <w:pPr>
        <w:jc w:val="center"/>
        <w:rPr>
          <w:rFonts w:ascii="Book Antiqua" w:hAnsi="Book Antiqua" w:cs="Arial"/>
          <w:szCs w:val="24"/>
          <w:lang w:val="es-ES"/>
        </w:rPr>
      </w:pPr>
      <w:r w:rsidRPr="005861FD">
        <w:rPr>
          <w:rFonts w:ascii="Book Antiqua" w:hAnsi="Book Antiqua" w:cs="Arial"/>
          <w:szCs w:val="24"/>
          <w:lang w:val="es-ES"/>
        </w:rPr>
        <w:t>Presentad</w:t>
      </w:r>
      <w:r w:rsidR="00CC119E">
        <w:rPr>
          <w:rFonts w:ascii="Book Antiqua" w:hAnsi="Book Antiqua" w:cs="Arial"/>
          <w:szCs w:val="24"/>
          <w:lang w:val="es-ES"/>
        </w:rPr>
        <w:t>a</w:t>
      </w:r>
      <w:r w:rsidRPr="005861FD">
        <w:rPr>
          <w:rFonts w:ascii="Book Antiqua" w:hAnsi="Book Antiqua" w:cs="Arial"/>
          <w:szCs w:val="24"/>
          <w:lang w:val="es-ES"/>
        </w:rPr>
        <w:t xml:space="preserve"> por el representante </w:t>
      </w:r>
      <w:r w:rsidR="005861FD" w:rsidRPr="005861FD">
        <w:rPr>
          <w:rFonts w:ascii="Book Antiqua" w:hAnsi="Book Antiqua" w:cs="Arial"/>
          <w:i/>
          <w:szCs w:val="24"/>
          <w:lang w:val="es-ES"/>
        </w:rPr>
        <w:t>Nieves Rosario</w:t>
      </w:r>
    </w:p>
    <w:p w14:paraId="1B08ECED" w14:textId="77777777" w:rsidR="009B0546" w:rsidRPr="005861FD" w:rsidRDefault="009B0546" w:rsidP="009B0546">
      <w:pPr>
        <w:jc w:val="center"/>
        <w:rPr>
          <w:rFonts w:ascii="Book Antiqua" w:hAnsi="Book Antiqua" w:cs="Arial"/>
          <w:szCs w:val="24"/>
          <w:lang w:val="es-ES"/>
        </w:rPr>
      </w:pPr>
    </w:p>
    <w:p w14:paraId="40760375" w14:textId="0145D391" w:rsidR="009B0546" w:rsidRPr="005861FD" w:rsidRDefault="009B0546" w:rsidP="009B0546">
      <w:pPr>
        <w:jc w:val="center"/>
        <w:rPr>
          <w:rFonts w:ascii="Book Antiqua" w:hAnsi="Book Antiqua"/>
          <w:b/>
          <w:szCs w:val="24"/>
          <w:lang w:val="es-ES"/>
        </w:rPr>
      </w:pPr>
      <w:r w:rsidRPr="005861FD">
        <w:rPr>
          <w:rFonts w:ascii="Book Antiqua" w:hAnsi="Book Antiqua"/>
          <w:szCs w:val="24"/>
          <w:lang w:val="es-ES"/>
        </w:rPr>
        <w:t>Referid</w:t>
      </w:r>
      <w:r w:rsidR="00CC119E">
        <w:rPr>
          <w:rFonts w:ascii="Book Antiqua" w:hAnsi="Book Antiqua"/>
          <w:szCs w:val="24"/>
          <w:lang w:val="es-ES"/>
        </w:rPr>
        <w:t>a</w:t>
      </w:r>
      <w:r w:rsidRPr="005861FD">
        <w:rPr>
          <w:rFonts w:ascii="Book Antiqua" w:hAnsi="Book Antiqua"/>
          <w:szCs w:val="24"/>
          <w:lang w:val="es-ES"/>
        </w:rPr>
        <w:t xml:space="preserve"> a</w:t>
      </w:r>
      <w:r w:rsidR="00946A4B" w:rsidRPr="005861FD">
        <w:rPr>
          <w:rFonts w:ascii="Book Antiqua" w:hAnsi="Book Antiqua"/>
          <w:szCs w:val="24"/>
          <w:lang w:val="es-ES"/>
        </w:rPr>
        <w:t xml:space="preserve"> la Comisión de </w:t>
      </w:r>
      <w:r w:rsidR="00E72B31">
        <w:rPr>
          <w:rFonts w:ascii="Book Antiqua" w:hAnsi="Book Antiqua"/>
          <w:szCs w:val="24"/>
          <w:lang w:val="es-ES"/>
        </w:rPr>
        <w:t>Salud</w:t>
      </w:r>
    </w:p>
    <w:p w14:paraId="0A6F84A9" w14:textId="77777777" w:rsidR="009B0546" w:rsidRPr="005861FD" w:rsidRDefault="009B0546" w:rsidP="009B0546">
      <w:pPr>
        <w:jc w:val="center"/>
        <w:rPr>
          <w:rFonts w:ascii="Book Antiqua" w:hAnsi="Book Antiqua"/>
          <w:b/>
          <w:szCs w:val="24"/>
          <w:lang w:val="es-ES"/>
        </w:rPr>
      </w:pPr>
    </w:p>
    <w:p w14:paraId="7341031C" w14:textId="4316B22C" w:rsidR="009B0546" w:rsidRPr="005861FD" w:rsidRDefault="00E72B31" w:rsidP="009B0546">
      <w:pPr>
        <w:jc w:val="center"/>
        <w:rPr>
          <w:rFonts w:ascii="Book Antiqua" w:hAnsi="Book Antiqua"/>
          <w:b/>
          <w:sz w:val="28"/>
          <w:szCs w:val="28"/>
          <w:lang w:val="es-ES"/>
        </w:rPr>
      </w:pPr>
      <w:r>
        <w:rPr>
          <w:rFonts w:ascii="Book Antiqua" w:hAnsi="Book Antiqua"/>
          <w:b/>
          <w:sz w:val="28"/>
          <w:szCs w:val="28"/>
          <w:lang w:val="es-ES"/>
        </w:rPr>
        <w:t>RESOLUCIÓN CONJUNTA</w:t>
      </w:r>
    </w:p>
    <w:p w14:paraId="20214076" w14:textId="77777777" w:rsidR="009B0546" w:rsidRPr="005861FD" w:rsidRDefault="009B0546" w:rsidP="009B0546">
      <w:pPr>
        <w:ind w:left="720" w:hanging="720"/>
        <w:jc w:val="both"/>
        <w:rPr>
          <w:rFonts w:ascii="Book Antiqua" w:hAnsi="Book Antiqua"/>
          <w:lang w:val="es-ES"/>
        </w:rPr>
      </w:pPr>
    </w:p>
    <w:p w14:paraId="60974EF0" w14:textId="79423B3E" w:rsidR="00516F03" w:rsidRPr="005861FD" w:rsidRDefault="005861FD" w:rsidP="005861FD">
      <w:pPr>
        <w:ind w:left="720" w:right="43" w:hanging="720"/>
        <w:jc w:val="both"/>
        <w:rPr>
          <w:rFonts w:ascii="Book Antiqua" w:hAnsi="Book Antiqua"/>
          <w:szCs w:val="24"/>
          <w:lang w:val="es-ES"/>
        </w:rPr>
      </w:pPr>
      <w:r w:rsidRPr="005861FD">
        <w:rPr>
          <w:rFonts w:ascii="Book Antiqua" w:hAnsi="Book Antiqua"/>
          <w:lang w:val="es-ES"/>
        </w:rPr>
        <w:t>Para ordenar al Secretario del Departamento de Salud a establecer un procedimiento expedito para el reembolso, mediante la concesión de créditos aplicables a servicios futuros en el Registro Demográfico, de todas las cantidades cobradas en exceso por la expedición de certificados de eventos vitales, conforme a los hallazgos detallados en el Informe OIG-E-26-002 emitido por la Oficina del Inspector General de Puerto Rico; y para otros fines relacionados.</w:t>
      </w:r>
    </w:p>
    <w:p w14:paraId="19A17B29" w14:textId="77777777" w:rsidR="005861FD" w:rsidRPr="005861FD" w:rsidRDefault="005861FD" w:rsidP="000E4BFD">
      <w:pPr>
        <w:jc w:val="center"/>
        <w:rPr>
          <w:rFonts w:ascii="Book Antiqua" w:hAnsi="Book Antiqua"/>
          <w:szCs w:val="24"/>
          <w:lang w:val="es-ES"/>
        </w:rPr>
      </w:pPr>
    </w:p>
    <w:p w14:paraId="27BC3723" w14:textId="6D9C20C1" w:rsidR="00516F03" w:rsidRPr="005861FD" w:rsidRDefault="00516F03" w:rsidP="000E4BFD">
      <w:pPr>
        <w:jc w:val="center"/>
        <w:rPr>
          <w:rFonts w:ascii="Book Antiqua" w:hAnsi="Book Antiqua"/>
          <w:szCs w:val="24"/>
          <w:lang w:val="es-ES"/>
        </w:rPr>
      </w:pPr>
      <w:r w:rsidRPr="005861FD">
        <w:rPr>
          <w:rFonts w:ascii="Book Antiqua" w:hAnsi="Book Antiqua"/>
          <w:szCs w:val="24"/>
          <w:lang w:val="es-ES"/>
        </w:rPr>
        <w:t>EXPOSICI</w:t>
      </w:r>
      <w:r w:rsidR="00BF0985" w:rsidRPr="005861FD">
        <w:rPr>
          <w:rFonts w:ascii="Book Antiqua" w:hAnsi="Book Antiqua"/>
          <w:szCs w:val="24"/>
          <w:lang w:val="es-ES"/>
        </w:rPr>
        <w:t>Ó</w:t>
      </w:r>
      <w:r w:rsidRPr="005861FD">
        <w:rPr>
          <w:rFonts w:ascii="Book Antiqua" w:hAnsi="Book Antiqua"/>
          <w:szCs w:val="24"/>
          <w:lang w:val="es-ES"/>
        </w:rPr>
        <w:t>N DE MOTIVOS</w:t>
      </w:r>
    </w:p>
    <w:p w14:paraId="03284A71" w14:textId="48EAA3A0" w:rsidR="003F40CF" w:rsidRPr="005861FD" w:rsidRDefault="003F40CF" w:rsidP="00FC7012">
      <w:pPr>
        <w:pStyle w:val="BodyTextIndent2"/>
        <w:spacing w:after="0" w:line="240" w:lineRule="auto"/>
        <w:ind w:left="0"/>
        <w:jc w:val="both"/>
        <w:rPr>
          <w:rFonts w:ascii="Book Antiqua" w:hAnsi="Book Antiqua"/>
          <w:szCs w:val="24"/>
          <w:lang w:val="es-ES"/>
        </w:rPr>
      </w:pPr>
    </w:p>
    <w:p w14:paraId="4DCDEF94" w14:textId="6CCBD287" w:rsidR="005861FD" w:rsidRDefault="005861FD" w:rsidP="00CC119E">
      <w:pPr>
        <w:pStyle w:val="BodyTextIndent2"/>
        <w:spacing w:after="0" w:line="240" w:lineRule="auto"/>
        <w:ind w:left="0" w:firstLine="720"/>
        <w:jc w:val="both"/>
        <w:rPr>
          <w:rFonts w:ascii="Book Antiqua" w:hAnsi="Book Antiqua"/>
          <w:lang w:val="es-ES"/>
        </w:rPr>
      </w:pPr>
      <w:r w:rsidRPr="005861FD">
        <w:rPr>
          <w:rFonts w:ascii="Book Antiqua" w:hAnsi="Book Antiqua"/>
          <w:lang w:val="es-ES"/>
        </w:rPr>
        <w:t xml:space="preserve">La Oficina del Inspector General de Puerto Rico (OIG), en su función de fiscalizar y promover la integridad, eficiencia y transparencia en el servicio público, emitió el </w:t>
      </w:r>
      <w:r w:rsidRPr="005861FD">
        <w:rPr>
          <w:rFonts w:ascii="Book Antiqua" w:hAnsi="Book Antiqua"/>
          <w:b/>
          <w:bCs/>
          <w:lang w:val="es-ES"/>
        </w:rPr>
        <w:t>Informe de Examen OIG-E-26-002</w:t>
      </w:r>
      <w:r w:rsidRPr="005861FD">
        <w:rPr>
          <w:rFonts w:ascii="Book Antiqua" w:hAnsi="Book Antiqua"/>
          <w:lang w:val="es-ES"/>
        </w:rPr>
        <w:t xml:space="preserve"> el 3 de octubre de 2025. Dicho informe documenta los resultados de un examen exhaustivo sobre el manejo y los controles internos del Registro Demográfico (RD), división adscrita al Departamento de Salud.</w:t>
      </w:r>
    </w:p>
    <w:p w14:paraId="3E3DCB98" w14:textId="77777777" w:rsidR="00CC119E" w:rsidRPr="005861FD" w:rsidRDefault="00CC119E" w:rsidP="00CC119E">
      <w:pPr>
        <w:pStyle w:val="BodyTextIndent2"/>
        <w:spacing w:after="0" w:line="240" w:lineRule="auto"/>
        <w:ind w:left="0" w:firstLine="720"/>
        <w:jc w:val="both"/>
        <w:rPr>
          <w:rFonts w:ascii="Book Antiqua" w:hAnsi="Book Antiqua"/>
          <w:lang w:val="es-ES"/>
        </w:rPr>
      </w:pPr>
    </w:p>
    <w:p w14:paraId="706CD19C" w14:textId="77777777" w:rsidR="005861FD" w:rsidRDefault="005861FD" w:rsidP="00CC119E">
      <w:pPr>
        <w:pStyle w:val="BodyTextIndent2"/>
        <w:spacing w:after="0" w:line="240" w:lineRule="auto"/>
        <w:ind w:left="0" w:firstLine="720"/>
        <w:jc w:val="both"/>
        <w:rPr>
          <w:rFonts w:ascii="Book Antiqua" w:hAnsi="Book Antiqua"/>
          <w:szCs w:val="24"/>
          <w:lang w:val="es-ES"/>
        </w:rPr>
      </w:pPr>
      <w:r w:rsidRPr="005861FD">
        <w:rPr>
          <w:rFonts w:ascii="Book Antiqua" w:hAnsi="Book Antiqua"/>
          <w:szCs w:val="24"/>
          <w:lang w:val="es-ES"/>
        </w:rPr>
        <w:t xml:space="preserve">Uno de los hallazgos más significativos y preocupantes del informe es el </w:t>
      </w:r>
      <w:r w:rsidRPr="005861FD">
        <w:rPr>
          <w:rFonts w:ascii="Book Antiqua" w:hAnsi="Book Antiqua"/>
          <w:b/>
          <w:bCs/>
          <w:szCs w:val="24"/>
          <w:lang w:val="es-ES"/>
        </w:rPr>
        <w:t>cobro excesivo y no autorizado de tarifas</w:t>
      </w:r>
      <w:r w:rsidRPr="005861FD">
        <w:rPr>
          <w:rFonts w:ascii="Book Antiqua" w:hAnsi="Book Antiqua"/>
          <w:szCs w:val="24"/>
          <w:lang w:val="es-ES"/>
        </w:rPr>
        <w:t xml:space="preserve"> por la emisión de certificados de eventos vitales. Específicamente, la OIG determinó que entre el 1 de julio de 2022 y el 28 de febrero de 2025, el Registro Demográfico cobró aproximadamente </w:t>
      </w:r>
      <w:r w:rsidRPr="005861FD">
        <w:rPr>
          <w:rFonts w:ascii="Book Antiqua" w:hAnsi="Book Antiqua"/>
          <w:b/>
          <w:bCs/>
          <w:szCs w:val="24"/>
          <w:lang w:val="es-ES"/>
        </w:rPr>
        <w:t>$2,904,445.00 en exceso</w:t>
      </w:r>
      <w:r w:rsidRPr="005861FD">
        <w:rPr>
          <w:rFonts w:ascii="Book Antiqua" w:hAnsi="Book Antiqua"/>
          <w:szCs w:val="24"/>
          <w:lang w:val="es-ES"/>
        </w:rPr>
        <w:t xml:space="preserve"> en un total de 487,559 certificaciones emitidas. Este cobro indebido afecta directamente el bolsillo de los ciudadanos que confiaron en la corrección de las tarifas gubernamentales.</w:t>
      </w:r>
    </w:p>
    <w:p w14:paraId="3491A261" w14:textId="77777777" w:rsidR="00CC119E" w:rsidRPr="005861FD" w:rsidRDefault="00CC119E" w:rsidP="00CC119E">
      <w:pPr>
        <w:pStyle w:val="BodyTextIndent2"/>
        <w:spacing w:after="0" w:line="240" w:lineRule="auto"/>
        <w:ind w:left="0" w:firstLine="720"/>
        <w:jc w:val="both"/>
        <w:rPr>
          <w:rFonts w:ascii="Book Antiqua" w:hAnsi="Book Antiqua"/>
          <w:szCs w:val="24"/>
          <w:lang w:val="es-ES"/>
        </w:rPr>
      </w:pPr>
    </w:p>
    <w:p w14:paraId="19B24D81" w14:textId="2774B141" w:rsidR="005861FD" w:rsidRDefault="005861FD" w:rsidP="00CC119E">
      <w:pPr>
        <w:pStyle w:val="BodyTextIndent2"/>
        <w:spacing w:after="0" w:line="240" w:lineRule="auto"/>
        <w:ind w:left="0" w:firstLine="720"/>
        <w:jc w:val="both"/>
        <w:rPr>
          <w:rFonts w:ascii="Book Antiqua" w:hAnsi="Book Antiqua"/>
          <w:szCs w:val="24"/>
          <w:lang w:val="es-ES"/>
        </w:rPr>
      </w:pPr>
      <w:r w:rsidRPr="005861FD">
        <w:rPr>
          <w:rFonts w:ascii="Book Antiqua" w:hAnsi="Book Antiqua"/>
          <w:szCs w:val="24"/>
          <w:lang w:val="es-ES"/>
        </w:rPr>
        <w:t xml:space="preserve">La causa de esta irregularidad se remonta a noviembre de 2015, cuando se preparó una enmienda de emergencia al Reglamento 5961 con el fin de aumentar las tarifas. Sin </w:t>
      </w:r>
      <w:r w:rsidRPr="005861FD">
        <w:rPr>
          <w:rFonts w:ascii="Book Antiqua" w:hAnsi="Book Antiqua"/>
          <w:szCs w:val="24"/>
          <w:lang w:val="es-ES"/>
        </w:rPr>
        <w:lastRenderedPageBreak/>
        <w:t xml:space="preserve">embargo, dicha enmienda nunca fue radicada ni aprobada por el Departamento de Estado, como lo exige la Ley de Procedimiento Administrativo Uniforme, por lo que carece de toda validez legal. </w:t>
      </w:r>
    </w:p>
    <w:p w14:paraId="37FA700F" w14:textId="77777777" w:rsidR="00CC119E" w:rsidRPr="005861FD" w:rsidRDefault="00CC119E" w:rsidP="00CC119E">
      <w:pPr>
        <w:pStyle w:val="BodyTextIndent2"/>
        <w:spacing w:after="0" w:line="240" w:lineRule="auto"/>
        <w:ind w:left="0" w:firstLine="720"/>
        <w:jc w:val="both"/>
        <w:rPr>
          <w:rFonts w:ascii="Book Antiqua" w:hAnsi="Book Antiqua"/>
          <w:szCs w:val="24"/>
          <w:lang w:val="es-ES"/>
        </w:rPr>
      </w:pPr>
    </w:p>
    <w:p w14:paraId="6853FCB1" w14:textId="77777777" w:rsidR="005861FD" w:rsidRDefault="005861FD" w:rsidP="00CC119E">
      <w:pPr>
        <w:pStyle w:val="BodyTextIndent2"/>
        <w:spacing w:after="0" w:line="240" w:lineRule="auto"/>
        <w:ind w:left="0" w:firstLine="720"/>
        <w:jc w:val="both"/>
        <w:rPr>
          <w:rFonts w:ascii="Book Antiqua" w:hAnsi="Book Antiqua"/>
          <w:szCs w:val="24"/>
          <w:lang w:val="es-ES"/>
        </w:rPr>
      </w:pPr>
      <w:r w:rsidRPr="005861FD">
        <w:rPr>
          <w:rFonts w:ascii="Book Antiqua" w:hAnsi="Book Antiqua"/>
          <w:szCs w:val="24"/>
          <w:lang w:val="es-ES"/>
        </w:rPr>
        <w:t>El Gobierno de Puerto Rico tiene la responsabilidad ineludible de actuar con legalidad, corrección y exactitud en todas sus operaciones fiscales. El cobro de tarifas no autorizadas constituye un incumplimiento grave de esta responsabilidad y socava la confianza de la ciudadanía en sus instituciones. Los fondos recaudados ilegalmente deben ser restituidos a las personas afectadas.</w:t>
      </w:r>
    </w:p>
    <w:p w14:paraId="4F25AB42" w14:textId="77777777" w:rsidR="00CC119E" w:rsidRPr="005861FD" w:rsidRDefault="00CC119E" w:rsidP="00CC119E">
      <w:pPr>
        <w:pStyle w:val="BodyTextIndent2"/>
        <w:spacing w:after="0" w:line="240" w:lineRule="auto"/>
        <w:ind w:left="0" w:firstLine="720"/>
        <w:jc w:val="both"/>
        <w:rPr>
          <w:rFonts w:ascii="Book Antiqua" w:hAnsi="Book Antiqua"/>
          <w:szCs w:val="24"/>
          <w:lang w:val="es-ES"/>
        </w:rPr>
      </w:pPr>
    </w:p>
    <w:p w14:paraId="42A22FF6" w14:textId="1C01418E" w:rsidR="005861FD" w:rsidRPr="005861FD" w:rsidRDefault="005861FD" w:rsidP="00CC119E">
      <w:pPr>
        <w:pStyle w:val="BodyTextIndent2"/>
        <w:spacing w:after="0" w:line="240" w:lineRule="auto"/>
        <w:ind w:left="0" w:firstLine="720"/>
        <w:jc w:val="both"/>
        <w:rPr>
          <w:rFonts w:ascii="Book Antiqua" w:hAnsi="Book Antiqua"/>
          <w:szCs w:val="24"/>
          <w:lang w:val="es-ES"/>
        </w:rPr>
      </w:pPr>
      <w:r w:rsidRPr="005861FD">
        <w:rPr>
          <w:rFonts w:ascii="Book Antiqua" w:hAnsi="Book Antiqua"/>
          <w:szCs w:val="24"/>
          <w:lang w:val="es-ES"/>
        </w:rPr>
        <w:t>Por tanto, esta Asamblea Legislativa considera imperativo y de justicia social ordenar al Departamento de Salud que tome acción correctiva inmediata. Para facilitar un proceso de restitución ágil y eficiente, se propone la creación de un sistema de créditos, mediante el cual los ciudadanos afectados puedan utilizar el monto pagado en exceso para solicitar futuros servicios en el Registro Demográfico. Esta medida no solo repara el daño económico causado, sino que también reafirma el compromiso de este Gobierno con la transparencia y el fiel cumplimiento de la ley.</w:t>
      </w:r>
    </w:p>
    <w:p w14:paraId="51F100CF" w14:textId="6316CDCD" w:rsidR="000E2D85" w:rsidRPr="005861FD" w:rsidRDefault="000E2D85" w:rsidP="00CC119E">
      <w:pPr>
        <w:pStyle w:val="BodyTextIndent2"/>
        <w:spacing w:after="0" w:line="240" w:lineRule="auto"/>
        <w:ind w:left="0" w:firstLine="720"/>
        <w:jc w:val="both"/>
        <w:rPr>
          <w:rFonts w:ascii="Book Antiqua" w:hAnsi="Book Antiqua"/>
          <w:szCs w:val="24"/>
          <w:lang w:val="es-ES"/>
        </w:rPr>
      </w:pPr>
    </w:p>
    <w:p w14:paraId="7A07C4DB" w14:textId="7DFB1E2C" w:rsidR="00516F03" w:rsidRPr="005861FD" w:rsidRDefault="00B16DDE" w:rsidP="000E4BFD">
      <w:pPr>
        <w:spacing w:line="480" w:lineRule="auto"/>
        <w:rPr>
          <w:rFonts w:ascii="Book Antiqua" w:hAnsi="Book Antiqua"/>
          <w:i/>
          <w:lang w:val="es-ES"/>
        </w:rPr>
      </w:pPr>
      <w:r w:rsidRPr="005861FD">
        <w:rPr>
          <w:rFonts w:ascii="Book Antiqua" w:hAnsi="Book Antiqua"/>
          <w:i/>
          <w:lang w:val="es-ES"/>
        </w:rPr>
        <w:t>RESUÉLVESE</w:t>
      </w:r>
      <w:r w:rsidR="00516F03" w:rsidRPr="005861FD">
        <w:rPr>
          <w:rFonts w:ascii="Book Antiqua" w:hAnsi="Book Antiqua"/>
          <w:i/>
          <w:lang w:val="es-ES"/>
        </w:rPr>
        <w:t xml:space="preserve"> POR LA ASAMBLEA LEGISLATIVA DE PUERTO RICO:</w:t>
      </w:r>
    </w:p>
    <w:p w14:paraId="1717F953" w14:textId="77777777" w:rsidR="00516F03" w:rsidRPr="005861FD" w:rsidRDefault="00516F03" w:rsidP="002E27A3">
      <w:pPr>
        <w:spacing w:line="480" w:lineRule="auto"/>
        <w:jc w:val="both"/>
        <w:rPr>
          <w:rFonts w:ascii="Book Antiqua" w:hAnsi="Book Antiqua"/>
          <w:lang w:val="es-ES"/>
        </w:rPr>
        <w:sectPr w:rsidR="00516F03" w:rsidRPr="005861FD" w:rsidSect="008609A3">
          <w:headerReference w:type="default" r:id="rId7"/>
          <w:pgSz w:w="12240" w:h="15840" w:code="1"/>
          <w:pgMar w:top="1440" w:right="1440" w:bottom="1440" w:left="1440" w:header="720" w:footer="720" w:gutter="0"/>
          <w:cols w:space="720"/>
          <w:titlePg/>
          <w:docGrid w:linePitch="326"/>
        </w:sectPr>
      </w:pPr>
    </w:p>
    <w:p w14:paraId="262DE4C4" w14:textId="77777777" w:rsidR="005861FD" w:rsidRPr="005861FD" w:rsidRDefault="005861FD" w:rsidP="005861FD">
      <w:pPr>
        <w:spacing w:line="480" w:lineRule="auto"/>
        <w:ind w:right="43" w:firstLine="720"/>
        <w:jc w:val="both"/>
        <w:rPr>
          <w:rFonts w:ascii="Book Antiqua" w:hAnsi="Book Antiqua"/>
          <w:lang w:val="es-ES"/>
        </w:rPr>
      </w:pPr>
      <w:r w:rsidRPr="005861FD">
        <w:rPr>
          <w:rFonts w:ascii="Book Antiqua" w:hAnsi="Book Antiqua"/>
          <w:lang w:val="es-ES"/>
        </w:rPr>
        <w:t>Sección 1.- Orden de Reembolso mediante Crédito.</w:t>
      </w:r>
    </w:p>
    <w:p w14:paraId="49AE01A7" w14:textId="77777777" w:rsidR="005861FD" w:rsidRPr="005861FD" w:rsidRDefault="005861FD" w:rsidP="005861FD">
      <w:pPr>
        <w:spacing w:line="480" w:lineRule="auto"/>
        <w:ind w:right="43" w:firstLine="720"/>
        <w:jc w:val="both"/>
        <w:rPr>
          <w:rFonts w:ascii="Book Antiqua" w:hAnsi="Book Antiqua"/>
          <w:lang w:val="es-ES"/>
        </w:rPr>
      </w:pPr>
      <w:r w:rsidRPr="005861FD">
        <w:rPr>
          <w:rFonts w:ascii="Book Antiqua" w:hAnsi="Book Antiqua"/>
          <w:lang w:val="es-ES"/>
        </w:rPr>
        <w:t>Se ordena al Secretario del Departamento de Salud que, en un término no mayor de noventa (90) días a partir de la aprobación de esta Resolución, establezca y ponga en vigor un procedimiento formal para el reembolso de las cantidades cobradas en exceso por servicios en el Registro Demográfico, según lo identificado en el Hallazgo 1 del Informe de Examen OIG-E-26-002. Dicho reembolso se efectuará mediante la asignación de un crédito a favor de cada ciudadano afectado, el cual será aplicable al pago de cualquier servicio futuro que ofrezca el Registro Demográfico.</w:t>
      </w:r>
    </w:p>
    <w:p w14:paraId="33824454" w14:textId="77777777" w:rsidR="005861FD" w:rsidRPr="005861FD" w:rsidRDefault="005861FD" w:rsidP="005861FD">
      <w:pPr>
        <w:spacing w:line="480" w:lineRule="auto"/>
        <w:ind w:right="43" w:firstLine="720"/>
        <w:jc w:val="both"/>
        <w:rPr>
          <w:rFonts w:ascii="Book Antiqua" w:hAnsi="Book Antiqua"/>
          <w:lang w:val="es-ES"/>
        </w:rPr>
      </w:pPr>
      <w:r w:rsidRPr="005861FD">
        <w:rPr>
          <w:rFonts w:ascii="Book Antiqua" w:hAnsi="Book Antiqua"/>
          <w:lang w:val="es-ES"/>
        </w:rPr>
        <w:t>Sección 2.- Implementación y Divulgación del Procedimiento.</w:t>
      </w:r>
    </w:p>
    <w:p w14:paraId="27840A22" w14:textId="55687918" w:rsidR="005861FD" w:rsidRPr="005861FD" w:rsidRDefault="005861FD" w:rsidP="005861FD">
      <w:pPr>
        <w:spacing w:line="480" w:lineRule="auto"/>
        <w:ind w:right="43" w:firstLine="720"/>
        <w:jc w:val="both"/>
        <w:rPr>
          <w:rFonts w:ascii="Book Antiqua" w:hAnsi="Book Antiqua"/>
          <w:lang w:val="es-ES"/>
        </w:rPr>
      </w:pPr>
      <w:r w:rsidRPr="005861FD">
        <w:rPr>
          <w:rFonts w:ascii="Book Antiqua" w:hAnsi="Book Antiqua"/>
          <w:lang w:val="es-ES"/>
        </w:rPr>
        <w:t xml:space="preserve">El procedimiento deberá ser claro, accesible y de fácil tramitación para los ciudadanos. El Departamento deberá divulgar activamente la existencia y los detalles de este mecanismo de reembolso en su página web oficial, en las oficinas del Registro </w:t>
      </w:r>
      <w:r w:rsidRPr="005861FD">
        <w:rPr>
          <w:rFonts w:ascii="Book Antiqua" w:hAnsi="Book Antiqua"/>
          <w:lang w:val="es-ES"/>
        </w:rPr>
        <w:lastRenderedPageBreak/>
        <w:t>Demográfico y a través de medios de comunicación para garantizar que la información llegue a la mayor cantidad de personas afectadas. El procedimiento deberá incluir un método para que los ciudadanos puedan verificar si son elegibles para el crédito y conocer el monto del mismo.</w:t>
      </w:r>
    </w:p>
    <w:p w14:paraId="0F8575FF" w14:textId="77777777" w:rsidR="005861FD" w:rsidRPr="005861FD" w:rsidRDefault="005861FD" w:rsidP="005861FD">
      <w:pPr>
        <w:spacing w:line="480" w:lineRule="auto"/>
        <w:ind w:right="43" w:firstLine="720"/>
        <w:jc w:val="both"/>
        <w:rPr>
          <w:rFonts w:ascii="Book Antiqua" w:hAnsi="Book Antiqua"/>
          <w:lang w:val="es-ES"/>
        </w:rPr>
      </w:pPr>
      <w:r w:rsidRPr="005861FD">
        <w:rPr>
          <w:rFonts w:ascii="Book Antiqua" w:hAnsi="Book Antiqua"/>
          <w:lang w:val="es-ES"/>
        </w:rPr>
        <w:t>Sección 3.- Deber de Certificación.</w:t>
      </w:r>
    </w:p>
    <w:p w14:paraId="0E0C8198" w14:textId="77777777" w:rsidR="005861FD" w:rsidRPr="005861FD" w:rsidRDefault="005861FD" w:rsidP="005861FD">
      <w:pPr>
        <w:spacing w:line="480" w:lineRule="auto"/>
        <w:ind w:right="43" w:firstLine="720"/>
        <w:jc w:val="both"/>
        <w:rPr>
          <w:rFonts w:ascii="Book Antiqua" w:hAnsi="Book Antiqua"/>
          <w:lang w:val="es-ES"/>
        </w:rPr>
      </w:pPr>
      <w:r w:rsidRPr="005861FD">
        <w:rPr>
          <w:rFonts w:ascii="Book Antiqua" w:hAnsi="Book Antiqua"/>
          <w:lang w:val="es-ES"/>
        </w:rPr>
        <w:t>El Secretario del Departamento de Salud deberá certificar al Gobernador de Puerto Rico y a ambos Cuerpos de la Asamblea Legislativa el cumplimiento con lo dispuesto en esta Resolución. Dicha certificación deberá ser emitida en un plazo que no excederá los ciento veinte (120) días luego de la aprobación de esta medida, e incluirá una descripción detallada del procedimiento implementado y las medidas tomadas para su divulgación.</w:t>
      </w:r>
    </w:p>
    <w:p w14:paraId="10D4626A" w14:textId="77777777" w:rsidR="005861FD" w:rsidRPr="005861FD" w:rsidRDefault="005861FD" w:rsidP="005861FD">
      <w:pPr>
        <w:spacing w:line="480" w:lineRule="auto"/>
        <w:ind w:right="43" w:firstLine="720"/>
        <w:jc w:val="both"/>
        <w:rPr>
          <w:rFonts w:ascii="Book Antiqua" w:hAnsi="Book Antiqua"/>
          <w:lang w:val="es-ES"/>
        </w:rPr>
      </w:pPr>
      <w:r w:rsidRPr="005861FD">
        <w:rPr>
          <w:rFonts w:ascii="Book Antiqua" w:hAnsi="Book Antiqua"/>
          <w:lang w:val="es-ES"/>
        </w:rPr>
        <w:t>Sección 4.- Vigencia.</w:t>
      </w:r>
    </w:p>
    <w:p w14:paraId="6999DC76" w14:textId="06037274" w:rsidR="00FA4CF7" w:rsidRPr="005861FD" w:rsidRDefault="005861FD" w:rsidP="005861FD">
      <w:pPr>
        <w:spacing w:line="480" w:lineRule="auto"/>
        <w:ind w:right="43" w:firstLine="720"/>
        <w:jc w:val="both"/>
        <w:rPr>
          <w:rFonts w:ascii="Book Antiqua" w:hAnsi="Book Antiqua"/>
          <w:lang w:val="es-ES"/>
        </w:rPr>
      </w:pPr>
      <w:r w:rsidRPr="005861FD">
        <w:rPr>
          <w:rFonts w:ascii="Book Antiqua" w:hAnsi="Book Antiqua"/>
          <w:lang w:val="es-ES"/>
        </w:rPr>
        <w:t>Esta Resolución Conjunta entrará en vigor inmediatamente después de su aprobación.</w:t>
      </w:r>
    </w:p>
    <w:sectPr w:rsidR="00FA4CF7" w:rsidRPr="005861FD" w:rsidSect="008609A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AEA79" w14:textId="77777777" w:rsidR="005402D5" w:rsidRDefault="005402D5">
      <w:r>
        <w:separator/>
      </w:r>
    </w:p>
  </w:endnote>
  <w:endnote w:type="continuationSeparator" w:id="0">
    <w:p w14:paraId="2AA92223" w14:textId="77777777" w:rsidR="005402D5" w:rsidRDefault="00540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2F47C" w14:textId="77777777" w:rsidR="005402D5" w:rsidRDefault="005402D5">
      <w:r>
        <w:separator/>
      </w:r>
    </w:p>
  </w:footnote>
  <w:footnote w:type="continuationSeparator" w:id="0">
    <w:p w14:paraId="0F333B14" w14:textId="77777777" w:rsidR="005402D5" w:rsidRDefault="005402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9C30" w14:textId="36DD3BE0" w:rsidR="000D78DD" w:rsidRDefault="000D78DD">
    <w:pPr>
      <w:pStyle w:val="Header"/>
      <w:jc w:val="center"/>
    </w:pPr>
    <w:r>
      <w:rPr>
        <w:rStyle w:val="PageNumber"/>
      </w:rPr>
      <w:fldChar w:fldCharType="begin"/>
    </w:r>
    <w:r>
      <w:rPr>
        <w:rStyle w:val="PageNumber"/>
      </w:rPr>
      <w:instrText xml:space="preserve"> PAGE </w:instrText>
    </w:r>
    <w:r>
      <w:rPr>
        <w:rStyle w:val="PageNumber"/>
      </w:rPr>
      <w:fldChar w:fldCharType="separate"/>
    </w:r>
    <w:r w:rsidR="00806763">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6F1408"/>
    <w:multiLevelType w:val="hybridMultilevel"/>
    <w:tmpl w:val="5DAE77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282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57D"/>
    <w:rsid w:val="000030FF"/>
    <w:rsid w:val="00025B0E"/>
    <w:rsid w:val="00033059"/>
    <w:rsid w:val="00065E5F"/>
    <w:rsid w:val="000D5E57"/>
    <w:rsid w:val="000D78DD"/>
    <w:rsid w:val="000E2D85"/>
    <w:rsid w:val="000E4BFD"/>
    <w:rsid w:val="00112F02"/>
    <w:rsid w:val="001176FC"/>
    <w:rsid w:val="001345CC"/>
    <w:rsid w:val="00151411"/>
    <w:rsid w:val="001643E3"/>
    <w:rsid w:val="0016555C"/>
    <w:rsid w:val="00171216"/>
    <w:rsid w:val="00230047"/>
    <w:rsid w:val="00233D51"/>
    <w:rsid w:val="00234366"/>
    <w:rsid w:val="002435E7"/>
    <w:rsid w:val="00244AC1"/>
    <w:rsid w:val="002470B6"/>
    <w:rsid w:val="00255E21"/>
    <w:rsid w:val="00290F7F"/>
    <w:rsid w:val="002A5BB5"/>
    <w:rsid w:val="002C7D7B"/>
    <w:rsid w:val="002E27A3"/>
    <w:rsid w:val="002F1DE9"/>
    <w:rsid w:val="0030427C"/>
    <w:rsid w:val="00307106"/>
    <w:rsid w:val="00310B33"/>
    <w:rsid w:val="003658CE"/>
    <w:rsid w:val="0037675F"/>
    <w:rsid w:val="00381E68"/>
    <w:rsid w:val="003A666D"/>
    <w:rsid w:val="003F146D"/>
    <w:rsid w:val="003F40CF"/>
    <w:rsid w:val="00412B35"/>
    <w:rsid w:val="00417ECD"/>
    <w:rsid w:val="00421F85"/>
    <w:rsid w:val="004254ED"/>
    <w:rsid w:val="00467AA0"/>
    <w:rsid w:val="004713BD"/>
    <w:rsid w:val="00485A6B"/>
    <w:rsid w:val="0049308A"/>
    <w:rsid w:val="004B3DA4"/>
    <w:rsid w:val="004E252E"/>
    <w:rsid w:val="004E5E49"/>
    <w:rsid w:val="005131E8"/>
    <w:rsid w:val="00516F03"/>
    <w:rsid w:val="00523EFD"/>
    <w:rsid w:val="00531DEB"/>
    <w:rsid w:val="00540095"/>
    <w:rsid w:val="005402D5"/>
    <w:rsid w:val="00554309"/>
    <w:rsid w:val="00583D76"/>
    <w:rsid w:val="005861FD"/>
    <w:rsid w:val="005E7B94"/>
    <w:rsid w:val="00601C54"/>
    <w:rsid w:val="0061453B"/>
    <w:rsid w:val="00627E5C"/>
    <w:rsid w:val="0067033E"/>
    <w:rsid w:val="00680DE9"/>
    <w:rsid w:val="006909DD"/>
    <w:rsid w:val="00696BCE"/>
    <w:rsid w:val="006B2C43"/>
    <w:rsid w:val="006D5AC7"/>
    <w:rsid w:val="006F698C"/>
    <w:rsid w:val="00705147"/>
    <w:rsid w:val="00726AD1"/>
    <w:rsid w:val="00786BA9"/>
    <w:rsid w:val="00793679"/>
    <w:rsid w:val="007F014F"/>
    <w:rsid w:val="00806763"/>
    <w:rsid w:val="0083055E"/>
    <w:rsid w:val="00831890"/>
    <w:rsid w:val="00834A50"/>
    <w:rsid w:val="008469D1"/>
    <w:rsid w:val="00856B80"/>
    <w:rsid w:val="00860603"/>
    <w:rsid w:val="008609A3"/>
    <w:rsid w:val="008C2B84"/>
    <w:rsid w:val="008C34B2"/>
    <w:rsid w:val="008E04DB"/>
    <w:rsid w:val="009110AE"/>
    <w:rsid w:val="00921A5F"/>
    <w:rsid w:val="00930650"/>
    <w:rsid w:val="00930E87"/>
    <w:rsid w:val="00942D2A"/>
    <w:rsid w:val="00946A4B"/>
    <w:rsid w:val="00962A90"/>
    <w:rsid w:val="00970827"/>
    <w:rsid w:val="00983FFD"/>
    <w:rsid w:val="00987162"/>
    <w:rsid w:val="0099534B"/>
    <w:rsid w:val="009B0546"/>
    <w:rsid w:val="009B2A08"/>
    <w:rsid w:val="009B418B"/>
    <w:rsid w:val="009B6EFE"/>
    <w:rsid w:val="00A00080"/>
    <w:rsid w:val="00A011FF"/>
    <w:rsid w:val="00A41FB9"/>
    <w:rsid w:val="00A47D44"/>
    <w:rsid w:val="00A556B2"/>
    <w:rsid w:val="00A736C9"/>
    <w:rsid w:val="00A955BC"/>
    <w:rsid w:val="00A95978"/>
    <w:rsid w:val="00AB2706"/>
    <w:rsid w:val="00AB5977"/>
    <w:rsid w:val="00AD283F"/>
    <w:rsid w:val="00AE0375"/>
    <w:rsid w:val="00AE310A"/>
    <w:rsid w:val="00B03510"/>
    <w:rsid w:val="00B16DDE"/>
    <w:rsid w:val="00B45129"/>
    <w:rsid w:val="00B547F4"/>
    <w:rsid w:val="00B553D9"/>
    <w:rsid w:val="00B8140A"/>
    <w:rsid w:val="00B83516"/>
    <w:rsid w:val="00BF0985"/>
    <w:rsid w:val="00BF180D"/>
    <w:rsid w:val="00C0645A"/>
    <w:rsid w:val="00C5687B"/>
    <w:rsid w:val="00C67C64"/>
    <w:rsid w:val="00C77525"/>
    <w:rsid w:val="00CA117F"/>
    <w:rsid w:val="00CA4736"/>
    <w:rsid w:val="00CA6CE5"/>
    <w:rsid w:val="00CA7492"/>
    <w:rsid w:val="00CC119E"/>
    <w:rsid w:val="00CC62A4"/>
    <w:rsid w:val="00CD497D"/>
    <w:rsid w:val="00D01A6D"/>
    <w:rsid w:val="00D116D2"/>
    <w:rsid w:val="00D60323"/>
    <w:rsid w:val="00D64E95"/>
    <w:rsid w:val="00D65764"/>
    <w:rsid w:val="00DA7B28"/>
    <w:rsid w:val="00DD5566"/>
    <w:rsid w:val="00DD6951"/>
    <w:rsid w:val="00DE1D58"/>
    <w:rsid w:val="00DF03D2"/>
    <w:rsid w:val="00DF7431"/>
    <w:rsid w:val="00E12BFD"/>
    <w:rsid w:val="00E171E5"/>
    <w:rsid w:val="00E22FF7"/>
    <w:rsid w:val="00E42E4C"/>
    <w:rsid w:val="00E45FFE"/>
    <w:rsid w:val="00E72B31"/>
    <w:rsid w:val="00E72CFF"/>
    <w:rsid w:val="00E95266"/>
    <w:rsid w:val="00EB1A78"/>
    <w:rsid w:val="00EC7AFE"/>
    <w:rsid w:val="00EE60E9"/>
    <w:rsid w:val="00EE6501"/>
    <w:rsid w:val="00F13EE1"/>
    <w:rsid w:val="00F13F6B"/>
    <w:rsid w:val="00F15171"/>
    <w:rsid w:val="00F429BB"/>
    <w:rsid w:val="00F569E4"/>
    <w:rsid w:val="00F60816"/>
    <w:rsid w:val="00F7157D"/>
    <w:rsid w:val="00F734EA"/>
    <w:rsid w:val="00FA4CF7"/>
    <w:rsid w:val="00FC7012"/>
    <w:rsid w:val="00FE1344"/>
    <w:rsid w:val="00FF1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6A70C"/>
  <w15:chartTrackingRefBased/>
  <w15:docId w15:val="{8028F9B9-05F0-4747-AFE5-BCFC867B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F03"/>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516F03"/>
    <w:pPr>
      <w:tabs>
        <w:tab w:val="left" w:pos="648"/>
        <w:tab w:val="right" w:pos="7776"/>
        <w:tab w:val="left" w:pos="7848"/>
      </w:tabs>
    </w:pPr>
  </w:style>
  <w:style w:type="paragraph" w:styleId="Header">
    <w:name w:val="header"/>
    <w:basedOn w:val="Normal"/>
    <w:rsid w:val="00516F03"/>
    <w:pPr>
      <w:tabs>
        <w:tab w:val="center" w:pos="4320"/>
        <w:tab w:val="right" w:pos="8640"/>
      </w:tabs>
    </w:pPr>
  </w:style>
  <w:style w:type="character" w:styleId="PageNumber">
    <w:name w:val="page number"/>
    <w:basedOn w:val="DefaultParagraphFont"/>
    <w:rsid w:val="00516F03"/>
  </w:style>
  <w:style w:type="paragraph" w:styleId="BodyTextIndent2">
    <w:name w:val="Body Text Indent 2"/>
    <w:basedOn w:val="Normal"/>
    <w:rsid w:val="00516F03"/>
    <w:pPr>
      <w:spacing w:after="120" w:line="480" w:lineRule="auto"/>
      <w:ind w:left="360"/>
    </w:pPr>
  </w:style>
  <w:style w:type="character" w:styleId="LineNumber">
    <w:name w:val="line number"/>
    <w:basedOn w:val="DefaultParagraphFont"/>
    <w:rsid w:val="00516F03"/>
  </w:style>
  <w:style w:type="character" w:styleId="Hyperlink">
    <w:name w:val="Hyperlink"/>
    <w:uiPriority w:val="99"/>
    <w:unhideWhenUsed/>
    <w:rsid w:val="008E04DB"/>
    <w:rPr>
      <w:strike w:val="0"/>
      <w:dstrike w:val="0"/>
      <w:color w:val="0000FF"/>
      <w:u w:val="none"/>
      <w:effect w:val="none"/>
    </w:rPr>
  </w:style>
  <w:style w:type="paragraph" w:styleId="NormalWeb">
    <w:name w:val="Normal (Web)"/>
    <w:basedOn w:val="Normal"/>
    <w:uiPriority w:val="99"/>
    <w:unhideWhenUsed/>
    <w:rsid w:val="008E04DB"/>
    <w:pPr>
      <w:spacing w:before="100" w:beforeAutospacing="1" w:after="100" w:afterAutospacing="1"/>
    </w:pPr>
    <w:rPr>
      <w:szCs w:val="24"/>
      <w:lang w:val="es-PR" w:eastAsia="es-PR"/>
    </w:rPr>
  </w:style>
  <w:style w:type="character" w:customStyle="1" w:styleId="grame">
    <w:name w:val="grame"/>
    <w:basedOn w:val="DefaultParagraphFont"/>
    <w:rsid w:val="00A011FF"/>
  </w:style>
  <w:style w:type="paragraph" w:styleId="BalloonText">
    <w:name w:val="Balloon Text"/>
    <w:basedOn w:val="Normal"/>
    <w:link w:val="BalloonTextChar"/>
    <w:rsid w:val="006909DD"/>
    <w:rPr>
      <w:rFonts w:ascii="Segoe UI" w:hAnsi="Segoe UI" w:cs="Segoe UI"/>
      <w:sz w:val="18"/>
      <w:szCs w:val="18"/>
    </w:rPr>
  </w:style>
  <w:style w:type="character" w:customStyle="1" w:styleId="BalloonTextChar">
    <w:name w:val="Balloon Text Char"/>
    <w:link w:val="BalloonText"/>
    <w:rsid w:val="006909DD"/>
    <w:rPr>
      <w:rFonts w:ascii="Segoe UI" w:hAnsi="Segoe UI" w:cs="Segoe UI"/>
      <w:sz w:val="18"/>
      <w:szCs w:val="18"/>
    </w:rPr>
  </w:style>
  <w:style w:type="paragraph" w:styleId="ListParagraph">
    <w:name w:val="List Paragraph"/>
    <w:basedOn w:val="Normal"/>
    <w:uiPriority w:val="34"/>
    <w:qFormat/>
    <w:rsid w:val="00830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299996">
      <w:bodyDiv w:val="1"/>
      <w:marLeft w:val="0"/>
      <w:marRight w:val="0"/>
      <w:marTop w:val="0"/>
      <w:marBottom w:val="0"/>
      <w:divBdr>
        <w:top w:val="none" w:sz="0" w:space="0" w:color="auto"/>
        <w:left w:val="none" w:sz="0" w:space="0" w:color="auto"/>
        <w:bottom w:val="none" w:sz="0" w:space="0" w:color="auto"/>
        <w:right w:val="none" w:sz="0" w:space="0" w:color="auto"/>
      </w:divBdr>
      <w:divsChild>
        <w:div w:id="1260020784">
          <w:marLeft w:val="0"/>
          <w:marRight w:val="0"/>
          <w:marTop w:val="0"/>
          <w:marBottom w:val="0"/>
          <w:divBdr>
            <w:top w:val="none" w:sz="0" w:space="0" w:color="auto"/>
            <w:left w:val="none" w:sz="0" w:space="0" w:color="auto"/>
            <w:bottom w:val="none" w:sz="0" w:space="0" w:color="auto"/>
            <w:right w:val="none" w:sz="0" w:space="0" w:color="auto"/>
          </w:divBdr>
          <w:divsChild>
            <w:div w:id="831680328">
              <w:marLeft w:val="0"/>
              <w:marRight w:val="0"/>
              <w:marTop w:val="0"/>
              <w:marBottom w:val="0"/>
              <w:divBdr>
                <w:top w:val="none" w:sz="0" w:space="0" w:color="auto"/>
                <w:left w:val="none" w:sz="0" w:space="0" w:color="auto"/>
                <w:bottom w:val="none" w:sz="0" w:space="0" w:color="auto"/>
                <w:right w:val="none" w:sz="0" w:space="0" w:color="auto"/>
              </w:divBdr>
              <w:divsChild>
                <w:div w:id="1294671715">
                  <w:marLeft w:val="0"/>
                  <w:marRight w:val="0"/>
                  <w:marTop w:val="0"/>
                  <w:marBottom w:val="0"/>
                  <w:divBdr>
                    <w:top w:val="none" w:sz="0" w:space="0" w:color="auto"/>
                    <w:left w:val="none" w:sz="0" w:space="0" w:color="auto"/>
                    <w:bottom w:val="none" w:sz="0" w:space="0" w:color="auto"/>
                    <w:right w:val="none" w:sz="0" w:space="0" w:color="auto"/>
                  </w:divBdr>
                  <w:divsChild>
                    <w:div w:id="9862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0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737</Words>
  <Characters>4090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Carmencita Laguna Perez</dc:creator>
  <cp:keywords/>
  <cp:lastModifiedBy>Gladys J. Burgos Torres</cp:lastModifiedBy>
  <cp:revision>4</cp:revision>
  <cp:lastPrinted>2017-01-10T18:54:00Z</cp:lastPrinted>
  <dcterms:created xsi:type="dcterms:W3CDTF">2025-10-14T19:57:00Z</dcterms:created>
  <dcterms:modified xsi:type="dcterms:W3CDTF">2025-10-15T14:56:00Z</dcterms:modified>
</cp:coreProperties>
</file>