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19C5A" w14:textId="398176B6" w:rsidR="00E63614" w:rsidRPr="00E63614" w:rsidRDefault="007C06EF" w:rsidP="00E63614">
      <w:pPr>
        <w:spacing w:after="0" w:line="240" w:lineRule="auto"/>
        <w:jc w:val="center"/>
        <w:rPr>
          <w:rFonts w:ascii="Book Antiqua" w:eastAsia="Times New Roman" w:hAnsi="Book Antiqua"/>
          <w:sz w:val="28"/>
          <w:szCs w:val="28"/>
          <w:lang w:val="es-ES"/>
        </w:rPr>
      </w:pPr>
      <w:r>
        <w:rPr>
          <w:rFonts w:ascii="Book Antiqua" w:eastAsia="Times New Roman" w:hAnsi="Book Antiqua"/>
          <w:sz w:val="28"/>
          <w:szCs w:val="28"/>
          <w:lang w:val="es-ES"/>
        </w:rPr>
        <w:t>GOBIERNO</w:t>
      </w:r>
      <w:r w:rsidR="00E63614" w:rsidRPr="00E63614">
        <w:rPr>
          <w:rFonts w:ascii="Book Antiqua" w:eastAsia="Times New Roman" w:hAnsi="Book Antiqua"/>
          <w:sz w:val="28"/>
          <w:szCs w:val="28"/>
          <w:lang w:val="es-ES"/>
        </w:rPr>
        <w:t xml:space="preserve"> DE PUERTO RICO</w:t>
      </w:r>
    </w:p>
    <w:p w14:paraId="6BD7F498" w14:textId="77777777" w:rsidR="00E63614" w:rsidRPr="00E63614" w:rsidRDefault="00E63614" w:rsidP="00E63614">
      <w:pPr>
        <w:spacing w:after="0" w:line="240" w:lineRule="auto"/>
        <w:jc w:val="both"/>
        <w:rPr>
          <w:rFonts w:ascii="Book Antiqua" w:eastAsia="Times New Roman" w:hAnsi="Book Antiqua"/>
          <w:sz w:val="24"/>
          <w:szCs w:val="24"/>
          <w:lang w:val="es-ES"/>
        </w:rPr>
      </w:pPr>
    </w:p>
    <w:p w14:paraId="56CF6B7F" w14:textId="4042B9BA" w:rsidR="00E63614" w:rsidRPr="00E63614" w:rsidRDefault="00E63614" w:rsidP="00E63614">
      <w:pPr>
        <w:spacing w:after="0" w:line="24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 xml:space="preserve"> </w:t>
      </w:r>
      <w:r w:rsidR="007C06EF">
        <w:rPr>
          <w:rFonts w:ascii="Book Antiqua" w:eastAsia="Times New Roman" w:hAnsi="Book Antiqua"/>
          <w:sz w:val="24"/>
          <w:szCs w:val="24"/>
          <w:lang w:val="es-ES"/>
        </w:rPr>
        <w:t>20ma.</w:t>
      </w:r>
      <w:r w:rsidRPr="00E63614">
        <w:rPr>
          <w:rFonts w:ascii="Book Antiqua" w:eastAsia="Times New Roman" w:hAnsi="Book Antiqua"/>
          <w:sz w:val="24"/>
          <w:szCs w:val="24"/>
          <w:lang w:val="es-ES"/>
        </w:rPr>
        <w:t xml:space="preserve"> Asamblea</w:t>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t xml:space="preserve">       </w:t>
      </w:r>
      <w:r w:rsidR="008C238C">
        <w:rPr>
          <w:rFonts w:ascii="Book Antiqua" w:eastAsia="Times New Roman" w:hAnsi="Book Antiqua"/>
          <w:sz w:val="24"/>
          <w:szCs w:val="24"/>
          <w:lang w:val="es-ES"/>
        </w:rPr>
        <w:t>2d</w:t>
      </w:r>
      <w:r w:rsidR="007C06EF">
        <w:rPr>
          <w:rFonts w:ascii="Book Antiqua" w:eastAsia="Times New Roman" w:hAnsi="Book Antiqua"/>
          <w:sz w:val="24"/>
          <w:szCs w:val="24"/>
          <w:lang w:val="es-ES"/>
        </w:rPr>
        <w:t xml:space="preserve">a. </w:t>
      </w:r>
      <w:r w:rsidRPr="00E63614">
        <w:rPr>
          <w:rFonts w:ascii="Book Antiqua" w:eastAsia="Times New Roman" w:hAnsi="Book Antiqua"/>
          <w:sz w:val="24"/>
          <w:szCs w:val="24"/>
          <w:lang w:val="es-ES"/>
        </w:rPr>
        <w:t>Sesión</w:t>
      </w:r>
    </w:p>
    <w:p w14:paraId="6E5BBFC6" w14:textId="6C8948AC" w:rsidR="00E63614" w:rsidRPr="00E63614" w:rsidRDefault="00E63614" w:rsidP="00E63614">
      <w:pPr>
        <w:spacing w:after="0" w:line="24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 xml:space="preserve">         </w:t>
      </w:r>
      <w:r w:rsidR="007C06EF">
        <w:rPr>
          <w:rFonts w:ascii="Book Antiqua" w:eastAsia="Times New Roman" w:hAnsi="Book Antiqua"/>
          <w:sz w:val="24"/>
          <w:szCs w:val="24"/>
          <w:lang w:val="es-ES"/>
        </w:rPr>
        <w:t xml:space="preserve">    </w:t>
      </w:r>
      <w:r w:rsidRPr="00E63614">
        <w:rPr>
          <w:rFonts w:ascii="Book Antiqua" w:eastAsia="Times New Roman" w:hAnsi="Book Antiqua"/>
          <w:sz w:val="24"/>
          <w:szCs w:val="24"/>
          <w:lang w:val="es-ES"/>
        </w:rPr>
        <w:t>Legislativa</w:t>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r>
      <w:r w:rsidRPr="00E63614">
        <w:rPr>
          <w:rFonts w:ascii="Book Antiqua" w:eastAsia="Times New Roman" w:hAnsi="Book Antiqua"/>
          <w:sz w:val="24"/>
          <w:szCs w:val="24"/>
          <w:lang w:val="es-ES"/>
        </w:rPr>
        <w:tab/>
        <w:t xml:space="preserve">    Ordinaria</w:t>
      </w:r>
    </w:p>
    <w:p w14:paraId="50D90A90" w14:textId="77777777" w:rsidR="00E63614" w:rsidRPr="00E63614" w:rsidRDefault="00E63614" w:rsidP="00E63614">
      <w:pPr>
        <w:spacing w:after="0" w:line="240" w:lineRule="auto"/>
        <w:jc w:val="both"/>
        <w:rPr>
          <w:rFonts w:ascii="Book Antiqua" w:eastAsia="Times New Roman" w:hAnsi="Book Antiqua"/>
          <w:sz w:val="24"/>
          <w:szCs w:val="24"/>
          <w:lang w:val="es-ES"/>
        </w:rPr>
      </w:pPr>
    </w:p>
    <w:p w14:paraId="31770510" w14:textId="77777777" w:rsidR="00E63614" w:rsidRPr="00E63614" w:rsidRDefault="00E63614" w:rsidP="00E63614">
      <w:pPr>
        <w:spacing w:after="0" w:line="240" w:lineRule="auto"/>
        <w:jc w:val="center"/>
        <w:rPr>
          <w:rFonts w:ascii="Book Antiqua" w:eastAsia="Times New Roman" w:hAnsi="Book Antiqua"/>
          <w:b/>
          <w:sz w:val="36"/>
          <w:szCs w:val="36"/>
          <w:lang w:val="es-ES"/>
        </w:rPr>
      </w:pPr>
      <w:r w:rsidRPr="00E63614">
        <w:rPr>
          <w:rFonts w:ascii="Book Antiqua" w:eastAsia="Times New Roman" w:hAnsi="Book Antiqua"/>
          <w:b/>
          <w:sz w:val="36"/>
          <w:szCs w:val="36"/>
          <w:lang w:val="es-ES"/>
        </w:rPr>
        <w:t>CÁMARA DE REPRESENTANTES</w:t>
      </w:r>
    </w:p>
    <w:p w14:paraId="3E0A0CFB" w14:textId="77777777" w:rsidR="00E63614" w:rsidRPr="00E63614" w:rsidRDefault="00E63614" w:rsidP="00E63614">
      <w:pPr>
        <w:spacing w:after="0" w:line="240" w:lineRule="auto"/>
        <w:jc w:val="both"/>
        <w:rPr>
          <w:rFonts w:ascii="Book Antiqua" w:eastAsia="Times New Roman" w:hAnsi="Book Antiqua"/>
          <w:sz w:val="24"/>
          <w:szCs w:val="24"/>
          <w:lang w:val="es-ES"/>
        </w:rPr>
      </w:pPr>
    </w:p>
    <w:p w14:paraId="22A0CEAE" w14:textId="59C41E6C" w:rsidR="00E63614" w:rsidRPr="00E63614" w:rsidRDefault="00E63614" w:rsidP="00E63614">
      <w:pPr>
        <w:spacing w:after="0" w:line="240" w:lineRule="auto"/>
        <w:jc w:val="center"/>
        <w:rPr>
          <w:rFonts w:ascii="Book Antiqua" w:eastAsia="Times New Roman" w:hAnsi="Book Antiqua"/>
          <w:b/>
          <w:sz w:val="52"/>
          <w:szCs w:val="52"/>
          <w:u w:val="single"/>
          <w:lang w:val="es-ES"/>
        </w:rPr>
      </w:pPr>
      <w:r w:rsidRPr="00E63614">
        <w:rPr>
          <w:rFonts w:ascii="Book Antiqua" w:eastAsia="Times New Roman" w:hAnsi="Book Antiqua"/>
          <w:b/>
          <w:sz w:val="52"/>
          <w:szCs w:val="52"/>
          <w:lang w:val="es-ES"/>
        </w:rPr>
        <w:t>P. de la C.</w:t>
      </w:r>
      <w:r w:rsidR="002F172D">
        <w:rPr>
          <w:rFonts w:ascii="Book Antiqua" w:eastAsia="Times New Roman" w:hAnsi="Book Antiqua"/>
          <w:b/>
          <w:sz w:val="52"/>
          <w:szCs w:val="52"/>
          <w:lang w:val="es-ES"/>
        </w:rPr>
        <w:t xml:space="preserve"> 926</w:t>
      </w:r>
      <w:r w:rsidR="002D754A">
        <w:rPr>
          <w:rFonts w:ascii="Book Antiqua" w:eastAsia="Times New Roman" w:hAnsi="Book Antiqua"/>
          <w:b/>
          <w:sz w:val="52"/>
          <w:szCs w:val="52"/>
          <w:lang w:val="es-ES"/>
        </w:rPr>
        <w:t xml:space="preserve"> </w:t>
      </w:r>
    </w:p>
    <w:p w14:paraId="0E25A65B" w14:textId="77777777" w:rsidR="00E63614" w:rsidRPr="00E63614" w:rsidRDefault="00E63614" w:rsidP="00E63614">
      <w:pPr>
        <w:spacing w:after="0" w:line="240" w:lineRule="auto"/>
        <w:jc w:val="center"/>
        <w:rPr>
          <w:rFonts w:ascii="Book Antiqua" w:eastAsia="Times New Roman" w:hAnsi="Book Antiqua"/>
          <w:sz w:val="24"/>
          <w:szCs w:val="24"/>
          <w:lang w:val="es-ES"/>
        </w:rPr>
      </w:pPr>
    </w:p>
    <w:p w14:paraId="556BACED" w14:textId="581DFD60" w:rsidR="00E63614" w:rsidRPr="00E63614" w:rsidRDefault="002F172D" w:rsidP="00E63614">
      <w:pPr>
        <w:spacing w:after="0" w:line="240" w:lineRule="auto"/>
        <w:jc w:val="center"/>
        <w:rPr>
          <w:rFonts w:ascii="Book Antiqua" w:eastAsia="Times New Roman" w:hAnsi="Book Antiqua"/>
          <w:sz w:val="24"/>
          <w:szCs w:val="24"/>
          <w:lang w:val="es-ES"/>
        </w:rPr>
      </w:pPr>
      <w:r>
        <w:rPr>
          <w:rFonts w:ascii="Book Antiqua" w:eastAsia="Times New Roman" w:hAnsi="Book Antiqua"/>
          <w:sz w:val="24"/>
          <w:szCs w:val="24"/>
          <w:lang w:val="es-ES"/>
        </w:rPr>
        <w:t xml:space="preserve">14 </w:t>
      </w:r>
      <w:r w:rsidR="00E63614" w:rsidRPr="00E63614">
        <w:rPr>
          <w:rFonts w:ascii="Book Antiqua" w:eastAsia="Times New Roman" w:hAnsi="Book Antiqua"/>
          <w:sz w:val="24"/>
          <w:szCs w:val="24"/>
          <w:lang w:val="es-ES"/>
        </w:rPr>
        <w:t xml:space="preserve">DE </w:t>
      </w:r>
      <w:r w:rsidR="008C238C">
        <w:rPr>
          <w:rFonts w:ascii="Book Antiqua" w:eastAsia="Times New Roman" w:hAnsi="Book Antiqua"/>
          <w:sz w:val="24"/>
          <w:szCs w:val="24"/>
          <w:lang w:val="es-ES"/>
        </w:rPr>
        <w:t>OCTUBRE</w:t>
      </w:r>
      <w:r w:rsidR="00E63614" w:rsidRPr="00E63614">
        <w:rPr>
          <w:rFonts w:ascii="Book Antiqua" w:eastAsia="Times New Roman" w:hAnsi="Book Antiqua"/>
          <w:sz w:val="24"/>
          <w:szCs w:val="24"/>
          <w:lang w:val="es-ES"/>
        </w:rPr>
        <w:t xml:space="preserve"> DE 202</w:t>
      </w:r>
      <w:r w:rsidR="007C06EF">
        <w:rPr>
          <w:rFonts w:ascii="Book Antiqua" w:eastAsia="Times New Roman" w:hAnsi="Book Antiqua"/>
          <w:sz w:val="24"/>
          <w:szCs w:val="24"/>
          <w:lang w:val="es-ES"/>
        </w:rPr>
        <w:t>5</w:t>
      </w:r>
    </w:p>
    <w:p w14:paraId="1ED5DEF6" w14:textId="77777777" w:rsidR="00E63614" w:rsidRPr="00E63614" w:rsidRDefault="00E63614" w:rsidP="00E63614">
      <w:pPr>
        <w:spacing w:after="0" w:line="240" w:lineRule="auto"/>
        <w:jc w:val="center"/>
        <w:rPr>
          <w:rFonts w:ascii="Book Antiqua" w:eastAsia="Times New Roman" w:hAnsi="Book Antiqua"/>
          <w:sz w:val="24"/>
          <w:szCs w:val="24"/>
          <w:lang w:val="es-ES"/>
        </w:rPr>
      </w:pPr>
    </w:p>
    <w:p w14:paraId="0DD73533" w14:textId="77777777" w:rsidR="00E63614" w:rsidRPr="00E63614" w:rsidRDefault="00E63614" w:rsidP="00E63614">
      <w:pPr>
        <w:spacing w:after="0" w:line="240" w:lineRule="auto"/>
        <w:jc w:val="center"/>
        <w:rPr>
          <w:rFonts w:ascii="Book Antiqua" w:eastAsia="Times New Roman" w:hAnsi="Book Antiqua"/>
          <w:i/>
          <w:sz w:val="24"/>
          <w:szCs w:val="24"/>
          <w:lang w:val="es-ES"/>
        </w:rPr>
      </w:pPr>
      <w:r w:rsidRPr="00E63614">
        <w:rPr>
          <w:rFonts w:ascii="Book Antiqua" w:eastAsia="Times New Roman" w:hAnsi="Book Antiqua"/>
          <w:sz w:val="24"/>
          <w:szCs w:val="24"/>
          <w:lang w:val="es-ES"/>
        </w:rPr>
        <w:t xml:space="preserve">Presentado por la representante </w:t>
      </w:r>
      <w:r w:rsidRPr="00E63614">
        <w:rPr>
          <w:rFonts w:ascii="Book Antiqua" w:eastAsia="Times New Roman" w:hAnsi="Book Antiqua"/>
          <w:i/>
          <w:sz w:val="24"/>
          <w:szCs w:val="24"/>
          <w:lang w:val="es-ES"/>
        </w:rPr>
        <w:t>Martínez Soto</w:t>
      </w:r>
    </w:p>
    <w:p w14:paraId="142090FD" w14:textId="77777777" w:rsidR="00E63614" w:rsidRPr="00E63614" w:rsidRDefault="00E63614" w:rsidP="00E63614">
      <w:pPr>
        <w:spacing w:after="0" w:line="240" w:lineRule="auto"/>
        <w:jc w:val="center"/>
        <w:rPr>
          <w:rFonts w:ascii="Book Antiqua" w:eastAsia="Times New Roman" w:hAnsi="Book Antiqua"/>
          <w:sz w:val="24"/>
          <w:szCs w:val="24"/>
          <w:lang w:val="es-ES"/>
        </w:rPr>
      </w:pPr>
    </w:p>
    <w:p w14:paraId="4066FAE0" w14:textId="53913699" w:rsidR="00E63614" w:rsidRPr="00262C93" w:rsidRDefault="00E63614" w:rsidP="007C06EF">
      <w:pPr>
        <w:spacing w:after="0" w:line="240" w:lineRule="auto"/>
        <w:jc w:val="center"/>
        <w:rPr>
          <w:rFonts w:ascii="Book Antiqua" w:eastAsia="Times New Roman" w:hAnsi="Book Antiqua"/>
          <w:sz w:val="24"/>
          <w:szCs w:val="24"/>
          <w:lang w:val="es-ES"/>
        </w:rPr>
      </w:pPr>
      <w:r w:rsidRPr="00E63614">
        <w:rPr>
          <w:rFonts w:ascii="Book Antiqua" w:eastAsia="Times New Roman" w:hAnsi="Book Antiqua"/>
          <w:sz w:val="24"/>
          <w:szCs w:val="24"/>
          <w:lang w:val="es-ES"/>
        </w:rPr>
        <w:t xml:space="preserve">Referido a </w:t>
      </w:r>
      <w:r w:rsidR="004764B2">
        <w:rPr>
          <w:rFonts w:ascii="Book Antiqua" w:eastAsia="Times New Roman" w:hAnsi="Book Antiqua"/>
          <w:sz w:val="24"/>
          <w:szCs w:val="24"/>
          <w:lang w:val="es-ES"/>
        </w:rPr>
        <w:t>la Comisión de Asuntos del Consumidor</w:t>
      </w:r>
    </w:p>
    <w:p w14:paraId="49B3295C" w14:textId="77777777" w:rsidR="00E63614" w:rsidRPr="00E63614" w:rsidRDefault="00E63614" w:rsidP="00E63614">
      <w:pPr>
        <w:spacing w:after="0" w:line="240" w:lineRule="auto"/>
        <w:jc w:val="center"/>
        <w:rPr>
          <w:rFonts w:ascii="Book Antiqua" w:eastAsia="Times New Roman" w:hAnsi="Book Antiqua"/>
          <w:sz w:val="24"/>
          <w:szCs w:val="24"/>
          <w:lang w:val="es-ES"/>
        </w:rPr>
      </w:pPr>
    </w:p>
    <w:p w14:paraId="79467AEC" w14:textId="77777777" w:rsidR="00E63614" w:rsidRPr="00E63614" w:rsidRDefault="00E63614" w:rsidP="00E63614">
      <w:pPr>
        <w:spacing w:after="0" w:line="240" w:lineRule="auto"/>
        <w:jc w:val="center"/>
        <w:rPr>
          <w:rFonts w:ascii="Book Antiqua" w:eastAsia="Times New Roman" w:hAnsi="Book Antiqua"/>
          <w:b/>
          <w:sz w:val="28"/>
          <w:szCs w:val="28"/>
          <w:lang w:val="es-ES"/>
        </w:rPr>
      </w:pPr>
      <w:r w:rsidRPr="00E63614">
        <w:rPr>
          <w:rFonts w:ascii="Book Antiqua" w:eastAsia="Times New Roman" w:hAnsi="Book Antiqua"/>
          <w:b/>
          <w:sz w:val="28"/>
          <w:szCs w:val="28"/>
          <w:lang w:val="es-ES"/>
        </w:rPr>
        <w:t>LEY</w:t>
      </w:r>
    </w:p>
    <w:p w14:paraId="1FE69B09" w14:textId="77777777" w:rsidR="00E63614" w:rsidRPr="00E63614" w:rsidRDefault="00E63614" w:rsidP="00E63614">
      <w:pPr>
        <w:spacing w:after="0" w:line="240" w:lineRule="auto"/>
        <w:jc w:val="both"/>
        <w:rPr>
          <w:rFonts w:ascii="Book Antiqua" w:eastAsia="Times New Roman" w:hAnsi="Book Antiqua"/>
          <w:sz w:val="24"/>
          <w:szCs w:val="24"/>
          <w:lang w:val="es-ES"/>
        </w:rPr>
      </w:pPr>
    </w:p>
    <w:p w14:paraId="6CD65FF0" w14:textId="7D169A15" w:rsidR="00E63614" w:rsidRPr="00E63614" w:rsidRDefault="00E63614" w:rsidP="00E63614">
      <w:pPr>
        <w:suppressLineNumbers/>
        <w:spacing w:after="0" w:line="240" w:lineRule="auto"/>
        <w:ind w:left="720" w:hanging="720"/>
        <w:jc w:val="both"/>
        <w:rPr>
          <w:rFonts w:ascii="Book Antiqua" w:eastAsia="Times New Roman" w:hAnsi="Book Antiqua"/>
          <w:spacing w:val="-3"/>
          <w:sz w:val="24"/>
          <w:szCs w:val="24"/>
          <w:lang w:val="es-ES"/>
        </w:rPr>
      </w:pPr>
      <w:r w:rsidRPr="00E63614">
        <w:rPr>
          <w:rFonts w:ascii="Book Antiqua" w:eastAsia="Times New Roman" w:hAnsi="Book Antiqua"/>
          <w:spacing w:val="-3"/>
          <w:sz w:val="24"/>
          <w:szCs w:val="24"/>
          <w:lang w:val="es-ES"/>
        </w:rPr>
        <w:t xml:space="preserve">Para crear la </w:t>
      </w:r>
      <w:r w:rsidRPr="00E63614">
        <w:rPr>
          <w:rFonts w:ascii="Book Antiqua" w:eastAsia="Times New Roman" w:hAnsi="Book Antiqua"/>
          <w:sz w:val="24"/>
          <w:szCs w:val="24"/>
          <w:lang w:val="es-ES"/>
        </w:rPr>
        <w:t>“Ley para la Fiscalización de la Industria del Gas Licuado del Petróleo</w:t>
      </w:r>
      <w:r w:rsidR="00ED2E05">
        <w:rPr>
          <w:rFonts w:ascii="Book Antiqua" w:eastAsia="Times New Roman" w:hAnsi="Book Antiqua"/>
          <w:sz w:val="24"/>
          <w:szCs w:val="24"/>
          <w:lang w:val="es-ES"/>
        </w:rPr>
        <w:t xml:space="preserve"> </w:t>
      </w:r>
      <w:r w:rsidR="00ED2E05" w:rsidRPr="007C06EF">
        <w:rPr>
          <w:rFonts w:ascii="Book Antiqua" w:eastAsia="Times New Roman" w:hAnsi="Book Antiqua"/>
          <w:iCs/>
          <w:sz w:val="24"/>
          <w:szCs w:val="24"/>
          <w:lang w:val="es-ES"/>
        </w:rPr>
        <w:t>y el Gas Natural</w:t>
      </w:r>
      <w:r w:rsidRPr="007C06EF">
        <w:rPr>
          <w:rFonts w:ascii="Book Antiqua" w:eastAsia="Times New Roman" w:hAnsi="Book Antiqua"/>
          <w:iCs/>
          <w:sz w:val="24"/>
          <w:szCs w:val="24"/>
          <w:lang w:val="es-ES"/>
        </w:rPr>
        <w:t xml:space="preserve">, </w:t>
      </w:r>
      <w:r w:rsidRPr="00E63614">
        <w:rPr>
          <w:rFonts w:ascii="Book Antiqua" w:eastAsia="Times New Roman" w:hAnsi="Book Antiqua"/>
          <w:sz w:val="24"/>
          <w:szCs w:val="24"/>
          <w:lang w:val="es-ES"/>
        </w:rPr>
        <w:t>en Protección de los Consumidores”</w:t>
      </w:r>
      <w:r w:rsidRPr="00E63614">
        <w:rPr>
          <w:rFonts w:ascii="Book Antiqua" w:eastAsia="Times New Roman" w:hAnsi="Book Antiqua"/>
          <w:spacing w:val="-3"/>
          <w:sz w:val="24"/>
          <w:szCs w:val="24"/>
          <w:lang w:val="es-ES"/>
        </w:rPr>
        <w:t xml:space="preserve">; y para otros fines.  </w:t>
      </w:r>
    </w:p>
    <w:p w14:paraId="772B78D0" w14:textId="77777777" w:rsidR="00E63614" w:rsidRPr="00E63614" w:rsidRDefault="00E63614" w:rsidP="00E63614">
      <w:pPr>
        <w:spacing w:after="0" w:line="240" w:lineRule="auto"/>
        <w:jc w:val="both"/>
        <w:rPr>
          <w:rFonts w:ascii="Book Antiqua" w:eastAsia="Times New Roman" w:hAnsi="Book Antiqua"/>
          <w:color w:val="000000"/>
          <w:sz w:val="24"/>
          <w:szCs w:val="24"/>
          <w:lang w:val="es-ES"/>
        </w:rPr>
      </w:pPr>
    </w:p>
    <w:p w14:paraId="59C6C2DD" w14:textId="77777777" w:rsidR="00E63614" w:rsidRPr="00E63614" w:rsidRDefault="00E63614" w:rsidP="00E63614">
      <w:pPr>
        <w:spacing w:after="0" w:line="240" w:lineRule="auto"/>
        <w:jc w:val="center"/>
        <w:rPr>
          <w:rFonts w:ascii="Book Antiqua" w:eastAsia="Times New Roman" w:hAnsi="Book Antiqua"/>
          <w:sz w:val="24"/>
          <w:szCs w:val="24"/>
          <w:lang w:val="es-ES"/>
        </w:rPr>
      </w:pPr>
      <w:r w:rsidRPr="00E63614">
        <w:rPr>
          <w:rFonts w:ascii="Book Antiqua" w:eastAsia="Times New Roman" w:hAnsi="Book Antiqua"/>
          <w:sz w:val="24"/>
          <w:szCs w:val="24"/>
          <w:lang w:val="es-ES"/>
        </w:rPr>
        <w:t>EXPOSICIÓN DE MOTIVOS</w:t>
      </w:r>
    </w:p>
    <w:p w14:paraId="392E8981" w14:textId="77777777" w:rsidR="00E63614" w:rsidRPr="00E63614" w:rsidRDefault="00E63614" w:rsidP="00E63614">
      <w:pPr>
        <w:shd w:val="clear" w:color="auto" w:fill="FFFFFF"/>
        <w:spacing w:after="0" w:line="270" w:lineRule="atLeast"/>
        <w:jc w:val="both"/>
        <w:rPr>
          <w:rFonts w:ascii="Book Antiqua" w:eastAsia="Times New Roman" w:hAnsi="Book Antiqua" w:cs="Arial"/>
          <w:color w:val="333333"/>
          <w:sz w:val="18"/>
          <w:szCs w:val="18"/>
          <w:bdr w:val="none" w:sz="0" w:space="0" w:color="auto" w:frame="1"/>
          <w:lang w:val="es-ES"/>
        </w:rPr>
      </w:pPr>
    </w:p>
    <w:p w14:paraId="50FDB75C" w14:textId="77777777" w:rsidR="007151D3" w:rsidRDefault="007151D3" w:rsidP="00E63614">
      <w:pPr>
        <w:shd w:val="clear" w:color="auto" w:fill="FFFFFF"/>
        <w:spacing w:after="0" w:line="240" w:lineRule="auto"/>
        <w:ind w:firstLine="720"/>
        <w:jc w:val="both"/>
        <w:rPr>
          <w:rFonts w:ascii="Book Antiqua" w:hAnsi="Book Antiqua" w:cs="Arial"/>
          <w:sz w:val="24"/>
          <w:szCs w:val="24"/>
          <w:lang w:val="es-ES" w:eastAsia="ar-SA"/>
        </w:rPr>
      </w:pPr>
    </w:p>
    <w:p w14:paraId="30E9CEAE" w14:textId="7FFA1470" w:rsidR="007151D3" w:rsidRDefault="007151D3" w:rsidP="007151D3">
      <w:pPr>
        <w:shd w:val="clear" w:color="auto" w:fill="FFFFFF"/>
        <w:spacing w:after="0" w:line="240" w:lineRule="auto"/>
        <w:ind w:firstLine="720"/>
        <w:jc w:val="both"/>
        <w:rPr>
          <w:rFonts w:ascii="Book Antiqua" w:hAnsi="Book Antiqua" w:cs="Arial"/>
          <w:sz w:val="24"/>
          <w:szCs w:val="24"/>
          <w:lang w:val="es-PR" w:eastAsia="ar-SA"/>
        </w:rPr>
      </w:pPr>
      <w:r w:rsidRPr="007151D3">
        <w:rPr>
          <w:rFonts w:ascii="Book Antiqua" w:hAnsi="Book Antiqua" w:cs="Arial"/>
          <w:sz w:val="24"/>
          <w:szCs w:val="24"/>
          <w:lang w:val="es-PR" w:eastAsia="ar-SA"/>
        </w:rPr>
        <w:t xml:space="preserve">La industria del gas licuado del petróleo (GLP) sigue siendo un insumo doméstico esencial en Puerto Rico, especialmente para hogares que no cuentan con acceso a redes de gas natural o alternativas eléctricas. Aunque no se han publicado estadísticas oficiales muy actualizadas que indiquen el número exacto de familias usuarias, </w:t>
      </w:r>
      <w:r>
        <w:rPr>
          <w:rFonts w:ascii="Book Antiqua" w:hAnsi="Book Antiqua" w:cs="Arial"/>
          <w:sz w:val="24"/>
          <w:szCs w:val="24"/>
          <w:lang w:val="es-PR" w:eastAsia="ar-SA"/>
        </w:rPr>
        <w:t>se estima en cerca de 600,000 familias que dependen d</w:t>
      </w:r>
      <w:r w:rsidRPr="007151D3">
        <w:rPr>
          <w:rFonts w:ascii="Book Antiqua" w:hAnsi="Book Antiqua" w:cs="Arial"/>
          <w:sz w:val="24"/>
          <w:szCs w:val="24"/>
          <w:lang w:val="es-PR" w:eastAsia="ar-SA"/>
        </w:rPr>
        <w:t>el GLP</w:t>
      </w:r>
      <w:r>
        <w:rPr>
          <w:rFonts w:ascii="Book Antiqua" w:hAnsi="Book Antiqua" w:cs="Arial"/>
          <w:sz w:val="24"/>
          <w:szCs w:val="24"/>
          <w:lang w:val="es-PR" w:eastAsia="ar-SA"/>
        </w:rPr>
        <w:t>, por lo que</w:t>
      </w:r>
      <w:r w:rsidRPr="007151D3">
        <w:rPr>
          <w:rFonts w:ascii="Book Antiqua" w:hAnsi="Book Antiqua" w:cs="Arial"/>
          <w:sz w:val="24"/>
          <w:szCs w:val="24"/>
          <w:lang w:val="es-PR" w:eastAsia="ar-SA"/>
        </w:rPr>
        <w:t xml:space="preserve"> continúa siendo una fuente habitual para cocinar y otros usos residenciales.</w:t>
      </w:r>
    </w:p>
    <w:p w14:paraId="1F7843B7" w14:textId="77777777" w:rsidR="007151D3" w:rsidRPr="007151D3" w:rsidRDefault="007151D3" w:rsidP="007151D3">
      <w:pPr>
        <w:shd w:val="clear" w:color="auto" w:fill="FFFFFF"/>
        <w:spacing w:after="0" w:line="240" w:lineRule="auto"/>
        <w:ind w:firstLine="720"/>
        <w:jc w:val="both"/>
        <w:rPr>
          <w:rFonts w:ascii="Book Antiqua" w:hAnsi="Book Antiqua" w:cs="Arial"/>
          <w:sz w:val="24"/>
          <w:szCs w:val="24"/>
          <w:lang w:val="es-PR" w:eastAsia="ar-SA"/>
        </w:rPr>
      </w:pPr>
    </w:p>
    <w:p w14:paraId="75FB3C0A" w14:textId="340927E0" w:rsidR="007151D3" w:rsidRDefault="007151D3" w:rsidP="00386A14">
      <w:pPr>
        <w:shd w:val="clear" w:color="auto" w:fill="FFFFFF"/>
        <w:spacing w:after="0" w:line="240" w:lineRule="auto"/>
        <w:ind w:firstLine="720"/>
        <w:jc w:val="both"/>
        <w:rPr>
          <w:rFonts w:ascii="Book Antiqua" w:hAnsi="Book Antiqua" w:cs="Arial"/>
          <w:sz w:val="24"/>
          <w:szCs w:val="24"/>
          <w:lang w:val="es-PR" w:eastAsia="ar-SA"/>
        </w:rPr>
      </w:pPr>
      <w:r w:rsidRPr="007151D3">
        <w:rPr>
          <w:rFonts w:ascii="Book Antiqua" w:hAnsi="Book Antiqua" w:cs="Arial"/>
          <w:sz w:val="24"/>
          <w:szCs w:val="24"/>
          <w:lang w:val="es-PR" w:eastAsia="ar-SA"/>
        </w:rPr>
        <w:t>Según datos públicos disponible</w:t>
      </w:r>
      <w:r w:rsidRPr="00191ED2">
        <w:rPr>
          <w:rFonts w:ascii="Book Antiqua" w:hAnsi="Book Antiqua" w:cs="Arial"/>
          <w:sz w:val="24"/>
          <w:szCs w:val="24"/>
          <w:lang w:val="es-PR" w:eastAsia="ar-SA"/>
        </w:rPr>
        <w:t>s en "</w:t>
      </w:r>
      <w:proofErr w:type="spellStart"/>
      <w:r w:rsidRPr="00191ED2">
        <w:rPr>
          <w:rFonts w:ascii="Book Antiqua" w:hAnsi="Book Antiqua" w:cs="Arial"/>
          <w:sz w:val="24"/>
          <w:szCs w:val="24"/>
          <w:lang w:val="es-PR" w:eastAsia="ar-SA"/>
        </w:rPr>
        <w:t>The</w:t>
      </w:r>
      <w:proofErr w:type="spellEnd"/>
      <w:r w:rsidRPr="00191ED2">
        <w:rPr>
          <w:rFonts w:ascii="Book Antiqua" w:hAnsi="Book Antiqua" w:cs="Arial"/>
          <w:sz w:val="24"/>
          <w:szCs w:val="24"/>
          <w:lang w:val="es-PR" w:eastAsia="ar-SA"/>
        </w:rPr>
        <w:t xml:space="preserve"> Global </w:t>
      </w:r>
      <w:proofErr w:type="spellStart"/>
      <w:r w:rsidRPr="00191ED2">
        <w:rPr>
          <w:rFonts w:ascii="Book Antiqua" w:hAnsi="Book Antiqua" w:cs="Arial"/>
          <w:sz w:val="24"/>
          <w:szCs w:val="24"/>
          <w:lang w:val="es-PR" w:eastAsia="ar-SA"/>
        </w:rPr>
        <w:t>Economy</w:t>
      </w:r>
      <w:proofErr w:type="spellEnd"/>
      <w:r w:rsidRPr="00191ED2">
        <w:rPr>
          <w:rFonts w:ascii="Book Antiqua" w:hAnsi="Book Antiqua" w:cs="Arial"/>
          <w:sz w:val="24"/>
          <w:szCs w:val="24"/>
          <w:lang w:val="es-PR" w:eastAsia="ar-SA"/>
        </w:rPr>
        <w:t>"</w:t>
      </w:r>
      <w:r w:rsidRPr="00191ED2">
        <w:rPr>
          <w:rStyle w:val="FootnoteReference"/>
          <w:rFonts w:ascii="Book Antiqua" w:hAnsi="Book Antiqua" w:cs="Arial"/>
          <w:sz w:val="24"/>
          <w:szCs w:val="24"/>
          <w:lang w:val="es-PR" w:eastAsia="ar-SA"/>
        </w:rPr>
        <w:footnoteReference w:id="1"/>
      </w:r>
      <w:r w:rsidRPr="007151D3">
        <w:rPr>
          <w:rFonts w:ascii="Book Antiqua" w:hAnsi="Book Antiqua" w:cs="Arial"/>
          <w:sz w:val="24"/>
          <w:szCs w:val="24"/>
          <w:lang w:val="es-PR" w:eastAsia="ar-SA"/>
        </w:rPr>
        <w:t>, en 2023 Puerto Rico consumió un promedio de 5.47 miles de barriles diarios de GLP (equivalente a unos 5,470 barriles/día). Este nivel de consumo refleja una demanda significativa del sector doméstico, comercial e industrial.</w:t>
      </w:r>
      <w:r w:rsidR="00386A14">
        <w:rPr>
          <w:rFonts w:ascii="Book Antiqua" w:hAnsi="Book Antiqua" w:cs="Arial"/>
          <w:sz w:val="24"/>
          <w:szCs w:val="24"/>
          <w:lang w:val="es-PR" w:eastAsia="ar-SA"/>
        </w:rPr>
        <w:t xml:space="preserve"> </w:t>
      </w:r>
      <w:r w:rsidRPr="007151D3">
        <w:rPr>
          <w:rFonts w:ascii="Book Antiqua" w:hAnsi="Book Antiqua" w:cs="Arial"/>
          <w:sz w:val="24"/>
          <w:szCs w:val="24"/>
          <w:lang w:val="es-PR" w:eastAsia="ar-SA"/>
        </w:rPr>
        <w:t xml:space="preserve">En el ámbito energético general de la isla, los informes de la Administración de Información Energética de EE. UU. (EIA) reflejan que, para 2023, aproximadamente el 58 </w:t>
      </w:r>
      <w:r w:rsidRPr="007151D3">
        <w:rPr>
          <w:rFonts w:ascii="Book Antiqua" w:hAnsi="Book Antiqua" w:cs="Arial"/>
          <w:b/>
          <w:bCs/>
          <w:sz w:val="24"/>
          <w:szCs w:val="24"/>
          <w:lang w:val="es-PR" w:eastAsia="ar-SA"/>
        </w:rPr>
        <w:t>%</w:t>
      </w:r>
      <w:r w:rsidRPr="007151D3">
        <w:rPr>
          <w:rFonts w:ascii="Book Antiqua" w:hAnsi="Book Antiqua" w:cs="Arial"/>
          <w:sz w:val="24"/>
          <w:szCs w:val="24"/>
          <w:lang w:val="es-PR" w:eastAsia="ar-SA"/>
        </w:rPr>
        <w:t xml:space="preserve"> del consumo total de energía de Puerto Rico corresponde a productos derivados del petróleo, incluidos el GLP y otros combustibles fósiles</w:t>
      </w:r>
      <w:r>
        <w:rPr>
          <w:rStyle w:val="FootnoteReference"/>
          <w:rFonts w:ascii="Book Antiqua" w:hAnsi="Book Antiqua" w:cs="Arial"/>
          <w:sz w:val="24"/>
          <w:szCs w:val="24"/>
          <w:lang w:val="es-PR" w:eastAsia="ar-SA"/>
        </w:rPr>
        <w:footnoteReference w:id="2"/>
      </w:r>
      <w:r w:rsidRPr="007151D3">
        <w:rPr>
          <w:rFonts w:ascii="Book Antiqua" w:hAnsi="Book Antiqua" w:cs="Arial"/>
          <w:sz w:val="24"/>
          <w:szCs w:val="24"/>
          <w:lang w:val="es-PR" w:eastAsia="ar-SA"/>
        </w:rPr>
        <w:t xml:space="preserve">. De esta </w:t>
      </w:r>
      <w:r w:rsidRPr="007151D3">
        <w:rPr>
          <w:rFonts w:ascii="Book Antiqua" w:hAnsi="Book Antiqua" w:cs="Arial"/>
          <w:sz w:val="24"/>
          <w:szCs w:val="24"/>
          <w:lang w:val="es-PR" w:eastAsia="ar-SA"/>
        </w:rPr>
        <w:lastRenderedPageBreak/>
        <w:t xml:space="preserve">manera, la isla continúa siendo altamente dependiente de importaciones para satisfacer su demanda energética. </w:t>
      </w:r>
      <w:r w:rsidR="00F174E1">
        <w:rPr>
          <w:rFonts w:ascii="Book Antiqua" w:hAnsi="Book Antiqua" w:cs="Arial"/>
          <w:sz w:val="24"/>
          <w:szCs w:val="24"/>
          <w:lang w:val="es-PR" w:eastAsia="ar-SA"/>
        </w:rPr>
        <w:t xml:space="preserve">De igual forma, debemos tener en cuenta que el costo del gas </w:t>
      </w:r>
      <w:proofErr w:type="spellStart"/>
      <w:r w:rsidR="00F174E1">
        <w:rPr>
          <w:rFonts w:ascii="Book Antiqua" w:hAnsi="Book Antiqua" w:cs="Arial"/>
          <w:sz w:val="24"/>
          <w:szCs w:val="24"/>
          <w:lang w:val="es-PR" w:eastAsia="ar-SA"/>
        </w:rPr>
        <w:t>liquado</w:t>
      </w:r>
      <w:proofErr w:type="spellEnd"/>
      <w:r w:rsidR="00F174E1">
        <w:rPr>
          <w:rFonts w:ascii="Book Antiqua" w:hAnsi="Book Antiqua" w:cs="Arial"/>
          <w:sz w:val="24"/>
          <w:szCs w:val="24"/>
          <w:lang w:val="es-PR" w:eastAsia="ar-SA"/>
        </w:rPr>
        <w:t xml:space="preserve"> ha estado en continuo aumento, en 2019 el cilindro de 100 libras tenía un valor de entre $80 a $85 dólares, mientras que en junio 2023 (según datos publicados por el DACO) se encontraba en $109.08. Lo que representa un </w:t>
      </w:r>
      <w:r w:rsidR="00742407">
        <w:rPr>
          <w:rFonts w:ascii="Book Antiqua" w:hAnsi="Book Antiqua" w:cs="Arial"/>
          <w:sz w:val="24"/>
          <w:szCs w:val="24"/>
          <w:lang w:val="es-PR" w:eastAsia="ar-SA"/>
        </w:rPr>
        <w:t>costo</w:t>
      </w:r>
      <w:r w:rsidR="00F174E1">
        <w:rPr>
          <w:rFonts w:ascii="Book Antiqua" w:hAnsi="Book Antiqua" w:cs="Arial"/>
          <w:sz w:val="24"/>
          <w:szCs w:val="24"/>
          <w:lang w:val="es-PR" w:eastAsia="ar-SA"/>
        </w:rPr>
        <w:t xml:space="preserve"> mayor al 20%</w:t>
      </w:r>
      <w:r w:rsidR="006E0ED8">
        <w:rPr>
          <w:rFonts w:ascii="Book Antiqua" w:hAnsi="Book Antiqua" w:cs="Arial"/>
          <w:sz w:val="24"/>
          <w:szCs w:val="24"/>
          <w:lang w:val="es-PR" w:eastAsia="ar-SA"/>
        </w:rPr>
        <w:t>,</w:t>
      </w:r>
      <w:r w:rsidR="00742407">
        <w:rPr>
          <w:rFonts w:ascii="Book Antiqua" w:hAnsi="Book Antiqua" w:cs="Arial"/>
          <w:sz w:val="24"/>
          <w:szCs w:val="24"/>
          <w:lang w:val="es-PR" w:eastAsia="ar-SA"/>
        </w:rPr>
        <w:t xml:space="preserve"> el cual es el aumento global de los mercados de referencia</w:t>
      </w:r>
      <w:r w:rsidR="006E0ED8">
        <w:rPr>
          <w:rFonts w:ascii="Book Antiqua" w:hAnsi="Book Antiqua" w:cs="Arial"/>
          <w:sz w:val="24"/>
          <w:szCs w:val="24"/>
          <w:lang w:val="es-PR" w:eastAsia="ar-SA"/>
        </w:rPr>
        <w:t xml:space="preserve"> en este periodo</w:t>
      </w:r>
      <w:r w:rsidR="00742407">
        <w:rPr>
          <w:rFonts w:ascii="Book Antiqua" w:hAnsi="Book Antiqua" w:cs="Arial"/>
          <w:sz w:val="24"/>
          <w:szCs w:val="24"/>
          <w:lang w:val="es-PR" w:eastAsia="ar-SA"/>
        </w:rPr>
        <w:t>.</w:t>
      </w:r>
      <w:r w:rsidR="00F174E1">
        <w:rPr>
          <w:rFonts w:ascii="Book Antiqua" w:hAnsi="Book Antiqua" w:cs="Arial"/>
          <w:sz w:val="24"/>
          <w:szCs w:val="24"/>
          <w:lang w:val="es-PR" w:eastAsia="ar-SA"/>
        </w:rPr>
        <w:t xml:space="preserve"> </w:t>
      </w:r>
      <w:r w:rsidR="006E0ED8" w:rsidRPr="006E0ED8">
        <w:rPr>
          <w:rFonts w:ascii="Book Antiqua" w:hAnsi="Book Antiqua" w:cs="Arial"/>
          <w:sz w:val="24"/>
          <w:szCs w:val="24"/>
          <w:lang w:val="es-ES" w:eastAsia="ar-SA"/>
        </w:rPr>
        <w:t>Ello, sin cumplir con los procesos establecidos por el Departamento de Asuntos del Consumidor (DACO) para estos asuntos.</w:t>
      </w:r>
    </w:p>
    <w:p w14:paraId="215C0992" w14:textId="77777777" w:rsidR="00F174E1" w:rsidRPr="007151D3" w:rsidRDefault="00F174E1" w:rsidP="00386A14">
      <w:pPr>
        <w:shd w:val="clear" w:color="auto" w:fill="FFFFFF"/>
        <w:spacing w:after="0" w:line="240" w:lineRule="auto"/>
        <w:ind w:firstLine="720"/>
        <w:jc w:val="both"/>
        <w:rPr>
          <w:rFonts w:ascii="Book Antiqua" w:hAnsi="Book Antiqua" w:cs="Arial"/>
          <w:sz w:val="24"/>
          <w:szCs w:val="24"/>
          <w:lang w:val="es-PR" w:eastAsia="ar-SA"/>
        </w:rPr>
      </w:pPr>
    </w:p>
    <w:p w14:paraId="423B39A1" w14:textId="22C740DF" w:rsidR="007151D3" w:rsidRPr="007151D3" w:rsidRDefault="007151D3" w:rsidP="007151D3">
      <w:pPr>
        <w:shd w:val="clear" w:color="auto" w:fill="FFFFFF"/>
        <w:spacing w:after="0" w:line="240" w:lineRule="auto"/>
        <w:ind w:firstLine="720"/>
        <w:jc w:val="both"/>
        <w:rPr>
          <w:rFonts w:ascii="Book Antiqua" w:hAnsi="Book Antiqua" w:cs="Arial"/>
          <w:sz w:val="24"/>
          <w:szCs w:val="24"/>
          <w:lang w:val="es-PR" w:eastAsia="ar-SA"/>
        </w:rPr>
      </w:pPr>
      <w:r w:rsidRPr="007151D3">
        <w:rPr>
          <w:rFonts w:ascii="Book Antiqua" w:hAnsi="Book Antiqua" w:cs="Arial"/>
          <w:sz w:val="24"/>
          <w:szCs w:val="24"/>
          <w:lang w:val="es-PR" w:eastAsia="ar-SA"/>
        </w:rPr>
        <w:t xml:space="preserve">Por otro lado, en el plano regulatorio y de transparencia, los estudios del </w:t>
      </w:r>
      <w:r w:rsidR="00386A14">
        <w:rPr>
          <w:rFonts w:ascii="Book Antiqua" w:hAnsi="Book Antiqua" w:cs="Arial"/>
          <w:sz w:val="24"/>
          <w:szCs w:val="24"/>
          <w:lang w:val="es-PR" w:eastAsia="ar-SA"/>
        </w:rPr>
        <w:t>Departamento de Asuntos del Consumidor (</w:t>
      </w:r>
      <w:r w:rsidRPr="007151D3">
        <w:rPr>
          <w:rFonts w:ascii="Book Antiqua" w:hAnsi="Book Antiqua" w:cs="Arial"/>
          <w:sz w:val="24"/>
          <w:szCs w:val="24"/>
          <w:lang w:val="es-PR" w:eastAsia="ar-SA"/>
        </w:rPr>
        <w:t>DACO</w:t>
      </w:r>
      <w:r w:rsidR="00386A14">
        <w:rPr>
          <w:rFonts w:ascii="Book Antiqua" w:hAnsi="Book Antiqua" w:cs="Arial"/>
          <w:sz w:val="24"/>
          <w:szCs w:val="24"/>
          <w:lang w:val="es-PR" w:eastAsia="ar-SA"/>
        </w:rPr>
        <w:t>),</w:t>
      </w:r>
      <w:r w:rsidRPr="007151D3">
        <w:rPr>
          <w:rFonts w:ascii="Book Antiqua" w:hAnsi="Book Antiqua" w:cs="Arial"/>
          <w:sz w:val="24"/>
          <w:szCs w:val="24"/>
          <w:lang w:val="es-PR" w:eastAsia="ar-SA"/>
        </w:rPr>
        <w:t xml:space="preserve"> realizados alrededor de 2021</w:t>
      </w:r>
      <w:r w:rsidR="00386A14">
        <w:rPr>
          <w:rFonts w:ascii="Book Antiqua" w:hAnsi="Book Antiqua" w:cs="Arial"/>
          <w:sz w:val="24"/>
          <w:szCs w:val="24"/>
          <w:lang w:val="es-PR" w:eastAsia="ar-SA"/>
        </w:rPr>
        <w:t xml:space="preserve"> y presentados en los informes sobre el Perfil de la Industria del Gas Licuado en Puerto Rico,</w:t>
      </w:r>
      <w:r w:rsidRPr="007151D3">
        <w:rPr>
          <w:rFonts w:ascii="Book Antiqua" w:hAnsi="Book Antiqua" w:cs="Arial"/>
          <w:sz w:val="24"/>
          <w:szCs w:val="24"/>
          <w:lang w:val="es-PR" w:eastAsia="ar-SA"/>
        </w:rPr>
        <w:t xml:space="preserve"> siguen siendo referencia obligada para entender la estructura y las prácticas del mercado del GLP. En particular:</w:t>
      </w:r>
    </w:p>
    <w:p w14:paraId="751EA1D6" w14:textId="51107BA2" w:rsidR="007151D3" w:rsidRPr="007151D3" w:rsidRDefault="007151D3" w:rsidP="007151D3">
      <w:pPr>
        <w:numPr>
          <w:ilvl w:val="0"/>
          <w:numId w:val="5"/>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sz w:val="24"/>
          <w:szCs w:val="24"/>
          <w:lang w:val="es-PR" w:eastAsia="ar-SA"/>
        </w:rPr>
        <w:t>El DACO identificó que los importadores de GLP, en ciertos casos, entregan facturas en blanco a distribuidores y detallistas, lo que dificulta la verificación de costos y transparencia</w:t>
      </w:r>
      <w:r w:rsidR="00386A14">
        <w:rPr>
          <w:rStyle w:val="FootnoteReference"/>
          <w:rFonts w:ascii="Book Antiqua" w:hAnsi="Book Antiqua" w:cs="Arial"/>
          <w:sz w:val="24"/>
          <w:szCs w:val="24"/>
          <w:lang w:val="es-PR" w:eastAsia="ar-SA"/>
        </w:rPr>
        <w:footnoteReference w:id="3"/>
      </w:r>
      <w:r w:rsidRPr="007151D3">
        <w:rPr>
          <w:rFonts w:ascii="Book Antiqua" w:hAnsi="Book Antiqua" w:cs="Arial"/>
          <w:sz w:val="24"/>
          <w:szCs w:val="24"/>
          <w:lang w:val="es-PR" w:eastAsia="ar-SA"/>
        </w:rPr>
        <w:t xml:space="preserve">. </w:t>
      </w:r>
    </w:p>
    <w:p w14:paraId="05F060FA" w14:textId="71C50DF7" w:rsidR="00386A14" w:rsidRDefault="007151D3" w:rsidP="007151D3">
      <w:pPr>
        <w:numPr>
          <w:ilvl w:val="0"/>
          <w:numId w:val="5"/>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sz w:val="24"/>
          <w:szCs w:val="24"/>
          <w:lang w:val="es-PR" w:eastAsia="ar-SA"/>
        </w:rPr>
        <w:t>Se documentaron negativas de parte de algunas empresas a cumplir con órdenes del DACO para remitir información requerida para la fiscalización, así como cuestionamientos a la facultad de la agencia sobre márgenes máximos</w:t>
      </w:r>
      <w:r w:rsidR="00386A14">
        <w:rPr>
          <w:rStyle w:val="FootnoteReference"/>
          <w:rFonts w:ascii="Book Antiqua" w:hAnsi="Book Antiqua" w:cs="Arial"/>
          <w:sz w:val="24"/>
          <w:szCs w:val="24"/>
          <w:lang w:val="es-PR" w:eastAsia="ar-SA"/>
        </w:rPr>
        <w:footnoteReference w:id="4"/>
      </w:r>
      <w:r w:rsidRPr="007151D3">
        <w:rPr>
          <w:rFonts w:ascii="Book Antiqua" w:hAnsi="Book Antiqua" w:cs="Arial"/>
          <w:sz w:val="24"/>
          <w:szCs w:val="24"/>
          <w:lang w:val="es-PR" w:eastAsia="ar-SA"/>
        </w:rPr>
        <w:t xml:space="preserve">. </w:t>
      </w:r>
    </w:p>
    <w:p w14:paraId="5C86C5A8" w14:textId="08482A3D" w:rsidR="007151D3" w:rsidRPr="007151D3" w:rsidRDefault="007151D3" w:rsidP="007151D3">
      <w:pPr>
        <w:numPr>
          <w:ilvl w:val="0"/>
          <w:numId w:val="5"/>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sz w:val="24"/>
          <w:szCs w:val="24"/>
          <w:lang w:val="es-PR" w:eastAsia="ar-SA"/>
        </w:rPr>
        <w:t xml:space="preserve">Muchos detallistas o distribuidores no emiten recibos al consumidor ni exhiben de forma visible los precios de venta antes de la compra. </w:t>
      </w:r>
    </w:p>
    <w:p w14:paraId="3959A37C" w14:textId="77796C99" w:rsidR="007151D3" w:rsidRPr="007151D3" w:rsidRDefault="007151D3" w:rsidP="007151D3">
      <w:pPr>
        <w:numPr>
          <w:ilvl w:val="0"/>
          <w:numId w:val="5"/>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sz w:val="24"/>
          <w:szCs w:val="24"/>
          <w:lang w:val="es-PR" w:eastAsia="ar-SA"/>
        </w:rPr>
        <w:t xml:space="preserve">El DACO aplicó el índice </w:t>
      </w:r>
      <w:proofErr w:type="spellStart"/>
      <w:r w:rsidRPr="007151D3">
        <w:rPr>
          <w:rFonts w:ascii="Book Antiqua" w:hAnsi="Book Antiqua" w:cs="Arial"/>
          <w:b/>
          <w:bCs/>
          <w:sz w:val="24"/>
          <w:szCs w:val="24"/>
          <w:lang w:val="es-PR" w:eastAsia="ar-SA"/>
        </w:rPr>
        <w:t>Herfindahl-Hirschman</w:t>
      </w:r>
      <w:proofErr w:type="spellEnd"/>
      <w:r w:rsidRPr="007151D3">
        <w:rPr>
          <w:rFonts w:ascii="Book Antiqua" w:hAnsi="Book Antiqua" w:cs="Arial"/>
          <w:b/>
          <w:bCs/>
          <w:sz w:val="24"/>
          <w:szCs w:val="24"/>
          <w:lang w:val="es-PR" w:eastAsia="ar-SA"/>
        </w:rPr>
        <w:t xml:space="preserve"> (HHI)</w:t>
      </w:r>
      <w:r w:rsidRPr="007151D3">
        <w:rPr>
          <w:rFonts w:ascii="Book Antiqua" w:hAnsi="Book Antiqua" w:cs="Arial"/>
          <w:sz w:val="24"/>
          <w:szCs w:val="24"/>
          <w:lang w:val="es-PR" w:eastAsia="ar-SA"/>
        </w:rPr>
        <w:t xml:space="preserve"> al mercado del GLP como parte de su evaluación de concentración del mercado, con resultados que evidencian una fuerte concentración</w:t>
      </w:r>
      <w:r w:rsidR="00386A14">
        <w:rPr>
          <w:rFonts w:ascii="Book Antiqua" w:hAnsi="Book Antiqua" w:cs="Arial"/>
          <w:sz w:val="24"/>
          <w:szCs w:val="24"/>
          <w:lang w:val="es-PR" w:eastAsia="ar-SA"/>
        </w:rPr>
        <w:t>.</w:t>
      </w:r>
    </w:p>
    <w:p w14:paraId="4CF71BE8" w14:textId="77777777" w:rsidR="00386A14" w:rsidRDefault="00386A14" w:rsidP="007151D3">
      <w:pPr>
        <w:shd w:val="clear" w:color="auto" w:fill="FFFFFF"/>
        <w:spacing w:after="0" w:line="240" w:lineRule="auto"/>
        <w:ind w:firstLine="720"/>
        <w:jc w:val="both"/>
        <w:rPr>
          <w:rFonts w:ascii="Book Antiqua" w:hAnsi="Book Antiqua" w:cs="Arial"/>
          <w:sz w:val="24"/>
          <w:szCs w:val="24"/>
          <w:lang w:val="es-PR" w:eastAsia="ar-SA"/>
        </w:rPr>
      </w:pPr>
    </w:p>
    <w:p w14:paraId="3EE1A3A3" w14:textId="519D50CE" w:rsidR="007151D3" w:rsidRPr="00386A14" w:rsidRDefault="007151D3" w:rsidP="007151D3">
      <w:pPr>
        <w:shd w:val="clear" w:color="auto" w:fill="FFFFFF"/>
        <w:spacing w:after="0" w:line="240" w:lineRule="auto"/>
        <w:ind w:firstLine="720"/>
        <w:jc w:val="both"/>
        <w:rPr>
          <w:rFonts w:ascii="Book Antiqua" w:hAnsi="Book Antiqua" w:cs="Arial"/>
          <w:sz w:val="24"/>
          <w:szCs w:val="24"/>
          <w:lang w:val="es-PR" w:eastAsia="ar-SA"/>
        </w:rPr>
      </w:pPr>
      <w:r w:rsidRPr="007151D3">
        <w:rPr>
          <w:rFonts w:ascii="Book Antiqua" w:hAnsi="Book Antiqua" w:cs="Arial"/>
          <w:sz w:val="24"/>
          <w:szCs w:val="24"/>
          <w:lang w:val="es-PR" w:eastAsia="ar-SA"/>
        </w:rPr>
        <w:t>Estas condiciones evidencian las dificultades del DACO para ejercer una supervisión integral, especialmente frente a quejas que pudieran constituir prácticas monopólicas, cuya investigación substancial corresponde al Departamento de Justicia (</w:t>
      </w:r>
      <w:r w:rsidR="00A272E4">
        <w:rPr>
          <w:rFonts w:ascii="Book Antiqua" w:hAnsi="Book Antiqua" w:cs="Arial"/>
          <w:sz w:val="24"/>
          <w:szCs w:val="24"/>
          <w:lang w:val="es-PR" w:eastAsia="ar-SA"/>
        </w:rPr>
        <w:t>DO</w:t>
      </w:r>
      <w:r w:rsidRPr="007151D3">
        <w:rPr>
          <w:rFonts w:ascii="Book Antiqua" w:hAnsi="Book Antiqua" w:cs="Arial"/>
          <w:sz w:val="24"/>
          <w:szCs w:val="24"/>
          <w:lang w:val="es-PR" w:eastAsia="ar-SA"/>
        </w:rPr>
        <w:t>). Desde 2019, el DACO ha remitido casos relacionados con la industria del GLP al D</w:t>
      </w:r>
      <w:r w:rsidR="00A272E4">
        <w:rPr>
          <w:rFonts w:ascii="Book Antiqua" w:hAnsi="Book Antiqua" w:cs="Arial"/>
          <w:sz w:val="24"/>
          <w:szCs w:val="24"/>
          <w:lang w:val="es-PR" w:eastAsia="ar-SA"/>
        </w:rPr>
        <w:t>O</w:t>
      </w:r>
      <w:r w:rsidRPr="007151D3">
        <w:rPr>
          <w:rFonts w:ascii="Book Antiqua" w:hAnsi="Book Antiqua" w:cs="Arial"/>
          <w:sz w:val="24"/>
          <w:szCs w:val="24"/>
          <w:lang w:val="es-PR" w:eastAsia="ar-SA"/>
        </w:rPr>
        <w:t xml:space="preserve">J, pero no hay constancia pública de que dichos referidos se hayan procesado con la prontitud requerida. </w:t>
      </w:r>
      <w:r w:rsidR="00386A14">
        <w:rPr>
          <w:rFonts w:ascii="Book Antiqua" w:hAnsi="Book Antiqua" w:cs="Arial"/>
          <w:sz w:val="24"/>
          <w:szCs w:val="24"/>
          <w:lang w:val="es-PR" w:eastAsia="ar-SA"/>
        </w:rPr>
        <w:t xml:space="preserve"> Por lo que debemos tener en cuenta que la industria del gas se encuentra monopolizada dado que </w:t>
      </w:r>
      <w:r w:rsidR="00386A14" w:rsidRPr="00386A14">
        <w:rPr>
          <w:rFonts w:ascii="Book Antiqua" w:hAnsi="Book Antiqua" w:cs="Arial"/>
          <w:sz w:val="24"/>
          <w:szCs w:val="24"/>
          <w:lang w:val="es-PR" w:eastAsia="ar-SA"/>
        </w:rPr>
        <w:t xml:space="preserve">se compone </w:t>
      </w:r>
      <w:r w:rsidR="00386A14" w:rsidRPr="00A272E4">
        <w:rPr>
          <w:rFonts w:ascii="Book Antiqua" w:hAnsi="Book Antiqua" w:cs="Arial"/>
          <w:sz w:val="24"/>
          <w:szCs w:val="24"/>
          <w:lang w:val="es-PR" w:eastAsia="ar-SA"/>
        </w:rPr>
        <w:t>de dos importadores/mayoristas,</w:t>
      </w:r>
      <w:r w:rsidR="00A272E4" w:rsidRPr="00A272E4">
        <w:rPr>
          <w:rFonts w:ascii="Book Antiqua" w:hAnsi="Book Antiqua" w:cs="Arial"/>
          <w:sz w:val="24"/>
          <w:szCs w:val="24"/>
          <w:lang w:val="es-PR" w:eastAsia="ar-SA"/>
        </w:rPr>
        <w:t xml:space="preserve"> los cuales controlan la distribución de </w:t>
      </w:r>
      <w:r w:rsidR="00386A14" w:rsidRPr="00A272E4">
        <w:rPr>
          <w:rFonts w:ascii="Book Antiqua" w:hAnsi="Book Antiqua" w:cs="Arial"/>
          <w:sz w:val="24"/>
          <w:szCs w:val="24"/>
          <w:lang w:val="es-PR" w:eastAsia="ar-SA"/>
        </w:rPr>
        <w:t xml:space="preserve">21 mayoristas distribuidores, y </w:t>
      </w:r>
      <w:r w:rsidR="00A272E4" w:rsidRPr="00A272E4">
        <w:rPr>
          <w:rFonts w:ascii="Book Antiqua" w:hAnsi="Book Antiqua" w:cs="Arial"/>
          <w:sz w:val="24"/>
          <w:szCs w:val="24"/>
          <w:lang w:val="es-PR" w:eastAsia="ar-SA"/>
        </w:rPr>
        <w:t xml:space="preserve">a su vez son dueños de los </w:t>
      </w:r>
      <w:r w:rsidR="00386A14" w:rsidRPr="00A272E4">
        <w:rPr>
          <w:rFonts w:ascii="Book Antiqua" w:hAnsi="Book Antiqua" w:cs="Arial"/>
          <w:sz w:val="24"/>
          <w:szCs w:val="24"/>
          <w:lang w:val="es-PR" w:eastAsia="ar-SA"/>
        </w:rPr>
        <w:t>aproximadamente 450 distribuidores/detallistas, con más de 3,000 puntos de venta de cilindros en toda la Isla</w:t>
      </w:r>
      <w:r w:rsidR="00A272E4" w:rsidRPr="00A272E4">
        <w:rPr>
          <w:rFonts w:ascii="Book Antiqua" w:hAnsi="Book Antiqua" w:cs="Arial"/>
          <w:sz w:val="24"/>
          <w:szCs w:val="24"/>
          <w:lang w:val="es-PR" w:eastAsia="ar-SA"/>
        </w:rPr>
        <w:t>.</w:t>
      </w:r>
      <w:r w:rsidR="00A272E4">
        <w:rPr>
          <w:rFonts w:ascii="Book Antiqua" w:hAnsi="Book Antiqua" w:cs="Arial"/>
          <w:sz w:val="24"/>
          <w:szCs w:val="24"/>
          <w:lang w:val="es-PR" w:eastAsia="ar-SA"/>
        </w:rPr>
        <w:t xml:space="preserve"> L</w:t>
      </w:r>
      <w:r w:rsidR="00386A14" w:rsidRPr="00386A14">
        <w:rPr>
          <w:rFonts w:ascii="Book Antiqua" w:hAnsi="Book Antiqua" w:cs="Arial"/>
          <w:sz w:val="24"/>
          <w:szCs w:val="24"/>
          <w:lang w:val="es-PR" w:eastAsia="ar-SA"/>
        </w:rPr>
        <w:t xml:space="preserve">o que evidencia una cadena extensa pero altamente </w:t>
      </w:r>
      <w:r w:rsidR="00386A14" w:rsidRPr="00386A14">
        <w:rPr>
          <w:rFonts w:ascii="Book Antiqua" w:hAnsi="Book Antiqua" w:cs="Arial"/>
          <w:b/>
          <w:bCs/>
          <w:sz w:val="24"/>
          <w:szCs w:val="24"/>
          <w:lang w:val="es-PR" w:eastAsia="ar-SA"/>
        </w:rPr>
        <w:t>concentrada</w:t>
      </w:r>
      <w:r w:rsidR="00386A14" w:rsidRPr="00386A14">
        <w:rPr>
          <w:rFonts w:ascii="Book Antiqua" w:hAnsi="Book Antiqua" w:cs="Arial"/>
          <w:sz w:val="24"/>
          <w:szCs w:val="24"/>
          <w:lang w:val="es-PR" w:eastAsia="ar-SA"/>
        </w:rPr>
        <w:t xml:space="preserve"> en los eslabones superiores. </w:t>
      </w:r>
    </w:p>
    <w:p w14:paraId="2131172F" w14:textId="77777777" w:rsidR="00A272E4" w:rsidRDefault="00A272E4" w:rsidP="00A272E4">
      <w:pPr>
        <w:shd w:val="clear" w:color="auto" w:fill="FFFFFF"/>
        <w:spacing w:after="0" w:line="240" w:lineRule="auto"/>
        <w:ind w:firstLine="720"/>
        <w:jc w:val="both"/>
        <w:rPr>
          <w:rFonts w:ascii="Book Antiqua" w:hAnsi="Book Antiqua" w:cs="Arial"/>
          <w:sz w:val="24"/>
          <w:szCs w:val="24"/>
          <w:lang w:val="es-ES" w:eastAsia="ar-SA"/>
        </w:rPr>
      </w:pPr>
    </w:p>
    <w:p w14:paraId="2EA4914B" w14:textId="5B88910A" w:rsidR="00A272E4" w:rsidRPr="00E63614" w:rsidRDefault="00A272E4" w:rsidP="00A272E4">
      <w:pPr>
        <w:shd w:val="clear" w:color="auto" w:fill="FFFFFF"/>
        <w:spacing w:after="0" w:line="240" w:lineRule="auto"/>
        <w:ind w:firstLine="720"/>
        <w:jc w:val="both"/>
        <w:rPr>
          <w:rFonts w:ascii="Book Antiqua" w:hAnsi="Book Antiqua" w:cs="Arial"/>
          <w:sz w:val="24"/>
          <w:szCs w:val="24"/>
          <w:lang w:val="es-ES" w:eastAsia="ar-SA"/>
        </w:rPr>
      </w:pPr>
      <w:r w:rsidRPr="00E63614">
        <w:rPr>
          <w:rFonts w:ascii="Book Antiqua" w:hAnsi="Book Antiqua" w:cs="Arial"/>
          <w:sz w:val="24"/>
          <w:szCs w:val="24"/>
          <w:lang w:val="es-ES" w:eastAsia="ar-SA"/>
        </w:rPr>
        <w:t xml:space="preserve">La situación en Puerto Rico es una particular, ya que para 2019, la empresa Puma abandonó el mercado del gas licuado, quedando el mismo en manos de dos empresas: </w:t>
      </w:r>
      <w:proofErr w:type="spellStart"/>
      <w:r w:rsidRPr="00E63614">
        <w:rPr>
          <w:rFonts w:ascii="Book Antiqua" w:hAnsi="Book Antiqua" w:cs="Arial"/>
          <w:sz w:val="24"/>
          <w:szCs w:val="24"/>
          <w:lang w:val="es-ES" w:eastAsia="ar-SA"/>
        </w:rPr>
        <w:lastRenderedPageBreak/>
        <w:t>Empire</w:t>
      </w:r>
      <w:proofErr w:type="spellEnd"/>
      <w:r w:rsidRPr="00E63614">
        <w:rPr>
          <w:rFonts w:ascii="Book Antiqua" w:hAnsi="Book Antiqua" w:cs="Arial"/>
          <w:sz w:val="24"/>
          <w:szCs w:val="24"/>
          <w:lang w:val="es-ES" w:eastAsia="ar-SA"/>
        </w:rPr>
        <w:t xml:space="preserve"> Gas, quien controla el 75% del mercado, y Tropigas, que controla el 25%. Esto es de suma preocupación, pues dicha constitución del mercado provee las condiciones perfectas para que se </w:t>
      </w:r>
      <w:r w:rsidRPr="007C06EF">
        <w:rPr>
          <w:rFonts w:ascii="Book Antiqua" w:hAnsi="Book Antiqua" w:cs="Arial"/>
          <w:iCs/>
          <w:sz w:val="24"/>
          <w:szCs w:val="24"/>
          <w:lang w:val="es-ES" w:eastAsia="ar-SA"/>
        </w:rPr>
        <w:t xml:space="preserve">dé </w:t>
      </w:r>
      <w:r w:rsidRPr="00E63614">
        <w:rPr>
          <w:rFonts w:ascii="Book Antiqua" w:hAnsi="Book Antiqua" w:cs="Arial"/>
          <w:sz w:val="24"/>
          <w:szCs w:val="24"/>
          <w:lang w:val="es-ES" w:eastAsia="ar-SA"/>
        </w:rPr>
        <w:t>un monopolio, se establezcas precios arbitrariamente, y se vulneren los derechos de los consumidores.</w:t>
      </w:r>
      <w:r>
        <w:rPr>
          <w:rFonts w:ascii="Book Antiqua" w:hAnsi="Book Antiqua" w:cs="Arial"/>
          <w:sz w:val="24"/>
          <w:szCs w:val="24"/>
          <w:lang w:val="es-ES" w:eastAsia="ar-SA"/>
        </w:rPr>
        <w:t xml:space="preserve"> Cabe destacar que la Oficina de Asuntos Monopolísticos después de una extensa investigación y revisión de documentos, determinó que una de las empresas mayoristas de gas licuado estaba incurriendo en prácticas ilícitas de discrimen en precios.</w:t>
      </w:r>
    </w:p>
    <w:p w14:paraId="7A66C85A" w14:textId="77777777" w:rsidR="00A272E4" w:rsidRPr="00E63614" w:rsidRDefault="00A272E4" w:rsidP="00A272E4">
      <w:pPr>
        <w:shd w:val="clear" w:color="auto" w:fill="FFFFFF"/>
        <w:spacing w:after="0" w:line="240" w:lineRule="auto"/>
        <w:ind w:firstLine="720"/>
        <w:jc w:val="both"/>
        <w:rPr>
          <w:rFonts w:ascii="Book Antiqua" w:hAnsi="Book Antiqua" w:cs="Arial"/>
          <w:sz w:val="24"/>
          <w:szCs w:val="24"/>
          <w:lang w:val="es-ES" w:eastAsia="ar-SA"/>
        </w:rPr>
      </w:pPr>
    </w:p>
    <w:p w14:paraId="54212A4B" w14:textId="77777777" w:rsidR="00A272E4" w:rsidRPr="00E63614" w:rsidRDefault="00A272E4" w:rsidP="00A272E4">
      <w:pPr>
        <w:shd w:val="clear" w:color="auto" w:fill="FFFFFF"/>
        <w:spacing w:after="0" w:line="240" w:lineRule="auto"/>
        <w:ind w:firstLine="720"/>
        <w:jc w:val="both"/>
        <w:rPr>
          <w:rFonts w:ascii="Book Antiqua" w:hAnsi="Book Antiqua" w:cs="Arial"/>
          <w:sz w:val="24"/>
          <w:szCs w:val="24"/>
          <w:lang w:val="es-ES" w:eastAsia="ar-SA"/>
        </w:rPr>
      </w:pPr>
      <w:r w:rsidRPr="00E63614">
        <w:rPr>
          <w:rFonts w:ascii="Book Antiqua" w:hAnsi="Book Antiqua" w:cs="Arial"/>
          <w:sz w:val="24"/>
          <w:szCs w:val="24"/>
          <w:lang w:val="es-ES" w:eastAsia="ar-SA"/>
        </w:rPr>
        <w:t>DACO es la agencia encargada de garantizar la protección a los consumidores. No obstante, dicha facultad la ejerce dentro de los parámetros establecidos por el ordenamiento jurídico. DACO ostenta facultades para “vindicar los derechos del consumidor, frenar las tendencias inflacionarias; así como el establecimiento y fiscalización de un control de precios sobre los artículos y servicios de uso y consumo</w:t>
      </w:r>
      <w:r w:rsidRPr="00E63614">
        <w:rPr>
          <w:rFonts w:ascii="Book Antiqua" w:hAnsi="Book Antiqua" w:cs="Arial"/>
          <w:sz w:val="24"/>
          <w:szCs w:val="24"/>
          <w:vertAlign w:val="superscript"/>
          <w:lang w:val="es-ES" w:eastAsia="ar-SA"/>
        </w:rPr>
        <w:footnoteReference w:id="5"/>
      </w:r>
      <w:r w:rsidRPr="00E63614">
        <w:rPr>
          <w:rFonts w:ascii="Book Antiqua" w:hAnsi="Book Antiqua" w:cs="Arial"/>
          <w:sz w:val="24"/>
          <w:szCs w:val="24"/>
          <w:lang w:val="es-ES" w:eastAsia="ar-SA"/>
        </w:rPr>
        <w:t>”. 3 LPRA Sec. 341b. Además, la agencia tiene potestad para tomar medidas necesarias para “la estabilización de precios; la prevención del alza especulativa, injustificada y anormal de precios; la eliminación y prevención de beneficios excesivos, el acaparamiento la manipulación, la especulación y otras prácticas destructivas, resultantes de las anormales condiciones del mercado y la escasez causada por la Emergencia Nacional…</w:t>
      </w:r>
      <w:r w:rsidRPr="00E63614">
        <w:rPr>
          <w:rFonts w:ascii="Book Antiqua" w:hAnsi="Book Antiqua" w:cs="Arial"/>
          <w:sz w:val="24"/>
          <w:szCs w:val="24"/>
          <w:vertAlign w:val="superscript"/>
          <w:lang w:val="es-ES" w:eastAsia="ar-SA"/>
        </w:rPr>
        <w:footnoteReference w:id="6"/>
      </w:r>
      <w:r w:rsidRPr="00E63614">
        <w:rPr>
          <w:rFonts w:ascii="Book Antiqua" w:hAnsi="Book Antiqua" w:cs="Arial"/>
          <w:sz w:val="24"/>
          <w:szCs w:val="24"/>
          <w:lang w:val="es-ES" w:eastAsia="ar-SA"/>
        </w:rPr>
        <w:t xml:space="preserve">”. </w:t>
      </w:r>
    </w:p>
    <w:p w14:paraId="7D4AB536" w14:textId="77777777" w:rsidR="00386A14" w:rsidRDefault="00386A14" w:rsidP="007151D3">
      <w:pPr>
        <w:shd w:val="clear" w:color="auto" w:fill="FFFFFF"/>
        <w:spacing w:after="0" w:line="240" w:lineRule="auto"/>
        <w:ind w:firstLine="720"/>
        <w:jc w:val="both"/>
        <w:rPr>
          <w:rFonts w:ascii="Book Antiqua" w:hAnsi="Book Antiqua" w:cs="Arial"/>
          <w:sz w:val="24"/>
          <w:szCs w:val="24"/>
          <w:lang w:val="es-PR" w:eastAsia="ar-SA"/>
        </w:rPr>
      </w:pPr>
    </w:p>
    <w:p w14:paraId="1FA9CEDB" w14:textId="77777777" w:rsidR="007151D3" w:rsidRPr="007151D3" w:rsidRDefault="007151D3" w:rsidP="007151D3">
      <w:pPr>
        <w:shd w:val="clear" w:color="auto" w:fill="FFFFFF"/>
        <w:spacing w:after="0" w:line="240" w:lineRule="auto"/>
        <w:ind w:firstLine="720"/>
        <w:jc w:val="both"/>
        <w:rPr>
          <w:rFonts w:ascii="Book Antiqua" w:hAnsi="Book Antiqua" w:cs="Arial"/>
          <w:sz w:val="24"/>
          <w:szCs w:val="24"/>
          <w:lang w:val="es-PR" w:eastAsia="ar-SA"/>
        </w:rPr>
      </w:pPr>
      <w:r w:rsidRPr="007151D3">
        <w:rPr>
          <w:rFonts w:ascii="Book Antiqua" w:hAnsi="Book Antiqua" w:cs="Arial"/>
          <w:sz w:val="24"/>
          <w:szCs w:val="24"/>
          <w:lang w:val="es-PR" w:eastAsia="ar-SA"/>
        </w:rPr>
        <w:t>Frente a este contexto actualizado, esta Asamblea Legislativa reitera la urgencia de dotar al Estado y a la ciudadanía de un marco regulatorio sólido para la industria del GLP, con objetivos claros de transparencia, rendición de cuentas y protección al consumidor. Los propósitos fundamentales de esta medida legislativa son:</w:t>
      </w:r>
    </w:p>
    <w:p w14:paraId="5071770F" w14:textId="77777777" w:rsidR="007151D3" w:rsidRPr="007151D3" w:rsidRDefault="007151D3" w:rsidP="007151D3">
      <w:pPr>
        <w:numPr>
          <w:ilvl w:val="0"/>
          <w:numId w:val="7"/>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b/>
          <w:bCs/>
          <w:sz w:val="24"/>
          <w:szCs w:val="24"/>
          <w:lang w:val="es-PR" w:eastAsia="ar-SA"/>
        </w:rPr>
        <w:t>Establecer obligaciones exigibles</w:t>
      </w:r>
      <w:r w:rsidRPr="007151D3">
        <w:rPr>
          <w:rFonts w:ascii="Book Antiqua" w:hAnsi="Book Antiqua" w:cs="Arial"/>
          <w:sz w:val="24"/>
          <w:szCs w:val="24"/>
          <w:lang w:val="es-PR" w:eastAsia="ar-SA"/>
        </w:rPr>
        <w:t xml:space="preserve"> de remisión de información por parte de todos los actores en la cadena del GLP (importadores, distribuidores, detallistas), incluyendo datos de costos, volúmenes, márgenes y contratos.</w:t>
      </w:r>
    </w:p>
    <w:p w14:paraId="2BF14993" w14:textId="77777777" w:rsidR="007151D3" w:rsidRPr="007151D3" w:rsidRDefault="007151D3" w:rsidP="007151D3">
      <w:pPr>
        <w:numPr>
          <w:ilvl w:val="0"/>
          <w:numId w:val="7"/>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b/>
          <w:bCs/>
          <w:sz w:val="24"/>
          <w:szCs w:val="24"/>
          <w:lang w:val="es-PR" w:eastAsia="ar-SA"/>
        </w:rPr>
        <w:t>Incrementar las sanciones máximas</w:t>
      </w:r>
      <w:r w:rsidRPr="007151D3">
        <w:rPr>
          <w:rFonts w:ascii="Book Antiqua" w:hAnsi="Book Antiqua" w:cs="Arial"/>
          <w:sz w:val="24"/>
          <w:szCs w:val="24"/>
          <w:lang w:val="es-PR" w:eastAsia="ar-SA"/>
        </w:rPr>
        <w:t xml:space="preserve"> que el DACO puede imponer por incumplimientos a órdenes administrativas, requerimientos de información o disposiciones de esta ley.</w:t>
      </w:r>
    </w:p>
    <w:p w14:paraId="62A05F0C" w14:textId="70BF17EE" w:rsidR="007151D3" w:rsidRPr="007151D3" w:rsidRDefault="007151D3" w:rsidP="007151D3">
      <w:pPr>
        <w:numPr>
          <w:ilvl w:val="0"/>
          <w:numId w:val="7"/>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b/>
          <w:bCs/>
          <w:sz w:val="24"/>
          <w:szCs w:val="24"/>
          <w:lang w:val="es-PR" w:eastAsia="ar-SA"/>
        </w:rPr>
        <w:t>Fijar un plazo perentorio</w:t>
      </w:r>
      <w:r w:rsidRPr="007151D3">
        <w:rPr>
          <w:rFonts w:ascii="Book Antiqua" w:hAnsi="Book Antiqua" w:cs="Arial"/>
          <w:sz w:val="24"/>
          <w:szCs w:val="24"/>
          <w:lang w:val="es-PR" w:eastAsia="ar-SA"/>
        </w:rPr>
        <w:t xml:space="preserve"> para que el Departamento de Justicia atienda los referidos que reciba en torno a posibles prácticas monopolísticas en el mercado del GLP.</w:t>
      </w:r>
    </w:p>
    <w:p w14:paraId="3D6B369C" w14:textId="6E05FCE5" w:rsidR="007151D3" w:rsidRPr="007151D3" w:rsidRDefault="007151D3" w:rsidP="007151D3">
      <w:pPr>
        <w:numPr>
          <w:ilvl w:val="0"/>
          <w:numId w:val="7"/>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b/>
          <w:bCs/>
          <w:sz w:val="24"/>
          <w:szCs w:val="24"/>
          <w:lang w:val="es-PR" w:eastAsia="ar-SA"/>
        </w:rPr>
        <w:t>Instituir mecanismos de auditoría y supervisión externa</w:t>
      </w:r>
      <w:r w:rsidRPr="007151D3">
        <w:rPr>
          <w:rFonts w:ascii="Book Antiqua" w:hAnsi="Book Antiqua" w:cs="Arial"/>
          <w:sz w:val="24"/>
          <w:szCs w:val="24"/>
          <w:lang w:val="es-PR" w:eastAsia="ar-SA"/>
        </w:rPr>
        <w:t xml:space="preserve"> para reforzar la integridad del monitoreo que realice el DACO.</w:t>
      </w:r>
    </w:p>
    <w:p w14:paraId="551AE40D" w14:textId="76C3CBB5" w:rsidR="007151D3" w:rsidRPr="007151D3" w:rsidRDefault="007151D3" w:rsidP="007151D3">
      <w:pPr>
        <w:numPr>
          <w:ilvl w:val="0"/>
          <w:numId w:val="7"/>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b/>
          <w:bCs/>
          <w:sz w:val="24"/>
          <w:szCs w:val="24"/>
          <w:lang w:val="es-PR" w:eastAsia="ar-SA"/>
        </w:rPr>
        <w:t>Garantizar que la transición energética complementaria</w:t>
      </w:r>
      <w:r w:rsidRPr="007151D3">
        <w:rPr>
          <w:rFonts w:ascii="Book Antiqua" w:hAnsi="Book Antiqua" w:cs="Arial"/>
          <w:sz w:val="24"/>
          <w:szCs w:val="24"/>
          <w:lang w:val="es-PR" w:eastAsia="ar-SA"/>
        </w:rPr>
        <w:t xml:space="preserve"> no socave los derechos del consumidor tradicional del GLP ni reduzca la capacidad del Estado de regulador efectivo.</w:t>
      </w:r>
    </w:p>
    <w:p w14:paraId="03AB9759" w14:textId="77777777" w:rsidR="007151D3" w:rsidRPr="007151D3" w:rsidRDefault="007151D3" w:rsidP="007151D3">
      <w:pPr>
        <w:numPr>
          <w:ilvl w:val="0"/>
          <w:numId w:val="7"/>
        </w:numPr>
        <w:shd w:val="clear" w:color="auto" w:fill="FFFFFF"/>
        <w:spacing w:after="0" w:line="240" w:lineRule="auto"/>
        <w:jc w:val="both"/>
        <w:rPr>
          <w:rFonts w:ascii="Book Antiqua" w:hAnsi="Book Antiqua" w:cs="Arial"/>
          <w:sz w:val="24"/>
          <w:szCs w:val="24"/>
          <w:lang w:val="es-PR" w:eastAsia="ar-SA"/>
        </w:rPr>
      </w:pPr>
      <w:r w:rsidRPr="007151D3">
        <w:rPr>
          <w:rFonts w:ascii="Book Antiqua" w:hAnsi="Book Antiqua" w:cs="Arial"/>
          <w:b/>
          <w:bCs/>
          <w:sz w:val="24"/>
          <w:szCs w:val="24"/>
          <w:lang w:val="es-PR" w:eastAsia="ar-SA"/>
        </w:rPr>
        <w:t>Fortalecer la transparencia en precios al consumidor</w:t>
      </w:r>
      <w:r w:rsidRPr="007151D3">
        <w:rPr>
          <w:rFonts w:ascii="Book Antiqua" w:hAnsi="Book Antiqua" w:cs="Arial"/>
          <w:sz w:val="24"/>
          <w:szCs w:val="24"/>
          <w:lang w:val="es-PR" w:eastAsia="ar-SA"/>
        </w:rPr>
        <w:t>, exigiendo que los detallistas exhiban públicamente los precios de los cilindros antes de la venta y que emitan recibos siempre, para asegurar trazabilidad y confianza.</w:t>
      </w:r>
    </w:p>
    <w:p w14:paraId="79B2345A" w14:textId="08DEEE31" w:rsidR="00E63614" w:rsidRPr="00A272E4" w:rsidRDefault="007151D3" w:rsidP="00A272E4">
      <w:pPr>
        <w:shd w:val="clear" w:color="auto" w:fill="FFFFFF"/>
        <w:spacing w:after="0" w:line="240" w:lineRule="auto"/>
        <w:ind w:firstLine="720"/>
        <w:jc w:val="both"/>
        <w:rPr>
          <w:rFonts w:ascii="Book Antiqua" w:hAnsi="Book Antiqua" w:cs="Arial"/>
          <w:sz w:val="24"/>
          <w:szCs w:val="24"/>
          <w:lang w:val="es-PR" w:eastAsia="ar-SA"/>
        </w:rPr>
      </w:pPr>
      <w:r w:rsidRPr="007151D3">
        <w:rPr>
          <w:rFonts w:ascii="Book Antiqua" w:hAnsi="Book Antiqua" w:cs="Arial"/>
          <w:sz w:val="24"/>
          <w:szCs w:val="24"/>
          <w:lang w:val="es-PR" w:eastAsia="ar-SA"/>
        </w:rPr>
        <w:lastRenderedPageBreak/>
        <w:t>Con la adopción de esta ley, esta Asamblea Legislativa consolida el compromiso de proteger el derecho del consumidor a información veraz y oportuna, y de dotar al Estado de herramientas más robustas para intervenir con eficacia en mercados concentrados. De esta forma, elevamos el estándar regulatorio de la industria del GLP a la altura de las exigencias actuales y futuras del sistema energético de Puerto Rico.</w:t>
      </w:r>
      <w:r w:rsidR="00A272E4">
        <w:rPr>
          <w:rFonts w:ascii="Book Antiqua" w:hAnsi="Book Antiqua" w:cs="Arial"/>
          <w:sz w:val="24"/>
          <w:szCs w:val="24"/>
          <w:lang w:val="es-PR" w:eastAsia="ar-SA"/>
        </w:rPr>
        <w:t xml:space="preserve"> Promoviendo</w:t>
      </w:r>
      <w:r w:rsidR="00E63614" w:rsidRPr="00E63614">
        <w:rPr>
          <w:rFonts w:ascii="Book Antiqua" w:hAnsi="Book Antiqua" w:cs="Arial"/>
          <w:sz w:val="24"/>
          <w:szCs w:val="24"/>
          <w:lang w:val="es-ES" w:eastAsia="ar-SA"/>
        </w:rPr>
        <w:t xml:space="preserve"> la protección y seguridad de nuestros consumidores.</w:t>
      </w:r>
    </w:p>
    <w:p w14:paraId="448F5AFA" w14:textId="77777777" w:rsidR="00E63614" w:rsidRPr="00E63614" w:rsidRDefault="00E63614" w:rsidP="00E63614">
      <w:pPr>
        <w:shd w:val="clear" w:color="auto" w:fill="FFFFFF"/>
        <w:spacing w:after="0" w:line="240" w:lineRule="auto"/>
        <w:ind w:firstLine="720"/>
        <w:jc w:val="both"/>
        <w:rPr>
          <w:rFonts w:ascii="Book Antiqua" w:eastAsia="MS Mincho" w:hAnsi="Book Antiqua"/>
          <w:sz w:val="24"/>
          <w:szCs w:val="24"/>
          <w:lang w:val="es-ES"/>
        </w:rPr>
      </w:pPr>
    </w:p>
    <w:p w14:paraId="4AA21371" w14:textId="77777777" w:rsidR="00E63614" w:rsidRPr="00E63614" w:rsidRDefault="00E63614" w:rsidP="006F46EB">
      <w:pPr>
        <w:tabs>
          <w:tab w:val="left" w:pos="-720"/>
        </w:tabs>
        <w:suppressAutoHyphens/>
        <w:spacing w:after="0" w:line="480" w:lineRule="auto"/>
        <w:jc w:val="both"/>
        <w:rPr>
          <w:rFonts w:ascii="Book Antiqua" w:eastAsia="Times New Roman" w:hAnsi="Book Antiqua"/>
          <w:i/>
          <w:spacing w:val="-3"/>
          <w:sz w:val="24"/>
          <w:szCs w:val="24"/>
          <w:lang w:val="es-ES"/>
        </w:rPr>
      </w:pPr>
      <w:r w:rsidRPr="00E63614">
        <w:rPr>
          <w:rFonts w:ascii="Book Antiqua" w:eastAsia="Times New Roman" w:hAnsi="Book Antiqua"/>
          <w:i/>
          <w:sz w:val="24"/>
          <w:szCs w:val="24"/>
          <w:lang w:val="es-ES"/>
        </w:rPr>
        <w:t>DECRÉTASE POR LA ASAMBLEA LEGISLATIVA DE PUERTO RICO</w:t>
      </w:r>
      <w:r w:rsidRPr="00E63614">
        <w:rPr>
          <w:rFonts w:ascii="Book Antiqua" w:eastAsia="Times New Roman" w:hAnsi="Book Antiqua"/>
          <w:i/>
          <w:spacing w:val="-3"/>
          <w:sz w:val="24"/>
          <w:szCs w:val="24"/>
          <w:lang w:val="es-ES"/>
        </w:rPr>
        <w:t>:</w:t>
      </w:r>
    </w:p>
    <w:p w14:paraId="46D0C219" w14:textId="77777777" w:rsidR="00E63614" w:rsidRPr="00E63614" w:rsidRDefault="00E63614" w:rsidP="00E63614">
      <w:pPr>
        <w:tabs>
          <w:tab w:val="left" w:pos="-720"/>
        </w:tabs>
        <w:suppressAutoHyphens/>
        <w:spacing w:after="0" w:line="480" w:lineRule="auto"/>
        <w:jc w:val="both"/>
        <w:rPr>
          <w:rFonts w:ascii="Book Antiqua" w:eastAsia="Times New Roman" w:hAnsi="Book Antiqua"/>
          <w:i/>
          <w:spacing w:val="-3"/>
          <w:sz w:val="24"/>
          <w:szCs w:val="24"/>
          <w:lang w:val="es-ES"/>
        </w:rPr>
        <w:sectPr w:rsidR="00E63614" w:rsidRPr="00E63614" w:rsidSect="00E63614">
          <w:headerReference w:type="default" r:id="rId8"/>
          <w:footerReference w:type="even" r:id="rId9"/>
          <w:footerReference w:type="first" r:id="rId10"/>
          <w:pgSz w:w="12240" w:h="15840" w:code="1"/>
          <w:pgMar w:top="1440" w:right="1440" w:bottom="1440" w:left="1440" w:header="720" w:footer="720" w:gutter="0"/>
          <w:pgNumType w:start="1"/>
          <w:cols w:space="720"/>
          <w:noEndnote/>
          <w:titlePg/>
          <w:docGrid w:linePitch="326"/>
        </w:sectPr>
      </w:pPr>
    </w:p>
    <w:p w14:paraId="51B31013" w14:textId="5D41DD00"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1.- Esta Ley se conocerá como “Ley para la Fiscalización de la Industria del Gas Licuado del Petróleo</w:t>
      </w:r>
      <w:r w:rsidR="00795B42">
        <w:rPr>
          <w:rFonts w:ascii="Book Antiqua" w:eastAsia="Times New Roman" w:hAnsi="Book Antiqua"/>
          <w:sz w:val="24"/>
          <w:szCs w:val="24"/>
          <w:lang w:val="es-ES"/>
        </w:rPr>
        <w:t xml:space="preserve"> </w:t>
      </w:r>
      <w:r w:rsidR="00795B42" w:rsidRPr="007C06EF">
        <w:rPr>
          <w:rFonts w:ascii="Book Antiqua" w:eastAsia="Times New Roman" w:hAnsi="Book Antiqua"/>
          <w:iCs/>
          <w:sz w:val="24"/>
          <w:szCs w:val="24"/>
          <w:lang w:val="es-ES"/>
        </w:rPr>
        <w:t>y el Gas Natural</w:t>
      </w:r>
      <w:r w:rsidRPr="00E63614">
        <w:rPr>
          <w:rFonts w:ascii="Book Antiqua" w:eastAsia="Times New Roman" w:hAnsi="Book Antiqua"/>
          <w:sz w:val="24"/>
          <w:szCs w:val="24"/>
          <w:lang w:val="es-ES"/>
        </w:rPr>
        <w:t>, en Protección de los Consumidores”.</w:t>
      </w:r>
    </w:p>
    <w:p w14:paraId="5D7C7E52"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2.- Definiciones</w:t>
      </w:r>
    </w:p>
    <w:p w14:paraId="0C06EC54"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 los fines de esta ley, los siguientes términos y frases tendrán el significado que a continuación se expresa:</w:t>
      </w:r>
    </w:p>
    <w:p w14:paraId="5BD71003" w14:textId="77777777" w:rsidR="0046237C" w:rsidRDefault="00E63614" w:rsidP="0046237C">
      <w:pPr>
        <w:numPr>
          <w:ilvl w:val="0"/>
          <w:numId w:val="2"/>
        </w:numPr>
        <w:spacing w:after="0" w:line="480" w:lineRule="auto"/>
        <w:ind w:left="990"/>
        <w:contextualSpacing/>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Gas licuado del petróleo o gas licuado: Mezcla de propano, butano y otros hidrocarburos ligeros derivados de la refinación del petróleo crudo. Esta mezcla de gases puede ser enfriada o sometida a una presión moderada para ser transformada en un estado líquido y así facilitar</w:t>
      </w:r>
      <w:r w:rsidR="002968AA">
        <w:rPr>
          <w:rFonts w:ascii="Book Antiqua" w:eastAsia="Times New Roman" w:hAnsi="Book Antiqua"/>
          <w:sz w:val="24"/>
          <w:szCs w:val="24"/>
          <w:lang w:val="es-ES"/>
        </w:rPr>
        <w:t xml:space="preserve"> su transporte y almacenamiento.</w:t>
      </w:r>
    </w:p>
    <w:p w14:paraId="5919C90B" w14:textId="77777777" w:rsidR="0046237C" w:rsidRDefault="00E63614" w:rsidP="0046237C">
      <w:pPr>
        <w:numPr>
          <w:ilvl w:val="0"/>
          <w:numId w:val="2"/>
        </w:numPr>
        <w:spacing w:after="0" w:line="480" w:lineRule="auto"/>
        <w:ind w:left="990"/>
        <w:contextualSpacing/>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Negocio de venta al detal o detallista: Significa e incluye lugar de negocios donde cualquier persona natural o jurídica venda gas licuado del petróleo, ya sea en tanques de las distintas denominaciones, o mediante llenado a granel, para uso exclusivamente residencial.</w:t>
      </w:r>
    </w:p>
    <w:p w14:paraId="154E85C7" w14:textId="77777777" w:rsidR="0046237C" w:rsidRDefault="00E63614" w:rsidP="0046237C">
      <w:pPr>
        <w:numPr>
          <w:ilvl w:val="0"/>
          <w:numId w:val="2"/>
        </w:numPr>
        <w:spacing w:after="0" w:line="480" w:lineRule="auto"/>
        <w:ind w:left="990"/>
        <w:contextualSpacing/>
        <w:jc w:val="both"/>
        <w:rPr>
          <w:rFonts w:ascii="Book Antiqua" w:eastAsia="Times New Roman" w:hAnsi="Book Antiqua"/>
          <w:sz w:val="24"/>
          <w:szCs w:val="24"/>
          <w:lang w:val="es-ES"/>
        </w:rPr>
      </w:pPr>
      <w:r w:rsidRPr="0046237C">
        <w:rPr>
          <w:rFonts w:ascii="Book Antiqua" w:eastAsia="Times New Roman" w:hAnsi="Book Antiqua"/>
          <w:sz w:val="24"/>
          <w:szCs w:val="24"/>
          <w:lang w:val="es-ES"/>
        </w:rPr>
        <w:t xml:space="preserve">Distribuidor-mayorista o distribuidor: Significa cualquier persona natural o jurídica que conduzca actividades de venta y/o distribución de gas licuado del petróleo a detallistas, según definidos en el inciso (b) o a empresas comerciales </w:t>
      </w:r>
      <w:r w:rsidRPr="0046237C">
        <w:rPr>
          <w:rFonts w:ascii="Book Antiqua" w:eastAsia="Times New Roman" w:hAnsi="Book Antiqua"/>
          <w:sz w:val="24"/>
          <w:szCs w:val="24"/>
          <w:lang w:val="es-ES"/>
        </w:rPr>
        <w:lastRenderedPageBreak/>
        <w:t>como hospitales, empresas dedicadas a la gastronomía y/o al comercio en general; o cualquier corporación, entidad o empresa que conduzca actividades de venta al detal de gas licuado del petróleo y en la cual algún distribuidor</w:t>
      </w:r>
      <w:r w:rsidR="007C06EF" w:rsidRPr="0046237C">
        <w:rPr>
          <w:rFonts w:ascii="Book Antiqua" w:eastAsia="Times New Roman" w:hAnsi="Book Antiqua"/>
          <w:sz w:val="24"/>
          <w:szCs w:val="24"/>
          <w:lang w:val="es-ES"/>
        </w:rPr>
        <w:t xml:space="preserve"> </w:t>
      </w:r>
      <w:r w:rsidRPr="0046237C">
        <w:rPr>
          <w:rFonts w:ascii="Book Antiqua" w:eastAsia="Times New Roman" w:hAnsi="Book Antiqua"/>
          <w:sz w:val="24"/>
          <w:szCs w:val="24"/>
          <w:lang w:val="es-ES"/>
        </w:rPr>
        <w:t>mayorista, según definido anteriormente en este inciso, sea accionista o tenga algún otro tipo de interés económico.</w:t>
      </w:r>
    </w:p>
    <w:p w14:paraId="0B43DB0D" w14:textId="1DB07393" w:rsidR="00E63614" w:rsidRPr="0046237C" w:rsidRDefault="00E63614" w:rsidP="0046237C">
      <w:pPr>
        <w:numPr>
          <w:ilvl w:val="0"/>
          <w:numId w:val="2"/>
        </w:numPr>
        <w:spacing w:after="0" w:line="480" w:lineRule="auto"/>
        <w:ind w:left="990"/>
        <w:contextualSpacing/>
        <w:jc w:val="both"/>
        <w:rPr>
          <w:rFonts w:ascii="Book Antiqua" w:eastAsia="Times New Roman" w:hAnsi="Book Antiqua"/>
          <w:sz w:val="24"/>
          <w:szCs w:val="24"/>
          <w:lang w:val="es-ES"/>
        </w:rPr>
      </w:pPr>
      <w:r w:rsidRPr="0046237C">
        <w:rPr>
          <w:rFonts w:ascii="Book Antiqua" w:eastAsia="Times New Roman" w:hAnsi="Book Antiqua"/>
          <w:sz w:val="24"/>
          <w:szCs w:val="24"/>
          <w:lang w:val="es-ES"/>
        </w:rPr>
        <w:t>Importador-mayorista o importador: Cualquier persona natural o jurídica que conduzca actividades de compra de gas licuado en el mercado internacional para posteriormente venderlo a los distribuidores-mayoristas o a detallistas.</w:t>
      </w:r>
    </w:p>
    <w:p w14:paraId="453726E3"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3.- Desvinculación</w:t>
      </w:r>
    </w:p>
    <w:p w14:paraId="6FDBAFE6" w14:textId="1DF7C195" w:rsidR="00E63614" w:rsidRDefault="00FC72BF" w:rsidP="00E63614">
      <w:pPr>
        <w:spacing w:after="0" w:line="480" w:lineRule="auto"/>
        <w:ind w:firstLine="720"/>
        <w:jc w:val="both"/>
        <w:rPr>
          <w:rFonts w:ascii="Book Antiqua" w:eastAsia="Times New Roman" w:hAnsi="Book Antiqua"/>
          <w:strike/>
          <w:sz w:val="24"/>
          <w:szCs w:val="24"/>
          <w:lang w:val="es-ES"/>
        </w:rPr>
      </w:pPr>
      <w:r w:rsidRPr="007C06EF">
        <w:rPr>
          <w:rFonts w:ascii="Book Antiqua" w:eastAsia="Times New Roman" w:hAnsi="Book Antiqua"/>
          <w:sz w:val="24"/>
          <w:szCs w:val="24"/>
          <w:lang w:val="es-ES"/>
        </w:rPr>
        <w:t>Desde la fecha de vigencia de esta ley</w:t>
      </w:r>
      <w:r w:rsidR="00E63614" w:rsidRPr="00E63614">
        <w:rPr>
          <w:rFonts w:ascii="Book Antiqua" w:eastAsia="Times New Roman" w:hAnsi="Book Antiqua"/>
          <w:sz w:val="24"/>
          <w:szCs w:val="24"/>
          <w:lang w:val="es-ES"/>
        </w:rPr>
        <w:t xml:space="preserve">, ningún importador o distribuidor, adquirirá o establecerá, abrirá, operará o recobrará para operar, negocio alguno de servicio de venta al detal para ser operada con personal de su propia compañía o empresa subsidiaria, agente, agente por comisión, o bajo contrato con alguna persona natural o jurídica, que opere o administre dicha estación de servicio de venta al detal mediante convenio o arreglo remunerado con dicho importador o distribuidor. </w:t>
      </w:r>
    </w:p>
    <w:p w14:paraId="62474598" w14:textId="63CB2BB1" w:rsidR="00370191" w:rsidRPr="007C06EF" w:rsidRDefault="00370191" w:rsidP="00AC2D4A">
      <w:pPr>
        <w:spacing w:after="0" w:line="480" w:lineRule="auto"/>
        <w:ind w:firstLine="720"/>
        <w:jc w:val="both"/>
        <w:rPr>
          <w:rFonts w:ascii="Book Antiqua" w:eastAsia="Times New Roman" w:hAnsi="Book Antiqua"/>
          <w:iCs/>
          <w:sz w:val="24"/>
          <w:szCs w:val="24"/>
          <w:lang w:val="es-PR"/>
        </w:rPr>
      </w:pPr>
      <w:r w:rsidRPr="007C06EF">
        <w:rPr>
          <w:rFonts w:ascii="Book Antiqua" w:eastAsia="Times New Roman" w:hAnsi="Book Antiqua"/>
          <w:iCs/>
          <w:sz w:val="24"/>
          <w:szCs w:val="24"/>
          <w:lang w:val="es-ES"/>
        </w:rPr>
        <w:t xml:space="preserve">Los importadores y distribuidores tendrán </w:t>
      </w:r>
      <w:r w:rsidR="00AC2D4A" w:rsidRPr="007C06EF">
        <w:rPr>
          <w:rFonts w:ascii="Book Antiqua" w:eastAsia="Times New Roman" w:hAnsi="Book Antiqua"/>
          <w:iCs/>
          <w:sz w:val="24"/>
          <w:szCs w:val="24"/>
          <w:lang w:val="es-ES"/>
        </w:rPr>
        <w:t xml:space="preserve">18 meses </w:t>
      </w:r>
      <w:r w:rsidR="00AC2D4A" w:rsidRPr="007C06EF">
        <w:rPr>
          <w:rFonts w:ascii="Book Antiqua" w:eastAsia="Times New Roman" w:hAnsi="Book Antiqua"/>
          <w:iCs/>
          <w:sz w:val="24"/>
          <w:szCs w:val="24"/>
          <w:lang w:val="es-PR"/>
        </w:rPr>
        <w:t xml:space="preserve">contados a partir de la fecha de aprobación de esta Ley, para poner a disposición operacional de los detallistas que estén dispuestos a operar dichos </w:t>
      </w:r>
      <w:r w:rsidR="00AC2D4A" w:rsidRPr="007C06EF">
        <w:rPr>
          <w:rFonts w:ascii="Book Antiqua" w:eastAsia="Times New Roman" w:hAnsi="Book Antiqua"/>
          <w:iCs/>
          <w:sz w:val="24"/>
          <w:szCs w:val="24"/>
          <w:lang w:val="es-ES"/>
        </w:rPr>
        <w:t>negocios de servicio de venta al detal</w:t>
      </w:r>
      <w:r w:rsidR="00AC2D4A" w:rsidRPr="007C06EF">
        <w:rPr>
          <w:rFonts w:ascii="Book Antiqua" w:eastAsia="Times New Roman" w:hAnsi="Book Antiqua"/>
          <w:iCs/>
          <w:sz w:val="24"/>
          <w:szCs w:val="24"/>
          <w:lang w:val="es-PR"/>
        </w:rPr>
        <w:t xml:space="preserve">. Estableciéndose que el derecho de operar el negocio de servicio de venta al detal será adquirido a un valor justo y razonable en el mercado. Para este propósito, los detallistas pueden estar constituidos en cualquier forma legal disponible. De no poder cumplir con lo establecido </w:t>
      </w:r>
      <w:r w:rsidR="00AC2D4A" w:rsidRPr="007C06EF">
        <w:rPr>
          <w:rFonts w:ascii="Book Antiqua" w:eastAsia="Times New Roman" w:hAnsi="Book Antiqua"/>
          <w:iCs/>
          <w:sz w:val="24"/>
          <w:szCs w:val="24"/>
          <w:lang w:val="es-PR"/>
        </w:rPr>
        <w:lastRenderedPageBreak/>
        <w:t xml:space="preserve">en este inciso, el mayorista podrá solicitar al Departamento de Asuntos del Consumidor, por escrito y debidamente justificado, una prórroga de noventa (90) días adicionales. </w:t>
      </w:r>
    </w:p>
    <w:p w14:paraId="59F7F7CD" w14:textId="476879BF" w:rsidR="00C97726" w:rsidRPr="00E63614" w:rsidRDefault="00B232F5" w:rsidP="00E63614">
      <w:pPr>
        <w:spacing w:after="0" w:line="480" w:lineRule="auto"/>
        <w:ind w:firstLine="720"/>
        <w:jc w:val="both"/>
        <w:rPr>
          <w:rFonts w:ascii="Book Antiqua" w:eastAsia="Times New Roman" w:hAnsi="Book Antiqua"/>
          <w:sz w:val="24"/>
          <w:szCs w:val="24"/>
          <w:lang w:val="es-ES"/>
        </w:rPr>
      </w:pPr>
      <w:r w:rsidRPr="007C06EF">
        <w:rPr>
          <w:rFonts w:ascii="Book Antiqua" w:eastAsia="Times New Roman" w:hAnsi="Book Antiqua"/>
          <w:iCs/>
          <w:sz w:val="24"/>
          <w:szCs w:val="24"/>
          <w:lang w:val="es-ES"/>
        </w:rPr>
        <w:t>Desde que esta ley entre en vigor</w:t>
      </w:r>
      <w:r w:rsidR="007C06EF">
        <w:rPr>
          <w:rFonts w:ascii="Book Antiqua" w:eastAsia="Times New Roman" w:hAnsi="Book Antiqua"/>
          <w:iCs/>
          <w:sz w:val="24"/>
          <w:szCs w:val="24"/>
          <w:lang w:val="es-ES"/>
        </w:rPr>
        <w:t>,</w:t>
      </w:r>
      <w:r w:rsidRPr="00B232F5">
        <w:rPr>
          <w:rFonts w:ascii="Book Antiqua" w:eastAsia="Times New Roman" w:hAnsi="Book Antiqua"/>
          <w:i/>
          <w:sz w:val="24"/>
          <w:szCs w:val="24"/>
          <w:lang w:val="es-ES"/>
        </w:rPr>
        <w:t xml:space="preserve"> </w:t>
      </w:r>
      <w:r w:rsidR="00C967B9" w:rsidRPr="007C06EF">
        <w:rPr>
          <w:rFonts w:ascii="Book Antiqua" w:eastAsia="Times New Roman" w:hAnsi="Book Antiqua"/>
          <w:iCs/>
          <w:sz w:val="24"/>
          <w:szCs w:val="24"/>
          <w:lang w:val="es-ES"/>
        </w:rPr>
        <w:t>l</w:t>
      </w:r>
      <w:r w:rsidR="00C97726" w:rsidRPr="007C06EF">
        <w:rPr>
          <w:rFonts w:ascii="Book Antiqua" w:eastAsia="Times New Roman" w:hAnsi="Book Antiqua"/>
          <w:iCs/>
          <w:sz w:val="24"/>
          <w:szCs w:val="24"/>
          <w:lang w:val="es-ES"/>
        </w:rPr>
        <w:t>o</w:t>
      </w:r>
      <w:r w:rsidR="00C97726">
        <w:rPr>
          <w:rFonts w:ascii="Book Antiqua" w:eastAsia="Times New Roman" w:hAnsi="Book Antiqua"/>
          <w:sz w:val="24"/>
          <w:szCs w:val="24"/>
          <w:lang w:val="es-ES"/>
        </w:rPr>
        <w:t xml:space="preserve">s importadores y distribuidores </w:t>
      </w:r>
      <w:r w:rsidR="00C967B9" w:rsidRPr="007C06EF">
        <w:rPr>
          <w:rFonts w:ascii="Book Antiqua" w:eastAsia="Times New Roman" w:hAnsi="Book Antiqua"/>
          <w:iCs/>
          <w:sz w:val="24"/>
          <w:szCs w:val="24"/>
          <w:lang w:val="es-ES"/>
        </w:rPr>
        <w:t xml:space="preserve">tendrán 30 días para </w:t>
      </w:r>
      <w:r w:rsidR="00C97726">
        <w:rPr>
          <w:rFonts w:ascii="Book Antiqua" w:eastAsia="Times New Roman" w:hAnsi="Book Antiqua"/>
          <w:sz w:val="24"/>
          <w:szCs w:val="24"/>
          <w:lang w:val="es-ES"/>
        </w:rPr>
        <w:t>entregar un listado al Departamento de Asuntos del Consumidor de todos los negocios que se encuentran vinculados o entrarían en las categorías mencionadas en el párrafo anterior. De que el mismo sea utilizado para la adecuada implementación de la presente Ley.</w:t>
      </w:r>
    </w:p>
    <w:p w14:paraId="18EA4705"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4.- Obligación de publicar precios</w:t>
      </w:r>
    </w:p>
    <w:p w14:paraId="5AD3790C" w14:textId="5CDF3940" w:rsidR="007C06EF" w:rsidRPr="007C06EF" w:rsidRDefault="00E63614" w:rsidP="007C06EF">
      <w:pPr>
        <w:spacing w:after="0" w:line="480" w:lineRule="auto"/>
        <w:ind w:firstLine="720"/>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 xml:space="preserve">Se </w:t>
      </w:r>
      <w:r w:rsidR="00CA5BE5" w:rsidRPr="007C06EF">
        <w:rPr>
          <w:rFonts w:ascii="Book Antiqua" w:eastAsia="Times New Roman" w:hAnsi="Book Antiqua"/>
          <w:sz w:val="24"/>
          <w:szCs w:val="24"/>
          <w:lang w:val="es-ES"/>
        </w:rPr>
        <w:t xml:space="preserve">establece </w:t>
      </w:r>
      <w:r w:rsidRPr="00E63614">
        <w:rPr>
          <w:rFonts w:ascii="Book Antiqua" w:eastAsia="Times New Roman" w:hAnsi="Book Antiqua"/>
          <w:sz w:val="24"/>
          <w:szCs w:val="24"/>
          <w:lang w:val="es-ES"/>
        </w:rPr>
        <w:t>la obligación de</w:t>
      </w:r>
      <w:r w:rsidR="00A80470">
        <w:rPr>
          <w:rFonts w:ascii="Book Antiqua" w:eastAsia="Times New Roman" w:hAnsi="Book Antiqua"/>
          <w:sz w:val="24"/>
          <w:szCs w:val="24"/>
          <w:lang w:val="es-ES"/>
        </w:rPr>
        <w:t xml:space="preserve"> Mayoristas,</w:t>
      </w:r>
      <w:r w:rsidRPr="00E63614">
        <w:rPr>
          <w:rFonts w:ascii="Book Antiqua" w:eastAsia="Times New Roman" w:hAnsi="Book Antiqua"/>
          <w:sz w:val="24"/>
          <w:szCs w:val="24"/>
          <w:lang w:val="es-ES"/>
        </w:rPr>
        <w:t xml:space="preserve"> distribuidores y detallistas de </w:t>
      </w:r>
      <w:r w:rsidR="001420C5" w:rsidRPr="007C06EF">
        <w:rPr>
          <w:rFonts w:ascii="Book Antiqua" w:eastAsia="Times New Roman" w:hAnsi="Book Antiqua"/>
          <w:iCs/>
          <w:sz w:val="24"/>
          <w:szCs w:val="24"/>
          <w:lang w:val="es-ES"/>
        </w:rPr>
        <w:t>informar al cliente sobre los precios del producto, y en caso de establecimientos o comercios,</w:t>
      </w:r>
      <w:r w:rsidR="001420C5">
        <w:rPr>
          <w:rFonts w:ascii="Book Antiqua" w:eastAsia="Times New Roman" w:hAnsi="Book Antiqua"/>
          <w:sz w:val="24"/>
          <w:szCs w:val="24"/>
          <w:lang w:val="es-ES"/>
        </w:rPr>
        <w:t xml:space="preserve"> </w:t>
      </w:r>
      <w:r w:rsidRPr="00E63614">
        <w:rPr>
          <w:rFonts w:ascii="Book Antiqua" w:eastAsia="Times New Roman" w:hAnsi="Book Antiqua"/>
          <w:sz w:val="24"/>
          <w:szCs w:val="24"/>
          <w:lang w:val="es-ES"/>
        </w:rPr>
        <w:t>mantener visibles</w:t>
      </w:r>
      <w:r w:rsidR="00FF5C67">
        <w:rPr>
          <w:rFonts w:ascii="Book Antiqua" w:eastAsia="Times New Roman" w:hAnsi="Book Antiqua"/>
          <w:sz w:val="24"/>
          <w:szCs w:val="24"/>
          <w:lang w:val="es-ES"/>
        </w:rPr>
        <w:t xml:space="preserve"> en todo momento, al público en general y con rotulación visible desde la vía de rodaje</w:t>
      </w:r>
      <w:r w:rsidRPr="00E63614">
        <w:rPr>
          <w:rFonts w:ascii="Book Antiqua" w:eastAsia="Times New Roman" w:hAnsi="Book Antiqua"/>
          <w:sz w:val="24"/>
          <w:szCs w:val="24"/>
          <w:lang w:val="es-ES"/>
        </w:rPr>
        <w:t xml:space="preserve"> los precios del producto, ya sea en tanques, a granel o cualquier otra forma.</w:t>
      </w:r>
      <w:r w:rsidR="00BE5F11">
        <w:rPr>
          <w:rFonts w:ascii="Book Antiqua" w:eastAsia="Times New Roman" w:hAnsi="Book Antiqua"/>
          <w:sz w:val="28"/>
          <w:szCs w:val="28"/>
          <w:lang w:val="es-ES"/>
        </w:rPr>
        <w:t xml:space="preserve"> </w:t>
      </w:r>
      <w:r w:rsidR="00BE5F11" w:rsidRPr="00A80470">
        <w:rPr>
          <w:rFonts w:ascii="Book Antiqua" w:eastAsia="Times New Roman" w:hAnsi="Book Antiqua"/>
          <w:sz w:val="24"/>
          <w:szCs w:val="24"/>
          <w:lang w:val="es-ES"/>
        </w:rPr>
        <w:t>De manera que se tenga conocimiento del precio del gas licuado antes que sea despachado al consumidor o detallista.</w:t>
      </w:r>
    </w:p>
    <w:p w14:paraId="707491DE"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5.- Obligación de proveer factura</w:t>
      </w:r>
    </w:p>
    <w:p w14:paraId="430CED35" w14:textId="68CC40EF" w:rsidR="00FF5C67" w:rsidRPr="00A80470" w:rsidRDefault="00E63614" w:rsidP="00FF5C67">
      <w:pPr>
        <w:spacing w:after="0" w:line="480" w:lineRule="auto"/>
        <w:ind w:firstLine="720"/>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 xml:space="preserve">Se </w:t>
      </w:r>
      <w:r w:rsidR="0091037B" w:rsidRPr="007C06EF">
        <w:rPr>
          <w:rFonts w:ascii="Book Antiqua" w:eastAsia="Times New Roman" w:hAnsi="Book Antiqua"/>
          <w:sz w:val="24"/>
          <w:szCs w:val="24"/>
          <w:lang w:val="es-ES"/>
        </w:rPr>
        <w:t>establece</w:t>
      </w:r>
      <w:r w:rsidR="0091037B">
        <w:rPr>
          <w:rFonts w:ascii="Book Antiqua" w:eastAsia="Times New Roman" w:hAnsi="Book Antiqua"/>
          <w:sz w:val="24"/>
          <w:szCs w:val="24"/>
          <w:lang w:val="es-ES"/>
        </w:rPr>
        <w:t xml:space="preserve"> </w:t>
      </w:r>
      <w:r w:rsidRPr="00E63614">
        <w:rPr>
          <w:rFonts w:ascii="Book Antiqua" w:eastAsia="Times New Roman" w:hAnsi="Book Antiqua"/>
          <w:sz w:val="24"/>
          <w:szCs w:val="24"/>
          <w:lang w:val="es-ES"/>
        </w:rPr>
        <w:t>la obligación de los</w:t>
      </w:r>
      <w:r w:rsidR="00BE5F11">
        <w:rPr>
          <w:rFonts w:ascii="Book Antiqua" w:eastAsia="Times New Roman" w:hAnsi="Book Antiqua"/>
          <w:sz w:val="24"/>
          <w:szCs w:val="24"/>
          <w:lang w:val="es-ES"/>
        </w:rPr>
        <w:t xml:space="preserve"> </w:t>
      </w:r>
      <w:r w:rsidR="0046237C">
        <w:rPr>
          <w:rFonts w:ascii="Book Antiqua" w:eastAsia="Times New Roman" w:hAnsi="Book Antiqua"/>
          <w:sz w:val="24"/>
          <w:szCs w:val="24"/>
          <w:lang w:val="es-ES"/>
        </w:rPr>
        <w:t>Importadores, M</w:t>
      </w:r>
      <w:r w:rsidR="00BE5F11">
        <w:rPr>
          <w:rFonts w:ascii="Book Antiqua" w:eastAsia="Times New Roman" w:hAnsi="Book Antiqua"/>
          <w:sz w:val="24"/>
          <w:szCs w:val="24"/>
          <w:lang w:val="es-ES"/>
        </w:rPr>
        <w:t>ayoristas</w:t>
      </w:r>
      <w:r w:rsidR="00A80470">
        <w:rPr>
          <w:rFonts w:ascii="Book Antiqua" w:eastAsia="Times New Roman" w:hAnsi="Book Antiqua"/>
          <w:sz w:val="24"/>
          <w:szCs w:val="24"/>
          <w:lang w:val="es-ES"/>
        </w:rPr>
        <w:t>, Distribuidores</w:t>
      </w:r>
      <w:r w:rsidR="00BE5F11">
        <w:rPr>
          <w:rFonts w:ascii="Book Antiqua" w:eastAsia="Times New Roman" w:hAnsi="Book Antiqua"/>
          <w:sz w:val="24"/>
          <w:szCs w:val="24"/>
          <w:lang w:val="es-ES"/>
        </w:rPr>
        <w:t xml:space="preserve"> y</w:t>
      </w:r>
      <w:r w:rsidR="00A80470">
        <w:rPr>
          <w:rFonts w:ascii="Book Antiqua" w:eastAsia="Times New Roman" w:hAnsi="Book Antiqua"/>
          <w:sz w:val="24"/>
          <w:szCs w:val="24"/>
          <w:lang w:val="es-ES"/>
        </w:rPr>
        <w:t xml:space="preserve"> D</w:t>
      </w:r>
      <w:r w:rsidRPr="00E63614">
        <w:rPr>
          <w:rFonts w:ascii="Book Antiqua" w:eastAsia="Times New Roman" w:hAnsi="Book Antiqua"/>
          <w:sz w:val="24"/>
          <w:szCs w:val="24"/>
          <w:lang w:val="es-ES"/>
        </w:rPr>
        <w:t>etallistas de proveer al cliente una factura detallada al momento de la venta.</w:t>
      </w:r>
      <w:r w:rsidR="00BE5F11">
        <w:rPr>
          <w:rFonts w:ascii="Book Antiqua" w:eastAsia="Times New Roman" w:hAnsi="Book Antiqua"/>
          <w:sz w:val="24"/>
          <w:szCs w:val="24"/>
          <w:lang w:val="es-ES"/>
        </w:rPr>
        <w:t xml:space="preserve"> </w:t>
      </w:r>
      <w:r w:rsidR="00BE5F11" w:rsidRPr="00A80470">
        <w:rPr>
          <w:rFonts w:ascii="Book Antiqua" w:eastAsia="Times New Roman" w:hAnsi="Book Antiqua"/>
          <w:sz w:val="24"/>
          <w:szCs w:val="24"/>
          <w:lang w:val="es-ES"/>
        </w:rPr>
        <w:t xml:space="preserve">Esta factura </w:t>
      </w:r>
      <w:r w:rsidR="00C33BD6" w:rsidRPr="007C06EF">
        <w:rPr>
          <w:rFonts w:ascii="Book Antiqua" w:eastAsia="Times New Roman" w:hAnsi="Book Antiqua"/>
          <w:sz w:val="24"/>
          <w:szCs w:val="24"/>
          <w:lang w:val="es-ES"/>
        </w:rPr>
        <w:t>tendrá que</w:t>
      </w:r>
      <w:r w:rsidR="00C33BD6">
        <w:rPr>
          <w:rFonts w:ascii="Book Antiqua" w:eastAsia="Times New Roman" w:hAnsi="Book Antiqua"/>
          <w:sz w:val="24"/>
          <w:szCs w:val="24"/>
          <w:lang w:val="es-ES"/>
        </w:rPr>
        <w:t xml:space="preserve"> </w:t>
      </w:r>
      <w:r w:rsidR="00BE5F11" w:rsidRPr="00A80470">
        <w:rPr>
          <w:rFonts w:ascii="Book Antiqua" w:eastAsia="Times New Roman" w:hAnsi="Book Antiqua"/>
          <w:sz w:val="24"/>
          <w:szCs w:val="24"/>
          <w:lang w:val="es-ES"/>
        </w:rPr>
        <w:t>incluir el costo del gas licuado de manera separada a cualquier otro costo que incida en el precio final.</w:t>
      </w:r>
      <w:r w:rsidR="0094719C" w:rsidRPr="00A80470">
        <w:rPr>
          <w:rFonts w:ascii="Book Antiqua" w:eastAsia="Times New Roman" w:hAnsi="Book Antiqua"/>
          <w:sz w:val="24"/>
          <w:szCs w:val="24"/>
          <w:lang w:val="es-ES"/>
        </w:rPr>
        <w:t xml:space="preserve"> La factura</w:t>
      </w:r>
      <w:r w:rsidR="00A80470" w:rsidRPr="00A80470">
        <w:rPr>
          <w:rFonts w:ascii="Book Antiqua" w:eastAsia="Times New Roman" w:hAnsi="Book Antiqua"/>
          <w:sz w:val="24"/>
          <w:szCs w:val="24"/>
          <w:lang w:val="es-ES"/>
        </w:rPr>
        <w:t xml:space="preserve"> será detallada</w:t>
      </w:r>
      <w:r w:rsidR="0094719C" w:rsidRPr="00A80470">
        <w:rPr>
          <w:rFonts w:ascii="Book Antiqua" w:eastAsia="Times New Roman" w:hAnsi="Book Antiqua"/>
          <w:sz w:val="24"/>
          <w:szCs w:val="24"/>
          <w:lang w:val="es-ES"/>
        </w:rPr>
        <w:t xml:space="preserve"> de la siguiente manera: </w:t>
      </w:r>
    </w:p>
    <w:p w14:paraId="61F4D1F5" w14:textId="77777777" w:rsidR="00FF5C67" w:rsidRPr="00FF5C67" w:rsidRDefault="00FF5C67"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Nombre de la Empresa</w:t>
      </w:r>
    </w:p>
    <w:p w14:paraId="08279DB1" w14:textId="77777777" w:rsidR="00FF5C67" w:rsidRDefault="00FF5C67"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Dirección Física de la Empresa</w:t>
      </w:r>
    </w:p>
    <w:p w14:paraId="72D9422D" w14:textId="77777777" w:rsidR="00FF5C67" w:rsidRPr="00FF5C67" w:rsidRDefault="00FF5C67" w:rsidP="00FF5C67">
      <w:pPr>
        <w:pStyle w:val="ListParagraph"/>
        <w:numPr>
          <w:ilvl w:val="0"/>
          <w:numId w:val="4"/>
        </w:numPr>
        <w:spacing w:after="0" w:line="480" w:lineRule="auto"/>
        <w:jc w:val="both"/>
        <w:rPr>
          <w:rFonts w:ascii="Book Antiqua" w:eastAsia="Times New Roman" w:hAnsi="Book Antiqua"/>
          <w:sz w:val="24"/>
          <w:szCs w:val="24"/>
          <w:lang w:val="es-PR"/>
        </w:rPr>
      </w:pPr>
      <w:proofErr w:type="spellStart"/>
      <w:r w:rsidRPr="00FF5C67">
        <w:rPr>
          <w:rFonts w:ascii="Book Antiqua" w:eastAsia="Times New Roman" w:hAnsi="Book Antiqua"/>
          <w:sz w:val="24"/>
          <w:szCs w:val="24"/>
        </w:rPr>
        <w:t>Teléfono</w:t>
      </w:r>
      <w:proofErr w:type="spellEnd"/>
      <w:r w:rsidRPr="00FF5C67">
        <w:rPr>
          <w:rFonts w:ascii="Book Antiqua" w:eastAsia="Times New Roman" w:hAnsi="Book Antiqua"/>
          <w:sz w:val="24"/>
          <w:szCs w:val="24"/>
        </w:rPr>
        <w:t xml:space="preserve"> de la </w:t>
      </w:r>
      <w:proofErr w:type="spellStart"/>
      <w:r w:rsidRPr="00FF5C67">
        <w:rPr>
          <w:rFonts w:ascii="Book Antiqua" w:eastAsia="Times New Roman" w:hAnsi="Book Antiqua"/>
          <w:sz w:val="24"/>
          <w:szCs w:val="24"/>
        </w:rPr>
        <w:t>Empresa</w:t>
      </w:r>
      <w:proofErr w:type="spellEnd"/>
    </w:p>
    <w:p w14:paraId="13CC9F01" w14:textId="77777777" w:rsidR="0094719C" w:rsidRPr="00FF5C67" w:rsidRDefault="0094719C"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lastRenderedPageBreak/>
        <w:t>Tamaño del Tanque Servido</w:t>
      </w:r>
      <w:r w:rsidRPr="00FF5C67">
        <w:rPr>
          <w:rFonts w:ascii="Book Antiqua" w:eastAsia="Times New Roman" w:hAnsi="Book Antiqua"/>
          <w:sz w:val="24"/>
          <w:szCs w:val="24"/>
          <w:lang w:val="es-ES"/>
        </w:rPr>
        <w:t xml:space="preserve"> </w:t>
      </w:r>
    </w:p>
    <w:p w14:paraId="2BFC9725" w14:textId="60864C0D" w:rsidR="0094719C" w:rsidRDefault="0094719C"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 xml:space="preserve">Precio </w:t>
      </w:r>
      <w:r w:rsidR="00A80470" w:rsidRPr="00FF5C67">
        <w:rPr>
          <w:rFonts w:ascii="Book Antiqua" w:eastAsia="Times New Roman" w:hAnsi="Book Antiqua"/>
          <w:sz w:val="24"/>
          <w:szCs w:val="24"/>
          <w:lang w:val="es-PR"/>
        </w:rPr>
        <w:t>(</w:t>
      </w:r>
      <w:r w:rsidRPr="00FF5C67">
        <w:rPr>
          <w:rFonts w:ascii="Book Antiqua" w:eastAsia="Times New Roman" w:hAnsi="Book Antiqua"/>
          <w:sz w:val="24"/>
          <w:szCs w:val="24"/>
          <w:lang w:val="es-PR"/>
        </w:rPr>
        <w:t>si hubo, algún cambio o reparación d</w:t>
      </w:r>
      <w:r w:rsidR="00A80470" w:rsidRPr="00FF5C67">
        <w:rPr>
          <w:rFonts w:ascii="Book Antiqua" w:eastAsia="Times New Roman" w:hAnsi="Book Antiqua"/>
          <w:sz w:val="24"/>
          <w:szCs w:val="24"/>
          <w:lang w:val="es-PR"/>
        </w:rPr>
        <w:t xml:space="preserve">e Válvulas o Tuberías, </w:t>
      </w:r>
      <w:r w:rsidR="00C967B9">
        <w:rPr>
          <w:rFonts w:ascii="Book Antiqua" w:eastAsia="Times New Roman" w:hAnsi="Book Antiqua"/>
          <w:sz w:val="24"/>
          <w:szCs w:val="24"/>
          <w:lang w:val="es-PR"/>
        </w:rPr>
        <w:t>etc.</w:t>
      </w:r>
      <w:r w:rsidR="00FF5C67">
        <w:rPr>
          <w:rFonts w:ascii="Book Antiqua" w:eastAsia="Times New Roman" w:hAnsi="Book Antiqua"/>
          <w:sz w:val="24"/>
          <w:szCs w:val="24"/>
          <w:lang w:val="es-PR"/>
        </w:rPr>
        <w:t>)</w:t>
      </w:r>
    </w:p>
    <w:p w14:paraId="143F3F9C" w14:textId="77777777" w:rsidR="0094719C" w:rsidRDefault="0094719C"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Precio Exacto del gas, sin ningún costo incluido adicional del producto</w:t>
      </w:r>
      <w:r w:rsidRPr="00FF5C67">
        <w:rPr>
          <w:rFonts w:ascii="Book Antiqua" w:eastAsia="Times New Roman" w:hAnsi="Book Antiqua"/>
          <w:sz w:val="24"/>
          <w:szCs w:val="24"/>
          <w:lang w:val="es-ES"/>
        </w:rPr>
        <w:t xml:space="preserve"> </w:t>
      </w:r>
      <w:r w:rsidRPr="00FF5C67">
        <w:rPr>
          <w:rFonts w:ascii="Book Antiqua" w:eastAsia="Times New Roman" w:hAnsi="Book Antiqua"/>
          <w:sz w:val="24"/>
          <w:szCs w:val="24"/>
          <w:lang w:val="es-PR"/>
        </w:rPr>
        <w:t>servido</w:t>
      </w:r>
    </w:p>
    <w:p w14:paraId="5977FCFE" w14:textId="77777777" w:rsidR="0094719C" w:rsidRDefault="0094719C"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Identificar el Pago; Crédito o Efectivo</w:t>
      </w:r>
    </w:p>
    <w:p w14:paraId="6B317463" w14:textId="77777777" w:rsidR="0094719C" w:rsidRDefault="0094719C"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Cantidad de Abono a la Cuenta en el caso del Pago a Crédito</w:t>
      </w:r>
    </w:p>
    <w:p w14:paraId="634AEB2E" w14:textId="77777777" w:rsidR="0094719C" w:rsidRDefault="0094719C"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Detalle de algún pago adicional, como Seguros, Etc.</w:t>
      </w:r>
    </w:p>
    <w:p w14:paraId="4C2D2F3C" w14:textId="77777777" w:rsidR="0094719C" w:rsidRPr="00FF5C67" w:rsidRDefault="0094719C" w:rsidP="00FF5C67">
      <w:pPr>
        <w:pStyle w:val="ListParagraph"/>
        <w:numPr>
          <w:ilvl w:val="0"/>
          <w:numId w:val="4"/>
        </w:numPr>
        <w:spacing w:after="0" w:line="480" w:lineRule="auto"/>
        <w:jc w:val="both"/>
        <w:rPr>
          <w:rFonts w:ascii="Book Antiqua" w:eastAsia="Times New Roman" w:hAnsi="Book Antiqua"/>
          <w:sz w:val="24"/>
          <w:szCs w:val="24"/>
          <w:lang w:val="es-PR"/>
        </w:rPr>
      </w:pPr>
      <w:r w:rsidRPr="00FF5C67">
        <w:rPr>
          <w:rFonts w:ascii="Book Antiqua" w:eastAsia="Times New Roman" w:hAnsi="Book Antiqua"/>
          <w:sz w:val="24"/>
          <w:szCs w:val="24"/>
          <w:lang w:val="es-PR"/>
        </w:rPr>
        <w:t>Certificación de que el Consumidor está recibiendo la cantidad de</w:t>
      </w:r>
    </w:p>
    <w:p w14:paraId="7C79DD5F" w14:textId="77777777" w:rsidR="0094719C" w:rsidRPr="00A80470" w:rsidRDefault="0094719C" w:rsidP="0094719C">
      <w:pPr>
        <w:spacing w:after="0" w:line="480" w:lineRule="auto"/>
        <w:ind w:firstLine="720"/>
        <w:jc w:val="both"/>
        <w:rPr>
          <w:rFonts w:ascii="Book Antiqua" w:eastAsia="Times New Roman" w:hAnsi="Book Antiqua"/>
          <w:sz w:val="24"/>
          <w:szCs w:val="24"/>
          <w:lang w:val="es-PR"/>
        </w:rPr>
      </w:pPr>
      <w:r w:rsidRPr="00A80470">
        <w:rPr>
          <w:rFonts w:ascii="Book Antiqua" w:eastAsia="Times New Roman" w:hAnsi="Book Antiqua"/>
          <w:sz w:val="24"/>
          <w:szCs w:val="24"/>
          <w:lang w:val="es-PR"/>
        </w:rPr>
        <w:t>gas que está comprando</w:t>
      </w:r>
    </w:p>
    <w:p w14:paraId="6A2E77C6"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6.- Obligaciones con el Departamento de Asuntos del Consumidor</w:t>
      </w:r>
    </w:p>
    <w:p w14:paraId="13B5E749" w14:textId="4F3E51EE" w:rsidR="00E63614" w:rsidRPr="007C06EF" w:rsidRDefault="00E63614" w:rsidP="00E63614">
      <w:pPr>
        <w:numPr>
          <w:ilvl w:val="0"/>
          <w:numId w:val="1"/>
        </w:numPr>
        <w:spacing w:after="0" w:line="480" w:lineRule="auto"/>
        <w:contextualSpacing/>
        <w:jc w:val="both"/>
        <w:rPr>
          <w:rFonts w:ascii="Book Antiqua" w:eastAsia="Times New Roman" w:hAnsi="Book Antiqua"/>
          <w:iCs/>
          <w:sz w:val="24"/>
          <w:szCs w:val="24"/>
          <w:lang w:val="es-ES"/>
        </w:rPr>
      </w:pPr>
      <w:r w:rsidRPr="00E63614">
        <w:rPr>
          <w:rFonts w:ascii="Book Antiqua" w:eastAsia="Times New Roman" w:hAnsi="Book Antiqua"/>
          <w:sz w:val="24"/>
          <w:szCs w:val="24"/>
          <w:lang w:val="es-ES"/>
        </w:rPr>
        <w:t>Todo comerciante en la cadena de distribución del gas licuado de petróleo tendrá la obligación de mantener informado</w:t>
      </w:r>
      <w:r w:rsidR="001420C5" w:rsidRPr="007C06EF">
        <w:rPr>
          <w:rFonts w:ascii="Book Antiqua" w:eastAsia="Times New Roman" w:hAnsi="Book Antiqua"/>
          <w:iCs/>
          <w:sz w:val="24"/>
          <w:szCs w:val="24"/>
          <w:lang w:val="es-ES"/>
        </w:rPr>
        <w:t>, y presentar en periodos semestrales,</w:t>
      </w:r>
      <w:r w:rsidRPr="001420C5">
        <w:rPr>
          <w:rFonts w:ascii="Book Antiqua" w:eastAsia="Times New Roman" w:hAnsi="Book Antiqua"/>
          <w:i/>
          <w:sz w:val="24"/>
          <w:szCs w:val="24"/>
          <w:lang w:val="es-ES"/>
        </w:rPr>
        <w:t xml:space="preserve"> </w:t>
      </w:r>
      <w:r w:rsidRPr="00E63614">
        <w:rPr>
          <w:rFonts w:ascii="Book Antiqua" w:eastAsia="Times New Roman" w:hAnsi="Book Antiqua"/>
          <w:sz w:val="24"/>
          <w:szCs w:val="24"/>
          <w:lang w:val="es-ES"/>
        </w:rPr>
        <w:t>al Departamento de Asuntos del Consumidor (DACO) con respecto a los precios de compra y venta de su producto y cualquier otra información que, mediante Orden Administrativa requiera, de manera que esa agencia pueda evaluar efectivamente si se vulneran los derechos de los consumidores.</w:t>
      </w:r>
      <w:r w:rsidR="001420C5">
        <w:rPr>
          <w:rFonts w:ascii="Book Antiqua" w:eastAsia="Times New Roman" w:hAnsi="Book Antiqua"/>
          <w:sz w:val="24"/>
          <w:szCs w:val="24"/>
          <w:lang w:val="es-ES"/>
        </w:rPr>
        <w:t xml:space="preserve"> </w:t>
      </w:r>
      <w:r w:rsidR="001420C5" w:rsidRPr="007C06EF">
        <w:rPr>
          <w:rFonts w:ascii="Book Antiqua" w:eastAsia="Times New Roman" w:hAnsi="Book Antiqua"/>
          <w:iCs/>
          <w:sz w:val="24"/>
          <w:szCs w:val="24"/>
          <w:lang w:val="es-ES"/>
        </w:rPr>
        <w:t>La información sometida será tratada de forma confidencial, bajo niveles de seguridad prudentes y utilizada exclusivamente para la función fiscalizadora de la agencia.</w:t>
      </w:r>
    </w:p>
    <w:p w14:paraId="447694C4" w14:textId="74E8C27F" w:rsidR="00E63614" w:rsidRPr="00E63614" w:rsidRDefault="00E63614" w:rsidP="00E63614">
      <w:pPr>
        <w:numPr>
          <w:ilvl w:val="0"/>
          <w:numId w:val="1"/>
        </w:numPr>
        <w:spacing w:after="0" w:line="480" w:lineRule="auto"/>
        <w:contextualSpacing/>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 xml:space="preserve">El DACO establecerá la manera y frecuencia en que se le proveerá dicha información, así como el detalle de la información que deberá estar contenida en la misma, disponiéndose que dicha información deberá ser provista no menos de una vez por semestre. </w:t>
      </w:r>
      <w:proofErr w:type="gramStart"/>
      <w:r w:rsidRPr="00E63614">
        <w:rPr>
          <w:rFonts w:ascii="Book Antiqua" w:eastAsia="Times New Roman" w:hAnsi="Book Antiqua"/>
          <w:sz w:val="24"/>
          <w:szCs w:val="24"/>
          <w:lang w:val="es-ES"/>
        </w:rPr>
        <w:t>La información a ser requerida</w:t>
      </w:r>
      <w:proofErr w:type="gramEnd"/>
      <w:r w:rsidRPr="00E63614">
        <w:rPr>
          <w:rFonts w:ascii="Book Antiqua" w:eastAsia="Times New Roman" w:hAnsi="Book Antiqua"/>
          <w:sz w:val="24"/>
          <w:szCs w:val="24"/>
          <w:lang w:val="es-ES"/>
        </w:rPr>
        <w:t xml:space="preserve"> por el DACO </w:t>
      </w:r>
      <w:r w:rsidRPr="00E63614">
        <w:rPr>
          <w:rFonts w:ascii="Book Antiqua" w:eastAsia="Times New Roman" w:hAnsi="Book Antiqua"/>
          <w:sz w:val="24"/>
          <w:szCs w:val="24"/>
          <w:lang w:val="es-ES"/>
        </w:rPr>
        <w:lastRenderedPageBreak/>
        <w:t xml:space="preserve">podrá incluir, pero de ninguna manera se entenderá limitada a: volumen e importe en dólares de gas licuado </w:t>
      </w:r>
      <w:r w:rsidR="00795B42" w:rsidRPr="007C06EF">
        <w:rPr>
          <w:rFonts w:ascii="Book Antiqua" w:eastAsia="Times New Roman" w:hAnsi="Book Antiqua"/>
          <w:iCs/>
          <w:sz w:val="24"/>
          <w:szCs w:val="24"/>
          <w:lang w:val="es-ES"/>
        </w:rPr>
        <w:t xml:space="preserve">y gas natural </w:t>
      </w:r>
      <w:r w:rsidRPr="00E63614">
        <w:rPr>
          <w:rFonts w:ascii="Book Antiqua" w:eastAsia="Times New Roman" w:hAnsi="Book Antiqua"/>
          <w:sz w:val="24"/>
          <w:szCs w:val="24"/>
          <w:lang w:val="es-ES"/>
        </w:rPr>
        <w:t xml:space="preserve">vendido; costos de operación directos e indirectos; otros costos y gastos; ingresos por concepto de rentas, otras líneas de productos u otros negocios; otros ingresos; inversión; inventario; y cualquier otra información que el DACO requiera.  </w:t>
      </w:r>
    </w:p>
    <w:p w14:paraId="1435F45A" w14:textId="03EA3136" w:rsidR="00E63614" w:rsidRPr="007C06EF" w:rsidRDefault="00E63614" w:rsidP="00E63614">
      <w:pPr>
        <w:numPr>
          <w:ilvl w:val="0"/>
          <w:numId w:val="1"/>
        </w:numPr>
        <w:spacing w:after="0" w:line="480" w:lineRule="auto"/>
        <w:contextualSpacing/>
        <w:jc w:val="both"/>
        <w:rPr>
          <w:rFonts w:ascii="Book Antiqua" w:eastAsia="Times New Roman" w:hAnsi="Book Antiqua"/>
          <w:iCs/>
          <w:sz w:val="24"/>
          <w:szCs w:val="24"/>
          <w:lang w:val="es-ES"/>
        </w:rPr>
      </w:pPr>
      <w:r w:rsidRPr="00E63614">
        <w:rPr>
          <w:rFonts w:ascii="Book Antiqua" w:eastAsia="Times New Roman" w:hAnsi="Book Antiqua"/>
          <w:sz w:val="24"/>
          <w:szCs w:val="24"/>
          <w:lang w:val="es-ES"/>
        </w:rPr>
        <w:t xml:space="preserve">Todo comerciante en la cadena de distribución del gas licuado de petróleo </w:t>
      </w:r>
      <w:r w:rsidR="00795B42" w:rsidRPr="007C06EF">
        <w:rPr>
          <w:rFonts w:ascii="Book Antiqua" w:eastAsia="Times New Roman" w:hAnsi="Book Antiqua"/>
          <w:iCs/>
          <w:sz w:val="24"/>
          <w:szCs w:val="24"/>
          <w:lang w:val="es-ES"/>
        </w:rPr>
        <w:t xml:space="preserve">y/o gas natural </w:t>
      </w:r>
      <w:r w:rsidRPr="007C06EF">
        <w:rPr>
          <w:rFonts w:ascii="Book Antiqua" w:eastAsia="Times New Roman" w:hAnsi="Book Antiqua"/>
          <w:iCs/>
          <w:sz w:val="24"/>
          <w:szCs w:val="24"/>
          <w:lang w:val="es-ES"/>
        </w:rPr>
        <w:t>tendrá</w:t>
      </w:r>
      <w:r w:rsidRPr="00E63614">
        <w:rPr>
          <w:rFonts w:ascii="Book Antiqua" w:eastAsia="Times New Roman" w:hAnsi="Book Antiqua"/>
          <w:sz w:val="24"/>
          <w:szCs w:val="24"/>
          <w:lang w:val="es-ES"/>
        </w:rPr>
        <w:t xml:space="preserve"> la obligación de mantener disponibles para el examen de</w:t>
      </w:r>
      <w:r w:rsidR="00755F4B">
        <w:rPr>
          <w:rFonts w:ascii="Book Antiqua" w:eastAsia="Times New Roman" w:hAnsi="Book Antiqua"/>
          <w:sz w:val="24"/>
          <w:szCs w:val="24"/>
          <w:lang w:val="es-ES"/>
        </w:rPr>
        <w:t>l</w:t>
      </w:r>
      <w:r w:rsidRPr="00E63614">
        <w:rPr>
          <w:rFonts w:ascii="Book Antiqua" w:eastAsia="Times New Roman" w:hAnsi="Book Antiqua"/>
          <w:sz w:val="24"/>
          <w:szCs w:val="24"/>
          <w:lang w:val="es-ES"/>
        </w:rPr>
        <w:t xml:space="preserve"> DACO los récords de sus transacciones diarias de negocio, así como aquellos relacionados a órdenes de congelación vigentes.</w:t>
      </w:r>
      <w:r w:rsidR="001420C5">
        <w:rPr>
          <w:rFonts w:ascii="Book Antiqua" w:eastAsia="Times New Roman" w:hAnsi="Book Antiqua"/>
          <w:sz w:val="24"/>
          <w:szCs w:val="24"/>
          <w:lang w:val="es-ES"/>
        </w:rPr>
        <w:t xml:space="preserve"> </w:t>
      </w:r>
      <w:r w:rsidR="001420C5" w:rsidRPr="007C06EF">
        <w:rPr>
          <w:rFonts w:ascii="Book Antiqua" w:eastAsia="Times New Roman" w:hAnsi="Book Antiqua"/>
          <w:iCs/>
          <w:sz w:val="24"/>
          <w:szCs w:val="24"/>
          <w:lang w:val="es-ES"/>
        </w:rPr>
        <w:t>El DACO le proveerá, a los detallistas que lo necesiten, adiestramientos sobre la forma y manera de llevar y mantener los expedientes de las transacciones.  Dichos expedientes se mantendrán por un periodo, no menor, de dos años.</w:t>
      </w:r>
    </w:p>
    <w:p w14:paraId="74EBEFAB" w14:textId="77777777" w:rsidR="00B37D4F" w:rsidRPr="00B37D4F" w:rsidRDefault="00B37D4F" w:rsidP="00B37D4F">
      <w:pPr>
        <w:numPr>
          <w:ilvl w:val="0"/>
          <w:numId w:val="1"/>
        </w:numPr>
        <w:spacing w:after="0" w:line="480" w:lineRule="auto"/>
        <w:contextualSpacing/>
        <w:jc w:val="both"/>
        <w:rPr>
          <w:rFonts w:ascii="Book Antiqua" w:eastAsia="Times New Roman" w:hAnsi="Book Antiqua"/>
          <w:sz w:val="24"/>
          <w:szCs w:val="24"/>
          <w:lang w:val="es-PR"/>
        </w:rPr>
      </w:pPr>
      <w:r w:rsidRPr="00B37D4F">
        <w:rPr>
          <w:rFonts w:ascii="Book Antiqua" w:eastAsia="Times New Roman" w:hAnsi="Book Antiqua"/>
          <w:sz w:val="24"/>
          <w:szCs w:val="24"/>
          <w:lang w:val="es-PR"/>
        </w:rPr>
        <w:t>Ningún mayorista o distribuidor al por</w:t>
      </w:r>
      <w:r>
        <w:rPr>
          <w:rFonts w:ascii="Book Antiqua" w:eastAsia="Times New Roman" w:hAnsi="Book Antiqua"/>
          <w:sz w:val="24"/>
          <w:szCs w:val="24"/>
          <w:lang w:val="es-PR"/>
        </w:rPr>
        <w:t xml:space="preserve"> </w:t>
      </w:r>
      <w:r w:rsidRPr="00B37D4F">
        <w:rPr>
          <w:rFonts w:ascii="Book Antiqua" w:eastAsia="Times New Roman" w:hAnsi="Book Antiqua"/>
          <w:sz w:val="24"/>
          <w:szCs w:val="24"/>
          <w:lang w:val="es-PR"/>
        </w:rPr>
        <w:t>mayor de gas licuado podrá implantar un cambio en los precios de venta a</w:t>
      </w:r>
      <w:r>
        <w:rPr>
          <w:rFonts w:ascii="Book Antiqua" w:eastAsia="Times New Roman" w:hAnsi="Book Antiqua"/>
          <w:sz w:val="24"/>
          <w:szCs w:val="24"/>
          <w:lang w:val="es-PR"/>
        </w:rPr>
        <w:t xml:space="preserve"> </w:t>
      </w:r>
      <w:r w:rsidRPr="00B37D4F">
        <w:rPr>
          <w:rFonts w:ascii="Book Antiqua" w:eastAsia="Times New Roman" w:hAnsi="Book Antiqua"/>
          <w:sz w:val="24"/>
          <w:szCs w:val="24"/>
          <w:lang w:val="es-PR"/>
        </w:rPr>
        <w:t>los detallistas a menos que notifique por escrito al DACO, a más tardar de</w:t>
      </w:r>
      <w:r>
        <w:rPr>
          <w:rFonts w:ascii="Book Antiqua" w:eastAsia="Times New Roman" w:hAnsi="Book Antiqua"/>
          <w:sz w:val="24"/>
          <w:szCs w:val="24"/>
          <w:lang w:val="es-PR"/>
        </w:rPr>
        <w:t xml:space="preserve"> </w:t>
      </w:r>
      <w:r w:rsidRPr="00A80470">
        <w:rPr>
          <w:rFonts w:ascii="Book Antiqua" w:eastAsia="Times New Roman" w:hAnsi="Book Antiqua"/>
          <w:bCs/>
          <w:sz w:val="24"/>
          <w:szCs w:val="24"/>
          <w:lang w:val="es-PR"/>
        </w:rPr>
        <w:t>cinco (5) días laborables</w:t>
      </w:r>
      <w:r w:rsidRPr="00B37D4F">
        <w:rPr>
          <w:rFonts w:ascii="Book Antiqua" w:eastAsia="Times New Roman" w:hAnsi="Book Antiqua"/>
          <w:b/>
          <w:bCs/>
          <w:sz w:val="24"/>
          <w:szCs w:val="24"/>
          <w:lang w:val="es-PR"/>
        </w:rPr>
        <w:t xml:space="preserve"> </w:t>
      </w:r>
      <w:r w:rsidRPr="00B37D4F">
        <w:rPr>
          <w:rFonts w:ascii="Book Antiqua" w:eastAsia="Times New Roman" w:hAnsi="Book Antiqua"/>
          <w:sz w:val="24"/>
          <w:szCs w:val="24"/>
          <w:lang w:val="es-PR"/>
        </w:rPr>
        <w:t>a la fecha de efectividad del cambio</w:t>
      </w:r>
      <w:r>
        <w:rPr>
          <w:rFonts w:ascii="Book Antiqua" w:eastAsia="Times New Roman" w:hAnsi="Book Antiqua"/>
          <w:sz w:val="24"/>
          <w:szCs w:val="24"/>
          <w:lang w:val="es-PR"/>
        </w:rPr>
        <w:t>.</w:t>
      </w:r>
    </w:p>
    <w:p w14:paraId="1A565E32" w14:textId="3F003252" w:rsidR="00E63614" w:rsidRPr="007C06EF" w:rsidRDefault="00E63614" w:rsidP="00B37D4F">
      <w:pPr>
        <w:numPr>
          <w:ilvl w:val="0"/>
          <w:numId w:val="1"/>
        </w:numPr>
        <w:spacing w:after="0" w:line="480" w:lineRule="auto"/>
        <w:contextualSpacing/>
        <w:jc w:val="both"/>
        <w:rPr>
          <w:rFonts w:ascii="Book Antiqua" w:eastAsia="Times New Roman" w:hAnsi="Book Antiqua"/>
          <w:iCs/>
          <w:sz w:val="24"/>
          <w:szCs w:val="24"/>
          <w:lang w:val="es-PR"/>
        </w:rPr>
      </w:pPr>
      <w:r w:rsidRPr="00B37D4F">
        <w:rPr>
          <w:rFonts w:ascii="Book Antiqua" w:eastAsia="Times New Roman" w:hAnsi="Book Antiqua"/>
          <w:sz w:val="24"/>
          <w:szCs w:val="24"/>
          <w:lang w:val="es-ES"/>
        </w:rPr>
        <w:t>En caso de incumplimiento con esta Ley</w:t>
      </w:r>
      <w:r w:rsidRPr="007C06EF">
        <w:rPr>
          <w:rFonts w:ascii="Book Antiqua" w:eastAsia="Times New Roman" w:hAnsi="Book Antiqua"/>
          <w:sz w:val="24"/>
          <w:szCs w:val="24"/>
          <w:lang w:val="es-ES"/>
        </w:rPr>
        <w:t>,</w:t>
      </w:r>
      <w:r w:rsidR="00755F4B" w:rsidRPr="007C06EF">
        <w:rPr>
          <w:rFonts w:ascii="Book Antiqua" w:eastAsia="Times New Roman" w:hAnsi="Book Antiqua"/>
          <w:sz w:val="24"/>
          <w:szCs w:val="24"/>
          <w:lang w:val="es-ES"/>
        </w:rPr>
        <w:t xml:space="preserve"> Reglamento</w:t>
      </w:r>
      <w:r w:rsidRPr="00B37D4F">
        <w:rPr>
          <w:rFonts w:ascii="Book Antiqua" w:eastAsia="Times New Roman" w:hAnsi="Book Antiqua"/>
          <w:sz w:val="24"/>
          <w:szCs w:val="24"/>
          <w:lang w:val="es-ES"/>
        </w:rPr>
        <w:t xml:space="preserve"> o con cualquier Orden Administrativa o requerimiento de información emitida por el DACO relacionada al gas licuado del petróleo, se autoriza al </w:t>
      </w:r>
      <w:proofErr w:type="gramStart"/>
      <w:r w:rsidRPr="00B37D4F">
        <w:rPr>
          <w:rFonts w:ascii="Book Antiqua" w:eastAsia="Times New Roman" w:hAnsi="Book Antiqua"/>
          <w:sz w:val="24"/>
          <w:szCs w:val="24"/>
          <w:lang w:val="es-ES"/>
        </w:rPr>
        <w:t>Secretario</w:t>
      </w:r>
      <w:proofErr w:type="gramEnd"/>
      <w:r w:rsidRPr="00B37D4F">
        <w:rPr>
          <w:rFonts w:ascii="Book Antiqua" w:eastAsia="Times New Roman" w:hAnsi="Book Antiqua"/>
          <w:sz w:val="24"/>
          <w:szCs w:val="24"/>
          <w:lang w:val="es-ES"/>
        </w:rPr>
        <w:t xml:space="preserve"> de dicha agencia a emitir multas de hasta $25,000 por violación</w:t>
      </w:r>
      <w:r w:rsidR="00795B42">
        <w:rPr>
          <w:rFonts w:ascii="Book Antiqua" w:eastAsia="Times New Roman" w:hAnsi="Book Antiqua"/>
          <w:sz w:val="24"/>
          <w:szCs w:val="24"/>
          <w:lang w:val="es-ES"/>
        </w:rPr>
        <w:t xml:space="preserve">, </w:t>
      </w:r>
      <w:r w:rsidR="00795B42" w:rsidRPr="007C06EF">
        <w:rPr>
          <w:rFonts w:ascii="Book Antiqua" w:eastAsia="Times New Roman" w:hAnsi="Book Antiqua"/>
          <w:iCs/>
          <w:sz w:val="24"/>
          <w:szCs w:val="24"/>
          <w:lang w:val="es-ES"/>
        </w:rPr>
        <w:t xml:space="preserve">entendiéndose que </w:t>
      </w:r>
      <w:r w:rsidR="00ED2E05" w:rsidRPr="007C06EF">
        <w:rPr>
          <w:rFonts w:ascii="Book Antiqua" w:eastAsia="Times New Roman" w:hAnsi="Book Antiqua"/>
          <w:iCs/>
          <w:sz w:val="24"/>
          <w:szCs w:val="24"/>
          <w:lang w:val="es-PR"/>
        </w:rPr>
        <w:t>cada día en que se incurra en la misma violación será considerada como una violación separada</w:t>
      </w:r>
      <w:r w:rsidRPr="007C06EF">
        <w:rPr>
          <w:rFonts w:ascii="Book Antiqua" w:eastAsia="Times New Roman" w:hAnsi="Book Antiqua"/>
          <w:iCs/>
          <w:sz w:val="24"/>
          <w:szCs w:val="24"/>
          <w:lang w:val="es-ES"/>
        </w:rPr>
        <w:t xml:space="preserve">. </w:t>
      </w:r>
    </w:p>
    <w:p w14:paraId="7E686D5E"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lastRenderedPageBreak/>
        <w:t>Artículo 7.-Prohibición de discrimen de precio</w:t>
      </w:r>
    </w:p>
    <w:p w14:paraId="07389AC0" w14:textId="12B2B832" w:rsidR="00E63614" w:rsidRPr="00E63614" w:rsidRDefault="00E63614" w:rsidP="007C06EF">
      <w:pPr>
        <w:spacing w:after="0" w:line="480" w:lineRule="auto"/>
        <w:ind w:firstLine="720"/>
        <w:jc w:val="both"/>
        <w:rPr>
          <w:rFonts w:ascii="Book Antiqua" w:eastAsia="Times New Roman" w:hAnsi="Book Antiqua"/>
          <w:sz w:val="24"/>
          <w:szCs w:val="24"/>
          <w:lang w:val="es-PR"/>
        </w:rPr>
      </w:pPr>
      <w:r w:rsidRPr="00E63614">
        <w:rPr>
          <w:rFonts w:ascii="Book Antiqua" w:eastAsia="Arial" w:hAnsi="Book Antiqua" w:cs="Arial"/>
          <w:sz w:val="24"/>
          <w:szCs w:val="24"/>
          <w:lang w:val="es-PR"/>
        </w:rPr>
        <w:t>Todo importador o distribuidor-mayorista de gas licuado que supla a negocios para la venta al detal estará obligado a proveer uniformemente</w:t>
      </w:r>
      <w:r w:rsidR="001420C5" w:rsidRPr="007C06EF">
        <w:rPr>
          <w:rFonts w:ascii="Book Antiqua" w:eastAsia="Arial" w:hAnsi="Book Antiqua" w:cs="Arial"/>
          <w:iCs/>
          <w:sz w:val="24"/>
          <w:szCs w:val="24"/>
          <w:lang w:val="es-PR"/>
        </w:rPr>
        <w:t>, el precio,</w:t>
      </w:r>
      <w:r w:rsidRPr="00E63614">
        <w:rPr>
          <w:rFonts w:ascii="Book Antiqua" w:eastAsia="Arial" w:hAnsi="Book Antiqua" w:cs="Arial"/>
          <w:sz w:val="24"/>
          <w:szCs w:val="24"/>
          <w:lang w:val="es-PR"/>
        </w:rPr>
        <w:t xml:space="preserve"> a todos los detallistas de venta de gas licuado a quienes supla, </w:t>
      </w:r>
      <w:r w:rsidR="001420C5" w:rsidRPr="007C06EF">
        <w:rPr>
          <w:rFonts w:ascii="Book Antiqua" w:eastAsia="Arial" w:hAnsi="Book Antiqua" w:cs="Arial"/>
          <w:iCs/>
          <w:sz w:val="24"/>
          <w:szCs w:val="24"/>
          <w:lang w:val="es-PR"/>
        </w:rPr>
        <w:t xml:space="preserve">así como </w:t>
      </w:r>
      <w:r w:rsidRPr="007C06EF">
        <w:rPr>
          <w:rFonts w:ascii="Book Antiqua" w:eastAsia="Arial" w:hAnsi="Book Antiqua" w:cs="Arial"/>
          <w:iCs/>
          <w:sz w:val="24"/>
          <w:szCs w:val="24"/>
          <w:lang w:val="es-PR"/>
        </w:rPr>
        <w:t>todo</w:t>
      </w:r>
      <w:r w:rsidRPr="00E63614">
        <w:rPr>
          <w:rFonts w:ascii="Book Antiqua" w:eastAsia="Arial" w:hAnsi="Book Antiqua" w:cs="Arial"/>
          <w:sz w:val="24"/>
          <w:szCs w:val="24"/>
          <w:lang w:val="es-PR"/>
        </w:rPr>
        <w:t xml:space="preserve"> descuento, deducción, disminución o rebaja en precios que conceda de forma directa o indirecta.</w:t>
      </w:r>
    </w:p>
    <w:p w14:paraId="219564EF" w14:textId="77777777" w:rsidR="00E63614" w:rsidRPr="00E63614" w:rsidRDefault="00E63614" w:rsidP="007C06EF">
      <w:pPr>
        <w:spacing w:after="0" w:line="480" w:lineRule="auto"/>
        <w:ind w:firstLine="720"/>
        <w:jc w:val="both"/>
        <w:rPr>
          <w:rFonts w:ascii="Book Antiqua" w:eastAsia="Times New Roman" w:hAnsi="Book Antiqua"/>
          <w:sz w:val="24"/>
          <w:szCs w:val="24"/>
          <w:lang w:val="es-ES"/>
        </w:rPr>
      </w:pPr>
      <w:r w:rsidRPr="00E63614">
        <w:rPr>
          <w:rFonts w:ascii="Book Antiqua" w:eastAsia="Arial" w:hAnsi="Book Antiqua" w:cs="Arial"/>
          <w:sz w:val="24"/>
          <w:szCs w:val="24"/>
          <w:lang w:val="es-PR"/>
        </w:rPr>
        <w:t>Para efectos de este artículo, se declara a Puerto Rico como un único mercado o zona de mercado.</w:t>
      </w:r>
    </w:p>
    <w:p w14:paraId="7B4DEC9A"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8.-Amplitud de facultades de agencias u organismos gubernamentales</w:t>
      </w:r>
    </w:p>
    <w:p w14:paraId="777AD098" w14:textId="77777777" w:rsidR="00E63614" w:rsidRPr="00E63614" w:rsidRDefault="00E63614" w:rsidP="00E63614">
      <w:pPr>
        <w:spacing w:after="0" w:line="480" w:lineRule="auto"/>
        <w:ind w:firstLine="720"/>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Esta Ley no limita las facultades del DACO por virtud de otras leyes, ni tampoco las de otras agencias u organismos gubernamentales en cuanto a elementos relacionados a la operación y fiscalización de la industria del gas licuado del petróleo, como lo son el Negociado de Transporte y Otros Servicios Públicos y el Departamento de Justicia, entre otras.</w:t>
      </w:r>
    </w:p>
    <w:p w14:paraId="3DA152C7"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9.- Deber del Departamento de Justicia de investigar</w:t>
      </w:r>
    </w:p>
    <w:p w14:paraId="70F163FF" w14:textId="2D9E4C8B" w:rsidR="00E63614" w:rsidRPr="007C06EF" w:rsidRDefault="00E63614" w:rsidP="00E63614">
      <w:pPr>
        <w:spacing w:after="0" w:line="480" w:lineRule="auto"/>
        <w:ind w:firstLine="720"/>
        <w:jc w:val="both"/>
        <w:rPr>
          <w:rFonts w:ascii="Book Antiqua" w:eastAsia="Times New Roman" w:hAnsi="Book Antiqua"/>
          <w:iCs/>
          <w:sz w:val="24"/>
          <w:szCs w:val="24"/>
          <w:lang w:val="es-ES"/>
        </w:rPr>
      </w:pPr>
      <w:r w:rsidRPr="00E63614">
        <w:rPr>
          <w:rFonts w:ascii="Book Antiqua" w:eastAsia="Times New Roman" w:hAnsi="Book Antiqua"/>
          <w:sz w:val="24"/>
          <w:szCs w:val="24"/>
          <w:lang w:val="es-ES"/>
        </w:rPr>
        <w:t xml:space="preserve">Se establece que cualquier asunto que le sea referido </w:t>
      </w:r>
      <w:r w:rsidR="00ED2E05" w:rsidRPr="007C06EF">
        <w:rPr>
          <w:rFonts w:ascii="Book Antiqua" w:eastAsia="Times New Roman" w:hAnsi="Book Antiqua"/>
          <w:iCs/>
          <w:sz w:val="24"/>
          <w:szCs w:val="24"/>
          <w:lang w:val="es-ES"/>
        </w:rPr>
        <w:t>a la Oficina de Asuntos Monopolísticos del</w:t>
      </w:r>
      <w:r w:rsidRPr="00E63614">
        <w:rPr>
          <w:rFonts w:ascii="Book Antiqua" w:eastAsia="Times New Roman" w:hAnsi="Book Antiqua"/>
          <w:sz w:val="24"/>
          <w:szCs w:val="24"/>
          <w:lang w:val="es-ES"/>
        </w:rPr>
        <w:t xml:space="preserve"> Departamento de Justicia, ya sea por parte de agencia gubernamental o ciudadano, en la que se solicite investigación por posible violación a la Ley Núm. 77 de 25 de junio de 1964, según enmendada, conocida como Ley Antimonopolística de Puerto Rico, deberá investigarse y culminarse dicha investigación dentro de los próximos </w:t>
      </w:r>
      <w:r w:rsidR="00C967B9" w:rsidRPr="007C06EF">
        <w:rPr>
          <w:rFonts w:ascii="Book Antiqua" w:eastAsia="Times New Roman" w:hAnsi="Book Antiqua"/>
          <w:iCs/>
          <w:sz w:val="24"/>
          <w:szCs w:val="24"/>
          <w:lang w:val="es-ES"/>
        </w:rPr>
        <w:t>noventa (90)</w:t>
      </w:r>
      <w:r w:rsidRPr="00E63614">
        <w:rPr>
          <w:rFonts w:ascii="Book Antiqua" w:eastAsia="Times New Roman" w:hAnsi="Book Antiqua"/>
          <w:sz w:val="24"/>
          <w:szCs w:val="24"/>
          <w:lang w:val="es-ES"/>
        </w:rPr>
        <w:t xml:space="preserve"> días de haber recibido dicho referido.</w:t>
      </w:r>
      <w:r w:rsidR="00C967B9">
        <w:rPr>
          <w:rFonts w:ascii="Book Antiqua" w:eastAsia="Times New Roman" w:hAnsi="Book Antiqua"/>
          <w:sz w:val="24"/>
          <w:szCs w:val="24"/>
          <w:lang w:val="es-ES"/>
        </w:rPr>
        <w:t xml:space="preserve"> </w:t>
      </w:r>
      <w:r w:rsidR="00C967B9" w:rsidRPr="007C06EF">
        <w:rPr>
          <w:rFonts w:ascii="Book Antiqua" w:eastAsia="Times New Roman" w:hAnsi="Book Antiqua"/>
          <w:iCs/>
          <w:sz w:val="24"/>
          <w:szCs w:val="24"/>
          <w:lang w:val="es-ES"/>
        </w:rPr>
        <w:t xml:space="preserve">La Oficina de Asuntos Monopolísticos podrá </w:t>
      </w:r>
      <w:r w:rsidR="00B838C3" w:rsidRPr="007C06EF">
        <w:rPr>
          <w:rFonts w:ascii="Book Antiqua" w:eastAsia="Times New Roman" w:hAnsi="Book Antiqua"/>
          <w:iCs/>
          <w:sz w:val="24"/>
          <w:szCs w:val="24"/>
          <w:lang w:val="es-ES"/>
        </w:rPr>
        <w:t xml:space="preserve">solicitar, mediante escrito </w:t>
      </w:r>
      <w:r w:rsidR="00795B42" w:rsidRPr="007C06EF">
        <w:rPr>
          <w:rFonts w:ascii="Book Antiqua" w:eastAsia="Times New Roman" w:hAnsi="Book Antiqua"/>
          <w:iCs/>
          <w:sz w:val="24"/>
          <w:szCs w:val="24"/>
          <w:lang w:val="es-ES"/>
        </w:rPr>
        <w:t>y c</w:t>
      </w:r>
      <w:r w:rsidR="00B838C3" w:rsidRPr="007C06EF">
        <w:rPr>
          <w:rFonts w:ascii="Book Antiqua" w:eastAsia="Times New Roman" w:hAnsi="Book Antiqua"/>
          <w:iCs/>
          <w:sz w:val="24"/>
          <w:szCs w:val="24"/>
          <w:lang w:val="es-ES"/>
        </w:rPr>
        <w:t>on su debida justificación, al</w:t>
      </w:r>
      <w:r w:rsidR="00ED2E05" w:rsidRPr="007C06EF">
        <w:rPr>
          <w:rFonts w:ascii="Book Antiqua" w:eastAsia="Times New Roman" w:hAnsi="Book Antiqua"/>
          <w:iCs/>
          <w:sz w:val="24"/>
          <w:szCs w:val="24"/>
          <w:lang w:val="es-ES"/>
        </w:rPr>
        <w:t xml:space="preserve"> </w:t>
      </w:r>
      <w:proofErr w:type="gramStart"/>
      <w:r w:rsidR="00ED2E05" w:rsidRPr="007C06EF">
        <w:rPr>
          <w:rFonts w:ascii="Book Antiqua" w:eastAsia="Times New Roman" w:hAnsi="Book Antiqua"/>
          <w:iCs/>
          <w:sz w:val="24"/>
          <w:szCs w:val="24"/>
          <w:lang w:val="es-ES"/>
        </w:rPr>
        <w:t>Secretario</w:t>
      </w:r>
      <w:proofErr w:type="gramEnd"/>
      <w:r w:rsidR="00ED2E05" w:rsidRPr="007C06EF">
        <w:rPr>
          <w:rFonts w:ascii="Book Antiqua" w:eastAsia="Times New Roman" w:hAnsi="Book Antiqua"/>
          <w:iCs/>
          <w:sz w:val="24"/>
          <w:szCs w:val="24"/>
          <w:lang w:val="es-ES"/>
        </w:rPr>
        <w:t xml:space="preserve"> del</w:t>
      </w:r>
      <w:r w:rsidR="00B838C3" w:rsidRPr="007C06EF">
        <w:rPr>
          <w:rFonts w:ascii="Book Antiqua" w:eastAsia="Times New Roman" w:hAnsi="Book Antiqua"/>
          <w:iCs/>
          <w:sz w:val="24"/>
          <w:szCs w:val="24"/>
          <w:lang w:val="es-ES"/>
        </w:rPr>
        <w:t xml:space="preserve"> Departamento de Justica, </w:t>
      </w:r>
      <w:r w:rsidR="00C967B9" w:rsidRPr="007C06EF">
        <w:rPr>
          <w:rFonts w:ascii="Book Antiqua" w:eastAsia="Times New Roman" w:hAnsi="Book Antiqua"/>
          <w:iCs/>
          <w:sz w:val="24"/>
          <w:szCs w:val="24"/>
          <w:lang w:val="es-ES"/>
        </w:rPr>
        <w:t xml:space="preserve">una </w:t>
      </w:r>
      <w:r w:rsidR="00B838C3" w:rsidRPr="007C06EF">
        <w:rPr>
          <w:rFonts w:ascii="Book Antiqua" w:eastAsia="Times New Roman" w:hAnsi="Book Antiqua"/>
          <w:iCs/>
          <w:sz w:val="24"/>
          <w:szCs w:val="24"/>
          <w:lang w:val="es-ES"/>
        </w:rPr>
        <w:t>extensión</w:t>
      </w:r>
      <w:r w:rsidR="00C967B9" w:rsidRPr="007C06EF">
        <w:rPr>
          <w:rFonts w:ascii="Book Antiqua" w:eastAsia="Times New Roman" w:hAnsi="Book Antiqua"/>
          <w:iCs/>
          <w:sz w:val="24"/>
          <w:szCs w:val="24"/>
          <w:lang w:val="es-ES"/>
        </w:rPr>
        <w:t xml:space="preserve"> de sesenta (60) días.</w:t>
      </w:r>
    </w:p>
    <w:p w14:paraId="77962751"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lastRenderedPageBreak/>
        <w:t>Artículo 10.- Violación del estatuto</w:t>
      </w:r>
    </w:p>
    <w:p w14:paraId="566F4E07" w14:textId="77777777" w:rsidR="00E63614" w:rsidRPr="00E63614" w:rsidRDefault="00E63614" w:rsidP="00E63614">
      <w:pPr>
        <w:spacing w:after="0" w:line="480" w:lineRule="auto"/>
        <w:ind w:firstLine="720"/>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Cualquier violación a esta Ley por parte de importadores, distribuidores y/o detallistas, constituirá una práctica o acto injusto o engañoso y estará sujeto a las disposiciones de l</w:t>
      </w:r>
      <w:r w:rsidR="006D48A1">
        <w:rPr>
          <w:rFonts w:ascii="Book Antiqua" w:eastAsia="Times New Roman" w:hAnsi="Book Antiqua"/>
          <w:sz w:val="24"/>
          <w:szCs w:val="24"/>
          <w:lang w:val="es-ES"/>
        </w:rPr>
        <w:t xml:space="preserve">a Ley núm. 77 de 25 de junio de </w:t>
      </w:r>
      <w:r w:rsidRPr="00E63614">
        <w:rPr>
          <w:rFonts w:ascii="Book Antiqua" w:eastAsia="Times New Roman" w:hAnsi="Book Antiqua"/>
          <w:sz w:val="24"/>
          <w:szCs w:val="24"/>
          <w:lang w:val="es-ES"/>
        </w:rPr>
        <w:t>1964, según enmendada.</w:t>
      </w:r>
    </w:p>
    <w:p w14:paraId="07114946" w14:textId="77777777" w:rsidR="00E63614" w:rsidRPr="00E63614" w:rsidRDefault="00E63614" w:rsidP="00E63614">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11.- Separabilidad</w:t>
      </w:r>
    </w:p>
    <w:p w14:paraId="3D34B708" w14:textId="77777777" w:rsidR="00E63614" w:rsidRPr="00E63614" w:rsidRDefault="00E63614" w:rsidP="00E63614">
      <w:pPr>
        <w:spacing w:after="0" w:line="480" w:lineRule="auto"/>
        <w:ind w:firstLine="720"/>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Si cualquier cláusula, párrafo, artículo, sección o parte de esta ley fuere declarado inconstitucional por un Tribunal de jurisdicción competente, dicho fallo no afectará, perjudicará o invalidará el resto de esta ley, sino que su efecto queda limitado a la cláusula, párrafo, artículo, sección o parte de la ley que así hubiese sido declarada inconstitucional.</w:t>
      </w:r>
    </w:p>
    <w:p w14:paraId="01F4DC98" w14:textId="69780F41" w:rsidR="00065BBE" w:rsidRPr="007C06EF" w:rsidRDefault="00E63614" w:rsidP="006D48A1">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Artículo 12.-</w:t>
      </w:r>
      <w:r w:rsidR="00065BBE">
        <w:rPr>
          <w:rFonts w:ascii="Book Antiqua" w:eastAsia="Times New Roman" w:hAnsi="Book Antiqua"/>
          <w:sz w:val="24"/>
          <w:szCs w:val="24"/>
          <w:lang w:val="es-ES"/>
        </w:rPr>
        <w:t xml:space="preserve"> </w:t>
      </w:r>
      <w:r w:rsidR="00065BBE" w:rsidRPr="007C06EF">
        <w:rPr>
          <w:rFonts w:ascii="Book Antiqua" w:eastAsia="Times New Roman" w:hAnsi="Book Antiqua"/>
          <w:sz w:val="24"/>
          <w:szCs w:val="24"/>
          <w:lang w:val="es-ES"/>
        </w:rPr>
        <w:t>Vigencia</w:t>
      </w:r>
    </w:p>
    <w:p w14:paraId="2A5E7504" w14:textId="23B215A3" w:rsidR="00366872" w:rsidRPr="006D48A1" w:rsidRDefault="00E63614" w:rsidP="006D48A1">
      <w:pPr>
        <w:spacing w:after="0" w:line="480" w:lineRule="auto"/>
        <w:jc w:val="both"/>
        <w:rPr>
          <w:rFonts w:ascii="Book Antiqua" w:eastAsia="Times New Roman" w:hAnsi="Book Antiqua"/>
          <w:sz w:val="24"/>
          <w:szCs w:val="24"/>
          <w:lang w:val="es-ES"/>
        </w:rPr>
      </w:pPr>
      <w:r w:rsidRPr="00E63614">
        <w:rPr>
          <w:rFonts w:ascii="Book Antiqua" w:eastAsia="Times New Roman" w:hAnsi="Book Antiqua"/>
          <w:sz w:val="24"/>
          <w:szCs w:val="24"/>
          <w:lang w:val="es-ES"/>
        </w:rPr>
        <w:t>Esta ley empezará a regir inmediatamente después de su aprobación.</w:t>
      </w:r>
    </w:p>
    <w:sectPr w:rsidR="00366872" w:rsidRPr="006D48A1" w:rsidSect="0006429A">
      <w:headerReference w:type="even" r:id="rId11"/>
      <w:headerReference w:type="default" r:id="rId12"/>
      <w:footerReference w:type="default" r:id="rId13"/>
      <w:type w:val="continuous"/>
      <w:pgSz w:w="12240" w:h="15840" w:code="1"/>
      <w:pgMar w:top="1440" w:right="1440" w:bottom="1440" w:left="1440" w:header="720" w:footer="720" w:gutter="0"/>
      <w:lnNumType w:countBy="1"/>
      <w:pgNumType w:start="3"/>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C0E60" w14:textId="77777777" w:rsidR="001023DB" w:rsidRDefault="001023DB" w:rsidP="00E63614">
      <w:pPr>
        <w:spacing w:after="0" w:line="240" w:lineRule="auto"/>
      </w:pPr>
      <w:r>
        <w:separator/>
      </w:r>
    </w:p>
  </w:endnote>
  <w:endnote w:type="continuationSeparator" w:id="0">
    <w:p w14:paraId="7F5E0403" w14:textId="77777777" w:rsidR="001023DB" w:rsidRDefault="001023DB" w:rsidP="00E6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FEEFB" w14:textId="77777777" w:rsidR="00E63614" w:rsidRDefault="00E63614" w:rsidP="00277D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CFFB2E" w14:textId="77777777" w:rsidR="00E63614" w:rsidRDefault="00E63614" w:rsidP="00454E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941FE" w14:textId="77777777" w:rsidR="00E63614" w:rsidRDefault="00E63614" w:rsidP="00B659FB">
    <w:pPr>
      <w:pStyle w:val="Footer"/>
    </w:pPr>
  </w:p>
  <w:p w14:paraId="22B5A2EA" w14:textId="77777777" w:rsidR="00E63614" w:rsidRDefault="00E636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63E" w14:textId="77777777" w:rsidR="00366872" w:rsidRPr="00D12FBF" w:rsidRDefault="00366872" w:rsidP="00454E72">
    <w:pPr>
      <w:pStyle w:val="Footer"/>
      <w:ind w:right="360"/>
      <w:jc w:val="center"/>
      <w:rPr>
        <w:rFonts w:ascii="Book Antiqua" w:hAnsi="Book Antiqua"/>
        <w:sz w:val="20"/>
      </w:rPr>
    </w:pPr>
  </w:p>
  <w:p w14:paraId="06C97998" w14:textId="77777777" w:rsidR="00366872" w:rsidRDefault="00366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65506" w14:textId="77777777" w:rsidR="001023DB" w:rsidRDefault="001023DB" w:rsidP="00E63614">
      <w:pPr>
        <w:spacing w:after="0" w:line="240" w:lineRule="auto"/>
      </w:pPr>
      <w:r>
        <w:separator/>
      </w:r>
    </w:p>
  </w:footnote>
  <w:footnote w:type="continuationSeparator" w:id="0">
    <w:p w14:paraId="21968ADF" w14:textId="77777777" w:rsidR="001023DB" w:rsidRDefault="001023DB" w:rsidP="00E63614">
      <w:pPr>
        <w:spacing w:after="0" w:line="240" w:lineRule="auto"/>
      </w:pPr>
      <w:r>
        <w:continuationSeparator/>
      </w:r>
    </w:p>
  </w:footnote>
  <w:footnote w:id="1">
    <w:p w14:paraId="2E3BFCD5" w14:textId="69E178C4" w:rsidR="007151D3" w:rsidRDefault="007151D3">
      <w:pPr>
        <w:pStyle w:val="FootnoteText"/>
        <w:rPr>
          <w:lang w:val="es-PR"/>
        </w:rPr>
      </w:pPr>
      <w:r>
        <w:rPr>
          <w:rStyle w:val="FootnoteReference"/>
        </w:rPr>
        <w:footnoteRef/>
      </w:r>
      <w:r w:rsidRPr="007151D3">
        <w:rPr>
          <w:lang w:val="es-PR"/>
        </w:rPr>
        <w:t xml:space="preserve"> </w:t>
      </w:r>
      <w:hyperlink r:id="rId1" w:tgtFrame="_blank" w:history="1">
        <w:r w:rsidRPr="007151D3">
          <w:rPr>
            <w:rStyle w:val="Hyperlink"/>
            <w:lang w:val="es-PR"/>
          </w:rPr>
          <w:t>TheGlobalEconomy.com</w:t>
        </w:r>
      </w:hyperlink>
    </w:p>
    <w:p w14:paraId="4AA02055" w14:textId="77777777" w:rsidR="007151D3" w:rsidRPr="007151D3" w:rsidRDefault="007151D3">
      <w:pPr>
        <w:pStyle w:val="FootnoteText"/>
        <w:rPr>
          <w:lang w:val="es-PR"/>
        </w:rPr>
      </w:pPr>
    </w:p>
  </w:footnote>
  <w:footnote w:id="2">
    <w:p w14:paraId="01914A5E" w14:textId="2A678CA6" w:rsidR="007151D3" w:rsidRDefault="007151D3">
      <w:pPr>
        <w:pStyle w:val="FootnoteText"/>
        <w:rPr>
          <w:lang w:val="es-PR"/>
        </w:rPr>
      </w:pPr>
      <w:r>
        <w:rPr>
          <w:rStyle w:val="FootnoteReference"/>
        </w:rPr>
        <w:footnoteRef/>
      </w:r>
      <w:r w:rsidRPr="007151D3">
        <w:rPr>
          <w:lang w:val="es-PR"/>
        </w:rPr>
        <w:t xml:space="preserve"> </w:t>
      </w:r>
      <w:r>
        <w:fldChar w:fldCharType="begin"/>
      </w:r>
      <w:r w:rsidRPr="004764B2">
        <w:rPr>
          <w:lang w:val="es-ES"/>
        </w:rPr>
        <w:instrText>HYPERLINK "https://www.eia.gov/state/print.php?sid=RQ&amp;utm"</w:instrText>
      </w:r>
      <w:r>
        <w:fldChar w:fldCharType="separate"/>
      </w:r>
      <w:r w:rsidRPr="00447338">
        <w:rPr>
          <w:rStyle w:val="Hyperlink"/>
          <w:lang w:val="es-PR"/>
        </w:rPr>
        <w:t>https://www.eia.gov/state/print.php?sid=RQ&amp;utm</w:t>
      </w:r>
      <w:r>
        <w:fldChar w:fldCharType="end"/>
      </w:r>
    </w:p>
    <w:p w14:paraId="6B7CAEE6" w14:textId="77777777" w:rsidR="007151D3" w:rsidRPr="007151D3" w:rsidRDefault="007151D3">
      <w:pPr>
        <w:pStyle w:val="FootnoteText"/>
        <w:rPr>
          <w:lang w:val="es-PR"/>
        </w:rPr>
      </w:pPr>
    </w:p>
  </w:footnote>
  <w:footnote w:id="3">
    <w:p w14:paraId="0063E0C7" w14:textId="46B9CC2A" w:rsidR="00386A14" w:rsidRDefault="00386A14">
      <w:pPr>
        <w:pStyle w:val="FootnoteText"/>
        <w:rPr>
          <w:lang w:val="es-PR"/>
        </w:rPr>
      </w:pPr>
      <w:r>
        <w:rPr>
          <w:rStyle w:val="FootnoteReference"/>
        </w:rPr>
        <w:footnoteRef/>
      </w:r>
      <w:r w:rsidRPr="00386A14">
        <w:rPr>
          <w:lang w:val="es-PR"/>
        </w:rPr>
        <w:t xml:space="preserve"> </w:t>
      </w:r>
      <w:r>
        <w:fldChar w:fldCharType="begin"/>
      </w:r>
      <w:r w:rsidRPr="004764B2">
        <w:rPr>
          <w:lang w:val="es-PR"/>
        </w:rPr>
        <w:instrText>HYPERLINK "https://www.daco.pr.gov/wp-content/uploads/2021/08/Segundo-Informe-Industria-Gas-Licuado.pdf?utm"</w:instrText>
      </w:r>
      <w:r>
        <w:fldChar w:fldCharType="separate"/>
      </w:r>
      <w:r w:rsidRPr="00447338">
        <w:rPr>
          <w:rStyle w:val="Hyperlink"/>
          <w:lang w:val="es-PR"/>
        </w:rPr>
        <w:t>https://www.daco.pr.gov/wp-content/uploads/2021/08/Segundo-Informe-Industria-Gas-Licuado.pdf?utm</w:t>
      </w:r>
      <w:r>
        <w:fldChar w:fldCharType="end"/>
      </w:r>
    </w:p>
    <w:p w14:paraId="5B8065B3" w14:textId="77777777" w:rsidR="00386A14" w:rsidRPr="00386A14" w:rsidRDefault="00386A14">
      <w:pPr>
        <w:pStyle w:val="FootnoteText"/>
        <w:rPr>
          <w:lang w:val="es-PR"/>
        </w:rPr>
      </w:pPr>
    </w:p>
  </w:footnote>
  <w:footnote w:id="4">
    <w:p w14:paraId="2FB5B0F2" w14:textId="7D3D513A" w:rsidR="00386A14" w:rsidRPr="00386A14" w:rsidRDefault="00386A14">
      <w:pPr>
        <w:pStyle w:val="FootnoteText"/>
        <w:rPr>
          <w:lang w:val="es-PR"/>
        </w:rPr>
      </w:pPr>
      <w:r>
        <w:rPr>
          <w:rStyle w:val="FootnoteReference"/>
        </w:rPr>
        <w:footnoteRef/>
      </w:r>
      <w:r w:rsidRPr="00386A14">
        <w:rPr>
          <w:lang w:val="es-PR"/>
        </w:rPr>
        <w:t xml:space="preserve"> https://www.daco.pr.gov/wp-content/uploads/2021/04/Radiografia-a-la-industria-de-gas-licuado.pdf?utm</w:t>
      </w:r>
    </w:p>
  </w:footnote>
  <w:footnote w:id="5">
    <w:p w14:paraId="176053FE" w14:textId="77777777" w:rsidR="00A272E4" w:rsidRPr="00E63614" w:rsidRDefault="00A272E4" w:rsidP="00A272E4">
      <w:pPr>
        <w:pStyle w:val="FootnoteText"/>
        <w:rPr>
          <w:lang w:val="es-PR"/>
        </w:rPr>
      </w:pPr>
      <w:r>
        <w:rPr>
          <w:rStyle w:val="FootnoteReference"/>
        </w:rPr>
        <w:footnoteRef/>
      </w:r>
      <w:r w:rsidRPr="00E63614">
        <w:rPr>
          <w:lang w:val="es-PR"/>
        </w:rPr>
        <w:t xml:space="preserve"> </w:t>
      </w:r>
      <w:r w:rsidRPr="005B4658">
        <w:rPr>
          <w:rFonts w:ascii="Book Antiqua" w:hAnsi="Book Antiqua" w:cs="Arial"/>
          <w:lang w:val="es-ES" w:eastAsia="ar-SA"/>
        </w:rPr>
        <w:t>Ley Orgánica del DACO, Ley Núm. 5 de 23 de abril de 1973.</w:t>
      </w:r>
    </w:p>
  </w:footnote>
  <w:footnote w:id="6">
    <w:p w14:paraId="6582FB75" w14:textId="77777777" w:rsidR="00A272E4" w:rsidRPr="00E63614" w:rsidRDefault="00A272E4" w:rsidP="00A272E4">
      <w:pPr>
        <w:pStyle w:val="FootnoteText"/>
        <w:rPr>
          <w:lang w:val="es-PR"/>
        </w:rPr>
      </w:pPr>
      <w:r>
        <w:rPr>
          <w:rStyle w:val="FootnoteReference"/>
        </w:rPr>
        <w:footnoteRef/>
      </w:r>
      <w:r w:rsidRPr="00E63614">
        <w:rPr>
          <w:lang w:val="es-PR"/>
        </w:rPr>
        <w:t xml:space="preserve"> </w:t>
      </w:r>
      <w:r w:rsidRPr="00E63614">
        <w:rPr>
          <w:rFonts w:ascii="Book Antiqua" w:hAnsi="Book Antiqua"/>
          <w:lang w:val="es-PR"/>
        </w:rPr>
        <w:t>Ley Núm. 228 de 12 de mayo de 1942, conocida como Ley Insular de Suministros.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F5616" w14:textId="0A35B35F" w:rsidR="00E63614" w:rsidRDefault="00E63614">
    <w:pPr>
      <w:pStyle w:val="Header"/>
      <w:jc w:val="center"/>
    </w:pPr>
    <w:r>
      <w:fldChar w:fldCharType="begin"/>
    </w:r>
    <w:r>
      <w:instrText xml:space="preserve"> PAGE   \* MERGEFORMAT </w:instrText>
    </w:r>
    <w:r>
      <w:fldChar w:fldCharType="separate"/>
    </w:r>
    <w:r w:rsidR="00B02BCB">
      <w:rPr>
        <w:noProof/>
      </w:rPr>
      <w:t>3</w:t>
    </w:r>
    <w:r>
      <w:rPr>
        <w:noProof/>
      </w:rPr>
      <w:fldChar w:fldCharType="end"/>
    </w:r>
  </w:p>
  <w:p w14:paraId="528659A4" w14:textId="77777777" w:rsidR="00E63614" w:rsidRDefault="00E63614">
    <w:pPr>
      <w:spacing w:after="140" w:line="100" w:lineRule="exac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040D2" w14:textId="77777777" w:rsidR="00366872" w:rsidRDefault="000148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253962D" w14:textId="77777777" w:rsidR="00366872" w:rsidRDefault="003668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FBE0" w14:textId="11027F48" w:rsidR="00366872" w:rsidRDefault="00014893">
    <w:pPr>
      <w:pStyle w:val="Header"/>
      <w:jc w:val="center"/>
    </w:pPr>
    <w:r>
      <w:fldChar w:fldCharType="begin"/>
    </w:r>
    <w:r>
      <w:instrText xml:space="preserve"> PAGE   \* MERGEFORMAT </w:instrText>
    </w:r>
    <w:r>
      <w:fldChar w:fldCharType="separate"/>
    </w:r>
    <w:r w:rsidR="00B02BCB">
      <w:rPr>
        <w:noProof/>
      </w:rPr>
      <w:t>10</w:t>
    </w:r>
    <w:r>
      <w:rPr>
        <w:noProof/>
      </w:rPr>
      <w:fldChar w:fldCharType="end"/>
    </w:r>
  </w:p>
  <w:p w14:paraId="4B44C932" w14:textId="77777777" w:rsidR="00366872" w:rsidRDefault="00366872">
    <w:pPr>
      <w:spacing w:after="140"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63C2"/>
    <w:multiLevelType w:val="multilevel"/>
    <w:tmpl w:val="8B3A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86F38"/>
    <w:multiLevelType w:val="multilevel"/>
    <w:tmpl w:val="EA94F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396309"/>
    <w:multiLevelType w:val="hybridMultilevel"/>
    <w:tmpl w:val="756885B6"/>
    <w:lvl w:ilvl="0" w:tplc="D758EED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9C874B6"/>
    <w:multiLevelType w:val="hybridMultilevel"/>
    <w:tmpl w:val="756885B6"/>
    <w:lvl w:ilvl="0" w:tplc="D758EED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052E78"/>
    <w:multiLevelType w:val="hybridMultilevel"/>
    <w:tmpl w:val="4C6060EE"/>
    <w:lvl w:ilvl="0" w:tplc="FB2EDE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0FE68FA"/>
    <w:multiLevelType w:val="hybridMultilevel"/>
    <w:tmpl w:val="3C18BE10"/>
    <w:lvl w:ilvl="0" w:tplc="0FE070E4">
      <w:start w:val="1"/>
      <w:numFmt w:val="lowerLetter"/>
      <w:lvlText w:val="(%1)"/>
      <w:lvlJc w:val="left"/>
      <w:pPr>
        <w:ind w:left="1009" w:hanging="360"/>
      </w:pPr>
      <w:rPr>
        <w:rFonts w:hint="default"/>
      </w:rPr>
    </w:lvl>
    <w:lvl w:ilvl="1" w:tplc="04090019" w:tentative="1">
      <w:start w:val="1"/>
      <w:numFmt w:val="lowerLetter"/>
      <w:lvlText w:val="%2."/>
      <w:lvlJc w:val="left"/>
      <w:pPr>
        <w:ind w:left="1729" w:hanging="360"/>
      </w:pPr>
    </w:lvl>
    <w:lvl w:ilvl="2" w:tplc="0409001B" w:tentative="1">
      <w:start w:val="1"/>
      <w:numFmt w:val="lowerRoman"/>
      <w:lvlText w:val="%3."/>
      <w:lvlJc w:val="right"/>
      <w:pPr>
        <w:ind w:left="2449" w:hanging="180"/>
      </w:pPr>
    </w:lvl>
    <w:lvl w:ilvl="3" w:tplc="0409000F" w:tentative="1">
      <w:start w:val="1"/>
      <w:numFmt w:val="decimal"/>
      <w:lvlText w:val="%4."/>
      <w:lvlJc w:val="left"/>
      <w:pPr>
        <w:ind w:left="3169" w:hanging="360"/>
      </w:pPr>
    </w:lvl>
    <w:lvl w:ilvl="4" w:tplc="04090019" w:tentative="1">
      <w:start w:val="1"/>
      <w:numFmt w:val="lowerLetter"/>
      <w:lvlText w:val="%5."/>
      <w:lvlJc w:val="left"/>
      <w:pPr>
        <w:ind w:left="3889" w:hanging="360"/>
      </w:pPr>
    </w:lvl>
    <w:lvl w:ilvl="5" w:tplc="0409001B" w:tentative="1">
      <w:start w:val="1"/>
      <w:numFmt w:val="lowerRoman"/>
      <w:lvlText w:val="%6."/>
      <w:lvlJc w:val="right"/>
      <w:pPr>
        <w:ind w:left="4609" w:hanging="180"/>
      </w:pPr>
    </w:lvl>
    <w:lvl w:ilvl="6" w:tplc="0409000F" w:tentative="1">
      <w:start w:val="1"/>
      <w:numFmt w:val="decimal"/>
      <w:lvlText w:val="%7."/>
      <w:lvlJc w:val="left"/>
      <w:pPr>
        <w:ind w:left="5329" w:hanging="360"/>
      </w:pPr>
    </w:lvl>
    <w:lvl w:ilvl="7" w:tplc="04090019" w:tentative="1">
      <w:start w:val="1"/>
      <w:numFmt w:val="lowerLetter"/>
      <w:lvlText w:val="%8."/>
      <w:lvlJc w:val="left"/>
      <w:pPr>
        <w:ind w:left="6049" w:hanging="360"/>
      </w:pPr>
    </w:lvl>
    <w:lvl w:ilvl="8" w:tplc="0409001B" w:tentative="1">
      <w:start w:val="1"/>
      <w:numFmt w:val="lowerRoman"/>
      <w:lvlText w:val="%9."/>
      <w:lvlJc w:val="right"/>
      <w:pPr>
        <w:ind w:left="6769" w:hanging="180"/>
      </w:pPr>
    </w:lvl>
  </w:abstractNum>
  <w:abstractNum w:abstractNumId="6" w15:restartNumberingAfterBreak="0">
    <w:nsid w:val="77787A44"/>
    <w:multiLevelType w:val="multilevel"/>
    <w:tmpl w:val="98CC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3273191">
    <w:abstractNumId w:val="3"/>
  </w:num>
  <w:num w:numId="2" w16cid:durableId="420183855">
    <w:abstractNumId w:val="5"/>
  </w:num>
  <w:num w:numId="3" w16cid:durableId="1350793763">
    <w:abstractNumId w:val="2"/>
  </w:num>
  <w:num w:numId="4" w16cid:durableId="787117596">
    <w:abstractNumId w:val="4"/>
  </w:num>
  <w:num w:numId="5" w16cid:durableId="84349762">
    <w:abstractNumId w:val="0"/>
  </w:num>
  <w:num w:numId="6" w16cid:durableId="1619214500">
    <w:abstractNumId w:val="6"/>
  </w:num>
  <w:num w:numId="7" w16cid:durableId="1996176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614"/>
    <w:rsid w:val="00014893"/>
    <w:rsid w:val="00065BBE"/>
    <w:rsid w:val="001023DB"/>
    <w:rsid w:val="001420C5"/>
    <w:rsid w:val="00164550"/>
    <w:rsid w:val="001663A9"/>
    <w:rsid w:val="0016696D"/>
    <w:rsid w:val="001748C0"/>
    <w:rsid w:val="00191ED2"/>
    <w:rsid w:val="001E08DD"/>
    <w:rsid w:val="00262C93"/>
    <w:rsid w:val="002968AA"/>
    <w:rsid w:val="002C35DB"/>
    <w:rsid w:val="002D754A"/>
    <w:rsid w:val="002F172D"/>
    <w:rsid w:val="003119FC"/>
    <w:rsid w:val="00366872"/>
    <w:rsid w:val="00370191"/>
    <w:rsid w:val="00386A14"/>
    <w:rsid w:val="003C0643"/>
    <w:rsid w:val="003C6BEF"/>
    <w:rsid w:val="003C72D6"/>
    <w:rsid w:val="003F7828"/>
    <w:rsid w:val="0046237C"/>
    <w:rsid w:val="004764B2"/>
    <w:rsid w:val="005748C3"/>
    <w:rsid w:val="006130AA"/>
    <w:rsid w:val="006D48A1"/>
    <w:rsid w:val="006E0ED8"/>
    <w:rsid w:val="006F46EB"/>
    <w:rsid w:val="006F5572"/>
    <w:rsid w:val="007151D3"/>
    <w:rsid w:val="0071744D"/>
    <w:rsid w:val="00742407"/>
    <w:rsid w:val="007538B8"/>
    <w:rsid w:val="00755F4B"/>
    <w:rsid w:val="00786F5F"/>
    <w:rsid w:val="00795B42"/>
    <w:rsid w:val="007C06EF"/>
    <w:rsid w:val="008415B6"/>
    <w:rsid w:val="008C192E"/>
    <w:rsid w:val="008C238C"/>
    <w:rsid w:val="008D6D0D"/>
    <w:rsid w:val="0091037B"/>
    <w:rsid w:val="00926DE6"/>
    <w:rsid w:val="0094719C"/>
    <w:rsid w:val="00976230"/>
    <w:rsid w:val="00A272E4"/>
    <w:rsid w:val="00A80470"/>
    <w:rsid w:val="00AC2D4A"/>
    <w:rsid w:val="00B02BCB"/>
    <w:rsid w:val="00B232F5"/>
    <w:rsid w:val="00B37D4F"/>
    <w:rsid w:val="00B838C3"/>
    <w:rsid w:val="00B95EE7"/>
    <w:rsid w:val="00BE5F11"/>
    <w:rsid w:val="00C33BD6"/>
    <w:rsid w:val="00C54559"/>
    <w:rsid w:val="00C565DF"/>
    <w:rsid w:val="00C80412"/>
    <w:rsid w:val="00C967B9"/>
    <w:rsid w:val="00C97726"/>
    <w:rsid w:val="00CA5BE5"/>
    <w:rsid w:val="00CE4B71"/>
    <w:rsid w:val="00DD4971"/>
    <w:rsid w:val="00DE6E38"/>
    <w:rsid w:val="00E63614"/>
    <w:rsid w:val="00ED2E05"/>
    <w:rsid w:val="00F122A1"/>
    <w:rsid w:val="00F174E1"/>
    <w:rsid w:val="00F77EA3"/>
    <w:rsid w:val="00FC72BF"/>
    <w:rsid w:val="00FE4326"/>
    <w:rsid w:val="00FF5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2F92"/>
  <w15:chartTrackingRefBased/>
  <w15:docId w15:val="{3FD1F59F-AD4D-4591-8641-F13097C8C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636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3614"/>
  </w:style>
  <w:style w:type="paragraph" w:styleId="FootnoteText">
    <w:name w:val="footnote text"/>
    <w:basedOn w:val="Normal"/>
    <w:link w:val="FootnoteTextChar"/>
    <w:uiPriority w:val="99"/>
    <w:semiHidden/>
    <w:unhideWhenUsed/>
    <w:rsid w:val="00E63614"/>
    <w:pPr>
      <w:spacing w:after="0" w:line="240" w:lineRule="auto"/>
    </w:pPr>
    <w:rPr>
      <w:sz w:val="20"/>
      <w:szCs w:val="20"/>
    </w:rPr>
  </w:style>
  <w:style w:type="character" w:customStyle="1" w:styleId="FootnoteTextChar">
    <w:name w:val="Footnote Text Char"/>
    <w:link w:val="FootnoteText"/>
    <w:uiPriority w:val="99"/>
    <w:semiHidden/>
    <w:rsid w:val="00E63614"/>
    <w:rPr>
      <w:sz w:val="20"/>
      <w:szCs w:val="20"/>
    </w:rPr>
  </w:style>
  <w:style w:type="character" w:styleId="PageNumber">
    <w:name w:val="page number"/>
    <w:basedOn w:val="DefaultParagraphFont"/>
    <w:rsid w:val="00E63614"/>
  </w:style>
  <w:style w:type="paragraph" w:styleId="Footer">
    <w:name w:val="footer"/>
    <w:basedOn w:val="Normal"/>
    <w:link w:val="FooterChar"/>
    <w:uiPriority w:val="99"/>
    <w:rsid w:val="00E63614"/>
    <w:pPr>
      <w:tabs>
        <w:tab w:val="center" w:pos="4680"/>
        <w:tab w:val="right" w:pos="9360"/>
      </w:tabs>
      <w:spacing w:after="0" w:line="240" w:lineRule="auto"/>
    </w:pPr>
    <w:rPr>
      <w:rFonts w:ascii="Times New Roman" w:eastAsia="Times New Roman" w:hAnsi="Times New Roman"/>
      <w:sz w:val="24"/>
      <w:szCs w:val="20"/>
    </w:rPr>
  </w:style>
  <w:style w:type="character" w:customStyle="1" w:styleId="FooterChar">
    <w:name w:val="Footer Char"/>
    <w:link w:val="Footer"/>
    <w:uiPriority w:val="99"/>
    <w:rsid w:val="00E63614"/>
    <w:rPr>
      <w:rFonts w:ascii="Times New Roman" w:eastAsia="Times New Roman" w:hAnsi="Times New Roman" w:cs="Times New Roman"/>
      <w:sz w:val="24"/>
      <w:szCs w:val="20"/>
    </w:rPr>
  </w:style>
  <w:style w:type="character" w:styleId="FootnoteReference">
    <w:name w:val="footnote reference"/>
    <w:uiPriority w:val="99"/>
    <w:unhideWhenUsed/>
    <w:rsid w:val="00E63614"/>
    <w:rPr>
      <w:vertAlign w:val="superscript"/>
    </w:rPr>
  </w:style>
  <w:style w:type="character" w:styleId="LineNumber">
    <w:name w:val="line number"/>
    <w:basedOn w:val="DefaultParagraphFont"/>
    <w:uiPriority w:val="99"/>
    <w:semiHidden/>
    <w:unhideWhenUsed/>
    <w:rsid w:val="00E63614"/>
  </w:style>
  <w:style w:type="paragraph" w:styleId="ListParagraph">
    <w:name w:val="List Paragraph"/>
    <w:basedOn w:val="Normal"/>
    <w:uiPriority w:val="34"/>
    <w:qFormat/>
    <w:rsid w:val="00FF5C67"/>
    <w:pPr>
      <w:ind w:left="720"/>
      <w:contextualSpacing/>
    </w:pPr>
  </w:style>
  <w:style w:type="paragraph" w:styleId="BalloonText">
    <w:name w:val="Balloon Text"/>
    <w:basedOn w:val="Normal"/>
    <w:link w:val="BalloonTextChar"/>
    <w:uiPriority w:val="99"/>
    <w:semiHidden/>
    <w:unhideWhenUsed/>
    <w:rsid w:val="003C064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C0643"/>
    <w:rPr>
      <w:rFonts w:ascii="Segoe UI" w:hAnsi="Segoe UI" w:cs="Segoe UI"/>
      <w:sz w:val="18"/>
      <w:szCs w:val="18"/>
    </w:rPr>
  </w:style>
  <w:style w:type="character" w:styleId="Hyperlink">
    <w:name w:val="Hyperlink"/>
    <w:basedOn w:val="DefaultParagraphFont"/>
    <w:uiPriority w:val="99"/>
    <w:unhideWhenUsed/>
    <w:rsid w:val="007151D3"/>
    <w:rPr>
      <w:color w:val="0563C1" w:themeColor="hyperlink"/>
      <w:u w:val="single"/>
    </w:rPr>
  </w:style>
  <w:style w:type="character" w:styleId="UnresolvedMention">
    <w:name w:val="Unresolved Mention"/>
    <w:basedOn w:val="DefaultParagraphFont"/>
    <w:uiPriority w:val="99"/>
    <w:semiHidden/>
    <w:unhideWhenUsed/>
    <w:rsid w:val="007151D3"/>
    <w:rPr>
      <w:color w:val="605E5C"/>
      <w:shd w:val="clear" w:color="auto" w:fill="E1DFDD"/>
    </w:rPr>
  </w:style>
  <w:style w:type="paragraph" w:styleId="EndnoteText">
    <w:name w:val="endnote text"/>
    <w:basedOn w:val="Normal"/>
    <w:link w:val="EndnoteTextChar"/>
    <w:uiPriority w:val="99"/>
    <w:semiHidden/>
    <w:unhideWhenUsed/>
    <w:rsid w:val="007151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51D3"/>
  </w:style>
  <w:style w:type="character" w:styleId="EndnoteReference">
    <w:name w:val="endnote reference"/>
    <w:basedOn w:val="DefaultParagraphFont"/>
    <w:uiPriority w:val="99"/>
    <w:semiHidden/>
    <w:unhideWhenUsed/>
    <w:rsid w:val="007151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s.theglobaleconomy.com/Puerto-Rico/lpg_consumptio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42BD2-EA0B-4141-875D-577E21816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2553</Words>
  <Characters>14553</Characters>
  <Application>Microsoft Office Word</Application>
  <DocSecurity>0</DocSecurity>
  <Lines>121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E. Manrique</dc:creator>
  <cp:keywords/>
  <dc:description/>
  <cp:lastModifiedBy>Gladys J. Burgos Torres</cp:lastModifiedBy>
  <cp:revision>3</cp:revision>
  <cp:lastPrinted>2021-08-10T18:26:00Z</cp:lastPrinted>
  <dcterms:created xsi:type="dcterms:W3CDTF">2025-10-14T21:24:00Z</dcterms:created>
  <dcterms:modified xsi:type="dcterms:W3CDTF">2025-10-15T14:55:00Z</dcterms:modified>
</cp:coreProperties>
</file>