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641BA591" w:rsidR="00981A6C" w:rsidRPr="0039078C" w:rsidRDefault="00431BE6" w:rsidP="00981A6C">
      <w:pPr>
        <w:jc w:val="both"/>
        <w:rPr>
          <w:rFonts w:ascii="Book Antiqua" w:hAnsi="Book Antiqua"/>
          <w:lang w:val="es-ES"/>
        </w:rPr>
      </w:pPr>
      <w:r>
        <w:rPr>
          <w:rFonts w:ascii="Book Antiqua" w:hAnsi="Book Antiqua"/>
          <w:lang w:val="es-ES_tradnl"/>
        </w:rPr>
        <w:t>20</w:t>
      </w:r>
      <w:r>
        <w:rPr>
          <w:rFonts w:ascii="Book Antiqua" w:hAnsi="Book Antiqua"/>
          <w:vertAlign w:val="superscript"/>
          <w:lang w:val="es-ES_tradnl"/>
        </w:rPr>
        <w:t>m</w:t>
      </w:r>
      <w:r w:rsidRPr="00FA777E">
        <w:rPr>
          <w:rFonts w:ascii="Book Antiqua" w:hAnsi="Book Antiqua"/>
          <w:vertAlign w:val="superscript"/>
          <w:lang w:val="es-ES_tradnl"/>
        </w:rPr>
        <w:t>a</w:t>
      </w:r>
      <w:r>
        <w:rPr>
          <w:rFonts w:ascii="Book Antiqua" w:hAnsi="Book Antiqua"/>
          <w:vertAlign w:val="superscript"/>
          <w:lang w:val="es-ES_tradnl"/>
        </w:rPr>
        <w:t>.</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sidR="00791157">
        <w:rPr>
          <w:rFonts w:ascii="Book Antiqua" w:hAnsi="Book Antiqua"/>
          <w:lang w:val="es-ES_tradnl"/>
        </w:rPr>
        <w:t>2</w:t>
      </w:r>
      <w:r w:rsidR="00791157">
        <w:rPr>
          <w:rFonts w:ascii="Book Antiqua" w:hAnsi="Book Antiqua"/>
          <w:vertAlign w:val="superscript"/>
          <w:lang w:val="es-ES_tradnl"/>
        </w:rPr>
        <w:t>d</w:t>
      </w:r>
      <w:r w:rsidRPr="00FA777E">
        <w:rPr>
          <w:rFonts w:ascii="Book Antiqua" w:hAnsi="Book Antiqua"/>
          <w:vertAlign w:val="superscript"/>
          <w:lang w:val="es-ES_tradnl"/>
        </w:rPr>
        <w:t>a</w:t>
      </w:r>
      <w:r>
        <w:rPr>
          <w:rFonts w:ascii="Book Antiqua" w:hAnsi="Book Antiqua"/>
          <w:vertAlign w:val="superscript"/>
          <w:lang w:val="es-ES_tradnl"/>
        </w:rPr>
        <w:t>.</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1B4420E4"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6747A4">
        <w:rPr>
          <w:rFonts w:ascii="Book Antiqua" w:hAnsi="Book Antiqua"/>
          <w:b/>
          <w:sz w:val="52"/>
          <w:szCs w:val="52"/>
          <w:lang w:val="es-ES_tradnl"/>
        </w:rPr>
        <w:t>929</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6E1EE8CC" w:rsidR="00981A6C" w:rsidRPr="0039078C" w:rsidRDefault="006747A4" w:rsidP="00981A6C">
      <w:pPr>
        <w:jc w:val="center"/>
        <w:rPr>
          <w:rFonts w:ascii="Book Antiqua" w:hAnsi="Book Antiqua" w:cs="Arial"/>
          <w:caps/>
          <w:lang w:val="es-ES"/>
        </w:rPr>
      </w:pPr>
      <w:r>
        <w:rPr>
          <w:rFonts w:ascii="Book Antiqua" w:hAnsi="Book Antiqua" w:cs="Arial"/>
          <w:caps/>
          <w:lang w:val="es-ES"/>
        </w:rPr>
        <w:t xml:space="preserve">15 </w:t>
      </w:r>
      <w:r w:rsidR="00981A6C" w:rsidRPr="0039078C">
        <w:rPr>
          <w:rFonts w:ascii="Book Antiqua" w:hAnsi="Book Antiqua" w:cs="Arial"/>
          <w:caps/>
          <w:lang w:val="es-ES"/>
        </w:rPr>
        <w:t xml:space="preserve">DE </w:t>
      </w:r>
      <w:r w:rsidR="007374E7">
        <w:rPr>
          <w:rFonts w:ascii="Book Antiqua" w:hAnsi="Book Antiqua" w:cs="Arial"/>
          <w:caps/>
          <w:lang w:val="es-ES"/>
        </w:rPr>
        <w:t>OCTUBRE</w:t>
      </w:r>
      <w:r w:rsidR="00981A6C" w:rsidRPr="0039078C">
        <w:rPr>
          <w:rFonts w:ascii="Book Antiqua" w:hAnsi="Book Antiqua" w:cs="Arial"/>
          <w:caps/>
          <w:lang w:val="es-ES"/>
        </w:rPr>
        <w:t xml:space="preserve"> DE 2025</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06A20229"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8403F3">
        <w:rPr>
          <w:rFonts w:ascii="Book Antiqua" w:hAnsi="Book Antiqua"/>
          <w:lang w:val="es-ES"/>
        </w:rPr>
        <w:t>la Comisión de Transportación e Infraestructura</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1B2516" w:rsidRDefault="00981A6C" w:rsidP="00981A6C">
      <w:pPr>
        <w:jc w:val="center"/>
        <w:rPr>
          <w:rFonts w:ascii="Book Antiqua" w:hAnsi="Book Antiqua"/>
          <w:b/>
          <w:sz w:val="28"/>
          <w:szCs w:val="28"/>
          <w:lang w:val="es-ES_tradnl"/>
        </w:rPr>
      </w:pPr>
      <w:r w:rsidRPr="001B2516">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7AB3E398" w:rsidR="00981A6C" w:rsidRDefault="00981A6C" w:rsidP="001B2516">
      <w:pPr>
        <w:pStyle w:val="BlockText"/>
        <w:ind w:left="540" w:right="0" w:hanging="540"/>
        <w:rPr>
          <w:rFonts w:ascii="Book Antiqua" w:hAnsi="Book Antiqua"/>
          <w:sz w:val="24"/>
          <w:lang w:val="es-ES"/>
        </w:rPr>
      </w:pPr>
      <w:r w:rsidRPr="005A332F">
        <w:rPr>
          <w:rFonts w:ascii="Book Antiqua" w:hAnsi="Book Antiqua"/>
          <w:sz w:val="24"/>
        </w:rPr>
        <w:t xml:space="preserve">Para </w:t>
      </w:r>
      <w:r w:rsidR="007374E7">
        <w:rPr>
          <w:rFonts w:ascii="Book Antiqua" w:hAnsi="Book Antiqua"/>
          <w:sz w:val="24"/>
        </w:rPr>
        <w:t>añadir un nuevo inciso (g), y renumerar el actual inciso (g) como inciso (h), del Artículo</w:t>
      </w:r>
      <w:r w:rsidRPr="005A332F">
        <w:rPr>
          <w:rFonts w:ascii="Book Antiqua" w:hAnsi="Book Antiqua"/>
          <w:sz w:val="24"/>
        </w:rPr>
        <w:t xml:space="preserve"> </w:t>
      </w:r>
      <w:r w:rsidR="007374E7">
        <w:rPr>
          <w:rFonts w:ascii="Book Antiqua" w:hAnsi="Book Antiqua"/>
          <w:sz w:val="24"/>
        </w:rPr>
        <w:t>12.02 de la Ley 22-2000, según enmendada, mejor conocida como “Ley de Vehículos y Tránsito de Puerto Rico, a los fines de incluir la verificación de tintes en el parabrisas y ventanillas de cristal como parte del proceso oficial de inspección vehícular conducente a la otorgación de la renovación del marbete</w:t>
      </w:r>
      <w:r w:rsidR="005A332F" w:rsidRPr="005A332F">
        <w:rPr>
          <w:rFonts w:ascii="Book Antiqua" w:hAnsi="Book Antiqua"/>
          <w:sz w:val="24"/>
          <w:lang w:val="es-ES"/>
        </w:rPr>
        <w:t>;</w:t>
      </w:r>
      <w:r w:rsidR="001E011E" w:rsidRPr="001E011E">
        <w:rPr>
          <w:rFonts w:ascii="Book Antiqua" w:hAnsi="Book Antiqua"/>
          <w:b/>
          <w:bCs/>
          <w:sz w:val="24"/>
        </w:rPr>
        <w:t xml:space="preserve"> </w:t>
      </w:r>
      <w:r w:rsidR="001E011E" w:rsidRPr="001E011E">
        <w:rPr>
          <w:rFonts w:ascii="Book Antiqua" w:hAnsi="Book Antiqua"/>
          <w:sz w:val="24"/>
          <w:lang w:val="es-ES"/>
        </w:rPr>
        <w:t>establecer el procedimiento, los instrumentos de medición y las disposiciones transitorias necesarias; crear un programa piloto en los municipios de Cabo Rojo, San Germán y Hormigueros</w:t>
      </w:r>
      <w:r w:rsidR="005A332F" w:rsidRPr="005A332F">
        <w:rPr>
          <w:rFonts w:ascii="Book Antiqua" w:hAnsi="Book Antiqua"/>
          <w:sz w:val="24"/>
          <w:lang w:val="es-ES"/>
        </w:rPr>
        <w:t xml:space="preserve"> entre otros fines relacionados.</w:t>
      </w:r>
    </w:p>
    <w:p w14:paraId="0EFF6F69" w14:textId="77777777" w:rsidR="001B2516" w:rsidRPr="0039078C" w:rsidRDefault="001B2516" w:rsidP="001B2516">
      <w:pPr>
        <w:pStyle w:val="BlockText"/>
        <w:ind w:left="540" w:right="0" w:hanging="540"/>
        <w:rPr>
          <w:rFonts w:ascii="Book Antiqua" w:hAnsi="Book Antiqua"/>
          <w:sz w:val="24"/>
        </w:rPr>
      </w:pPr>
    </w:p>
    <w:p w14:paraId="63D4D946" w14:textId="77777777" w:rsidR="00981A6C" w:rsidRPr="001B2516" w:rsidRDefault="00981A6C" w:rsidP="001B2516">
      <w:pPr>
        <w:pStyle w:val="Heading1"/>
        <w:spacing w:before="0" w:after="0"/>
        <w:jc w:val="center"/>
        <w:rPr>
          <w:rFonts w:ascii="Book Antiqua" w:hAnsi="Book Antiqua"/>
          <w:caps/>
          <w:color w:val="auto"/>
          <w:sz w:val="24"/>
          <w:lang w:val="es-PR"/>
        </w:rPr>
      </w:pPr>
      <w:r w:rsidRPr="001B2516">
        <w:rPr>
          <w:rFonts w:ascii="Book Antiqua" w:hAnsi="Book Antiqua"/>
          <w:caps/>
          <w:color w:val="auto"/>
          <w:sz w:val="24"/>
          <w:lang w:val="es-PR"/>
        </w:rPr>
        <w:t>Exposición de Motivos</w:t>
      </w:r>
    </w:p>
    <w:p w14:paraId="77A0358F" w14:textId="77777777" w:rsidR="00981A6C" w:rsidRPr="0039078C" w:rsidRDefault="00981A6C" w:rsidP="001B2516">
      <w:pPr>
        <w:jc w:val="center"/>
        <w:rPr>
          <w:rFonts w:ascii="Book Antiqua" w:hAnsi="Book Antiqua"/>
          <w:caps/>
          <w:lang w:val="es-PR"/>
        </w:rPr>
      </w:pPr>
    </w:p>
    <w:p w14:paraId="3B84AFF1" w14:textId="315F11DC" w:rsidR="001E011E" w:rsidRDefault="005D05FD" w:rsidP="001B25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r>
        <w:rPr>
          <w:rFonts w:ascii="Book Antiqua" w:hAnsi="Book Antiqua" w:cs="Arial"/>
          <w:color w:val="000000"/>
          <w:lang w:val="es-ES"/>
        </w:rPr>
        <w:tab/>
      </w:r>
      <w:r w:rsidR="001E011E" w:rsidRPr="001E011E">
        <w:rPr>
          <w:rFonts w:ascii="Book Antiqua" w:hAnsi="Book Antiqua" w:cs="Arial"/>
          <w:color w:val="000000"/>
          <w:lang w:val="es-PR"/>
        </w:rPr>
        <w:t xml:space="preserve">La seguridad vial es uno de los pilares fundamentales de la política pública del </w:t>
      </w:r>
      <w:r w:rsidR="001E011E">
        <w:rPr>
          <w:rFonts w:ascii="Book Antiqua" w:hAnsi="Book Antiqua" w:cs="Arial"/>
          <w:color w:val="000000"/>
          <w:lang w:val="es-PR"/>
        </w:rPr>
        <w:t>Gobierno</w:t>
      </w:r>
      <w:r w:rsidR="001E011E" w:rsidRPr="001E011E">
        <w:rPr>
          <w:rFonts w:ascii="Book Antiqua" w:hAnsi="Book Antiqua" w:cs="Arial"/>
          <w:color w:val="000000"/>
          <w:lang w:val="es-PR"/>
        </w:rPr>
        <w:t xml:space="preserve"> de Puerto Rico. El cumplimiento de los estándares de visibilidad y transparencia en los cristales de los vehículos de motor contribuye directamente a la prevención de accidentes y a la labor efectiva de las fuerzas de orden público.</w:t>
      </w:r>
    </w:p>
    <w:p w14:paraId="4BB527AF" w14:textId="77777777" w:rsidR="001E011E" w:rsidRPr="001E011E" w:rsidRDefault="001E011E" w:rsidP="001B25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p>
    <w:p w14:paraId="72DDCE9B" w14:textId="77777777" w:rsidR="001E011E" w:rsidRDefault="001E011E" w:rsidP="001B25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r>
        <w:rPr>
          <w:rFonts w:ascii="Book Antiqua" w:hAnsi="Book Antiqua" w:cs="Arial"/>
          <w:color w:val="000000"/>
          <w:lang w:val="es-PR"/>
        </w:rPr>
        <w:tab/>
      </w:r>
      <w:r w:rsidRPr="001E011E">
        <w:rPr>
          <w:rFonts w:ascii="Book Antiqua" w:hAnsi="Book Antiqua" w:cs="Arial"/>
          <w:color w:val="000000"/>
          <w:lang w:val="es-PR"/>
        </w:rPr>
        <w:t xml:space="preserve">La Ley Núm. 22-2000, conocida como la Ley de Vehículos y Tránsito de Puerto Rico, </w:t>
      </w:r>
      <w:r>
        <w:rPr>
          <w:rFonts w:ascii="Book Antiqua" w:hAnsi="Book Antiqua" w:cs="Arial"/>
          <w:color w:val="000000"/>
          <w:lang w:val="es-PR"/>
        </w:rPr>
        <w:t>en</w:t>
      </w:r>
      <w:r w:rsidRPr="001E011E">
        <w:rPr>
          <w:rFonts w:ascii="Book Antiqua" w:hAnsi="Book Antiqua" w:cs="Arial"/>
          <w:color w:val="000000"/>
          <w:lang w:val="es-PR"/>
        </w:rPr>
        <w:t xml:space="preserve"> su Artículo 10.5 regula el uso de tintes en los cristales de los vehículos, estableciendo parámetros claros de transmisión mínima de luz visible. Estos límites buscan garantizar que el conductor mantenga una visibilidad adecuada hacia el exterior y que los agentes del orden público puedan observar el interior del vehículo por razones de seguridad.</w:t>
      </w:r>
      <w:r>
        <w:rPr>
          <w:rFonts w:ascii="Book Antiqua" w:hAnsi="Book Antiqua" w:cs="Arial"/>
          <w:color w:val="000000"/>
          <w:lang w:val="es-PR"/>
        </w:rPr>
        <w:t xml:space="preserve"> </w:t>
      </w:r>
    </w:p>
    <w:p w14:paraId="78C97E4A" w14:textId="77777777" w:rsidR="001E011E" w:rsidRDefault="001E011E"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p>
    <w:p w14:paraId="6703402A" w14:textId="43775ED7" w:rsidR="001E011E" w:rsidRPr="001E011E" w:rsidRDefault="001E011E"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r>
        <w:rPr>
          <w:rFonts w:ascii="Book Antiqua" w:hAnsi="Book Antiqua" w:cs="Arial"/>
          <w:color w:val="000000"/>
          <w:lang w:val="es-PR"/>
        </w:rPr>
        <w:tab/>
      </w:r>
      <w:r w:rsidRPr="001E011E">
        <w:rPr>
          <w:rFonts w:ascii="Book Antiqua" w:hAnsi="Book Antiqua" w:cs="Arial"/>
          <w:color w:val="000000"/>
          <w:lang w:val="es-PR"/>
        </w:rPr>
        <w:t xml:space="preserve">Sin embargo, en la práctica, la fiscalización de esta disposición depende casi exclusivamente de intervenciones en la vía pública. Ello provoca una aplicación </w:t>
      </w:r>
      <w:r w:rsidRPr="001E011E">
        <w:rPr>
          <w:rFonts w:ascii="Book Antiqua" w:hAnsi="Book Antiqua" w:cs="Arial"/>
          <w:color w:val="000000"/>
          <w:lang w:val="es-PR"/>
        </w:rPr>
        <w:lastRenderedPageBreak/>
        <w:t>inconsistente y sujeta a discreción, además de dejar fuera de cumplimiento a miles de vehículos que obtienen su marbete anual sin cumplir con los niveles de visibilidad permitidos.</w:t>
      </w:r>
      <w:r>
        <w:rPr>
          <w:rFonts w:ascii="Book Antiqua" w:hAnsi="Book Antiqua" w:cs="Arial"/>
          <w:color w:val="000000"/>
          <w:lang w:val="es-PR"/>
        </w:rPr>
        <w:t xml:space="preserve"> </w:t>
      </w:r>
      <w:r w:rsidRPr="001E011E">
        <w:rPr>
          <w:rFonts w:ascii="Book Antiqua" w:hAnsi="Book Antiqua" w:cs="Arial"/>
          <w:color w:val="000000"/>
          <w:lang w:val="es-PR"/>
        </w:rPr>
        <w:t>Por tal razón, resulta prudente y necesario incluir la verificación de tintes dentro del proceso oficial de inspección vehicular, de manera que el cumplimiento de la ley se evalúe antes de otorgar la renovación del marbete. Este mecanismo garantizará uniformidad, transparencia y cumplimiento efectivo.</w:t>
      </w:r>
    </w:p>
    <w:p w14:paraId="19A43B70" w14:textId="77777777" w:rsidR="001E011E" w:rsidRPr="001E011E" w:rsidRDefault="001E011E"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p>
    <w:p w14:paraId="52F3CED3" w14:textId="5AC600D0" w:rsidR="001E011E" w:rsidRPr="001E011E" w:rsidRDefault="001E011E"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r>
        <w:rPr>
          <w:rFonts w:ascii="Book Antiqua" w:hAnsi="Book Antiqua" w:cs="Arial"/>
          <w:color w:val="000000"/>
          <w:lang w:val="es-PR"/>
        </w:rPr>
        <w:tab/>
      </w:r>
      <w:r w:rsidRPr="001E011E">
        <w:rPr>
          <w:rFonts w:ascii="Book Antiqua" w:hAnsi="Book Antiqua" w:cs="Arial"/>
          <w:color w:val="000000"/>
          <w:lang w:val="es-PR"/>
        </w:rPr>
        <w:t>Los centros de inspección mecánica del país ya cuentan con la infraestructura y el personal adiestrado para realizar inspecciones de frenos, luces, emisiones y seguridad. Incorporar la medición del tinte solo requiere añadir un instrumento de lectura de transmisión de luz visible (VLT meter), equipo de bajo costo y fácil operación que se utiliza ampliamente en jurisdicciones de los Estados Unidos como Florida, Texas, California y Nueva York.</w:t>
      </w:r>
      <w:r>
        <w:rPr>
          <w:rFonts w:ascii="Book Antiqua" w:hAnsi="Book Antiqua" w:cs="Arial"/>
          <w:color w:val="000000"/>
          <w:lang w:val="es-PR"/>
        </w:rPr>
        <w:t xml:space="preserve"> </w:t>
      </w:r>
      <w:r w:rsidRPr="001E011E">
        <w:rPr>
          <w:rFonts w:ascii="Book Antiqua" w:hAnsi="Book Antiqua" w:cs="Arial"/>
          <w:color w:val="000000"/>
          <w:lang w:val="es-PR"/>
        </w:rPr>
        <w:t xml:space="preserve">Este instrumento —disponible comercialmente bajo marcas como </w:t>
      </w:r>
      <w:r w:rsidRPr="001E011E">
        <w:rPr>
          <w:rFonts w:ascii="Book Antiqua" w:hAnsi="Book Antiqua" w:cs="Arial"/>
          <w:i/>
          <w:iCs/>
          <w:color w:val="000000"/>
          <w:lang w:val="es-PR"/>
        </w:rPr>
        <w:t>Enforcer II, TintChek Pro, Laser Labs Inspector II</w:t>
      </w:r>
      <w:r w:rsidRPr="001E011E">
        <w:rPr>
          <w:rFonts w:ascii="Book Antiqua" w:hAnsi="Book Antiqua" w:cs="Arial"/>
          <w:color w:val="000000"/>
          <w:lang w:val="es-PR"/>
        </w:rPr>
        <w:t xml:space="preserve">— mide electrónicamente el porcentaje exacto de luz que atraviesa el cristal del vehículo. Su uso permitiría a los centros certificar con precisión si el vehículo cumple con </w:t>
      </w:r>
      <w:r>
        <w:rPr>
          <w:rFonts w:ascii="Book Antiqua" w:hAnsi="Book Antiqua" w:cs="Arial"/>
          <w:color w:val="000000"/>
          <w:lang w:val="es-PR"/>
        </w:rPr>
        <w:t>los estándares establecidos en la Ley 22</w:t>
      </w:r>
      <w:r w:rsidRPr="001E011E">
        <w:rPr>
          <w:rFonts w:ascii="Book Antiqua" w:hAnsi="Book Antiqua" w:cs="Arial"/>
          <w:color w:val="000000"/>
          <w:lang w:val="es-PR"/>
        </w:rPr>
        <w:t xml:space="preserve"> y registrar la lectura dentro del sistema electrónico de inspección.</w:t>
      </w:r>
    </w:p>
    <w:p w14:paraId="7DAEDACF" w14:textId="77777777" w:rsidR="001E011E" w:rsidRPr="001E011E" w:rsidRDefault="001E011E"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p>
    <w:p w14:paraId="6E526306" w14:textId="240479EB" w:rsidR="001E011E" w:rsidRPr="001E011E" w:rsidRDefault="001E011E"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r>
        <w:rPr>
          <w:rFonts w:ascii="Book Antiqua" w:hAnsi="Book Antiqua" w:cs="Arial"/>
          <w:color w:val="000000"/>
          <w:lang w:val="es-PR"/>
        </w:rPr>
        <w:tab/>
        <w:t xml:space="preserve">Por otra parte, esta </w:t>
      </w:r>
      <w:r w:rsidRPr="001E011E">
        <w:rPr>
          <w:rFonts w:ascii="Book Antiqua" w:hAnsi="Book Antiqua" w:cs="Arial"/>
          <w:color w:val="000000"/>
          <w:lang w:val="es-PR"/>
        </w:rPr>
        <w:t>medida propone un programa piloto inicial en los municipios de Cabo Rojo, San Germán y Hormigueros, jurisdicciones que componen el Distrito Representativo 20, donde se evaluará la efectividad y los ajustes técnicos necesarios antes de su implantación a nivel estatal.</w:t>
      </w:r>
    </w:p>
    <w:p w14:paraId="2E04DB18" w14:textId="77777777" w:rsidR="001E011E" w:rsidRPr="001E011E" w:rsidRDefault="001E011E"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p>
    <w:p w14:paraId="69ADBD03" w14:textId="32057F76" w:rsidR="001E011E" w:rsidRPr="001E011E" w:rsidRDefault="001E011E"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PR"/>
        </w:rPr>
      </w:pPr>
      <w:r>
        <w:rPr>
          <w:rFonts w:ascii="Book Antiqua" w:hAnsi="Book Antiqua" w:cs="Arial"/>
          <w:color w:val="000000"/>
          <w:lang w:val="es-PR"/>
        </w:rPr>
        <w:t>Por todo lo antes expuesto, esta Asamblea Legislativa entiende necesaria la aprobación de la presente mediada en aras de fortalecer</w:t>
      </w:r>
      <w:r w:rsidRPr="001E011E">
        <w:rPr>
          <w:rFonts w:ascii="Book Antiqua" w:hAnsi="Book Antiqua" w:cs="Arial"/>
          <w:color w:val="000000"/>
          <w:lang w:val="es-PR"/>
        </w:rPr>
        <w:t xml:space="preserve"> la fiscalización, </w:t>
      </w:r>
      <w:r>
        <w:rPr>
          <w:rFonts w:ascii="Book Antiqua" w:hAnsi="Book Antiqua" w:cs="Arial"/>
          <w:color w:val="000000"/>
          <w:lang w:val="es-PR"/>
        </w:rPr>
        <w:t>reducir</w:t>
      </w:r>
      <w:r w:rsidRPr="001E011E">
        <w:rPr>
          <w:rFonts w:ascii="Book Antiqua" w:hAnsi="Book Antiqua" w:cs="Arial"/>
          <w:color w:val="000000"/>
          <w:lang w:val="es-PR"/>
        </w:rPr>
        <w:t xml:space="preserve"> riesgos de accidentes, </w:t>
      </w:r>
      <w:r>
        <w:rPr>
          <w:rFonts w:ascii="Book Antiqua" w:hAnsi="Book Antiqua" w:cs="Arial"/>
          <w:color w:val="000000"/>
          <w:lang w:val="es-PR"/>
        </w:rPr>
        <w:t>promover</w:t>
      </w:r>
      <w:r w:rsidRPr="001E011E">
        <w:rPr>
          <w:rFonts w:ascii="Book Antiqua" w:hAnsi="Book Antiqua" w:cs="Arial"/>
          <w:color w:val="000000"/>
          <w:lang w:val="es-PR"/>
        </w:rPr>
        <w:t xml:space="preserve"> el cumplimiento uniforme de la Ley 22-2000, y </w:t>
      </w:r>
      <w:r>
        <w:rPr>
          <w:rFonts w:ascii="Book Antiqua" w:hAnsi="Book Antiqua" w:cs="Arial"/>
          <w:color w:val="000000"/>
          <w:lang w:val="es-PR"/>
        </w:rPr>
        <w:t>reforzar</w:t>
      </w:r>
      <w:r w:rsidRPr="001E011E">
        <w:rPr>
          <w:rFonts w:ascii="Book Antiqua" w:hAnsi="Book Antiqua" w:cs="Arial"/>
          <w:color w:val="000000"/>
          <w:lang w:val="es-PR"/>
        </w:rPr>
        <w:t xml:space="preserve"> la confianza ciudadana en el proceso de inspección vehicular.</w:t>
      </w:r>
    </w:p>
    <w:p w14:paraId="5980A97F" w14:textId="49390238" w:rsidR="00106947" w:rsidRPr="006747A4" w:rsidRDefault="00106947" w:rsidP="001E0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1"/>
          <w:szCs w:val="21"/>
          <w:lang w:val="es-ES"/>
        </w:rPr>
      </w:pPr>
    </w:p>
    <w:p w14:paraId="4F992293" w14:textId="563B4D0E" w:rsidR="00981A6C" w:rsidRPr="001B2516" w:rsidRDefault="00981A6C" w:rsidP="001B2516">
      <w:pPr>
        <w:spacing w:line="480" w:lineRule="auto"/>
        <w:jc w:val="both"/>
        <w:rPr>
          <w:rFonts w:ascii="Book Antiqua" w:hAnsi="Book Antiqua"/>
          <w:i/>
          <w:lang w:val="es-PR"/>
        </w:rPr>
      </w:pPr>
      <w:r w:rsidRPr="001B2516">
        <w:rPr>
          <w:rFonts w:ascii="Book Antiqua" w:hAnsi="Book Antiqua"/>
          <w:i/>
          <w:lang w:val="es-PR"/>
        </w:rPr>
        <w:t>DECRÉTASE POR LA ASAMBLEA LEGISLATIVA DE PUERTO RICO:</w:t>
      </w:r>
    </w:p>
    <w:p w14:paraId="40D0420F" w14:textId="77777777" w:rsidR="00981A6C" w:rsidRPr="0039078C" w:rsidRDefault="00981A6C" w:rsidP="00981A6C">
      <w:pPr>
        <w:spacing w:line="480" w:lineRule="auto"/>
        <w:jc w:val="both"/>
        <w:rPr>
          <w:rFonts w:ascii="Book Antiqua" w:hAnsi="Book Antiqua"/>
          <w:lang w:val="es-PR"/>
        </w:rPr>
        <w:sectPr w:rsidR="00981A6C" w:rsidRPr="0039078C" w:rsidSect="00981A6C">
          <w:headerReference w:type="even" r:id="rId7"/>
          <w:headerReference w:type="default" r:id="rId8"/>
          <w:pgSz w:w="12240" w:h="15840" w:code="1"/>
          <w:pgMar w:top="1440" w:right="1440" w:bottom="1440" w:left="1440" w:header="720" w:footer="720" w:gutter="0"/>
          <w:cols w:space="720"/>
          <w:titlePg/>
          <w:docGrid w:linePitch="360"/>
        </w:sectPr>
      </w:pPr>
    </w:p>
    <w:p w14:paraId="10831F6E" w14:textId="0A3249CF" w:rsidR="00981A6C" w:rsidRPr="0039078C"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A80B42">
        <w:rPr>
          <w:rFonts w:ascii="Book Antiqua" w:hAnsi="Book Antiqua"/>
          <w:lang w:val="es-PR"/>
        </w:rPr>
        <w:t xml:space="preserve"> </w:t>
      </w:r>
      <w:r w:rsidRPr="0039078C">
        <w:rPr>
          <w:rFonts w:ascii="Book Antiqua" w:hAnsi="Book Antiqua"/>
          <w:lang w:val="es-PR"/>
        </w:rPr>
        <w:t xml:space="preserve">Se </w:t>
      </w:r>
      <w:r w:rsidR="001E011E">
        <w:rPr>
          <w:rFonts w:ascii="Book Antiqua" w:hAnsi="Book Antiqua"/>
          <w:lang w:val="es-PR"/>
        </w:rPr>
        <w:t xml:space="preserve">añade </w:t>
      </w:r>
      <w:r w:rsidR="008D6874">
        <w:rPr>
          <w:rFonts w:ascii="Book Antiqua" w:hAnsi="Book Antiqua"/>
          <w:lang w:val="es-PR"/>
        </w:rPr>
        <w:t>un nuevo inciso (g), y se renumera el actual inciso (g) como inciso (h), del Artículo 12.02 de la Ley 22-2000, según enmendada, conocida como Ley de Vehículos y Tránsito de Puerto Rico</w:t>
      </w:r>
      <w:r w:rsidR="000F7171" w:rsidRPr="006747A4">
        <w:rPr>
          <w:rFonts w:ascii="Book Antiqua" w:hAnsi="Book Antiqua"/>
          <w:lang w:val="es-ES"/>
        </w:rPr>
        <w:t>,</w:t>
      </w:r>
      <w:r w:rsidR="001D35AA">
        <w:rPr>
          <w:rFonts w:ascii="Book Antiqua" w:hAnsi="Book Antiqua"/>
          <w:lang w:val="es-PR"/>
        </w:rPr>
        <w:t xml:space="preserve"> para que lea como sigue: </w:t>
      </w:r>
      <w:r w:rsidR="00C62677">
        <w:rPr>
          <w:rFonts w:ascii="Book Antiqua" w:hAnsi="Book Antiqua"/>
          <w:lang w:val="es-PR"/>
        </w:rPr>
        <w:t xml:space="preserve"> </w:t>
      </w:r>
    </w:p>
    <w:p w14:paraId="11597A9B" w14:textId="1B576FA1" w:rsidR="00981A6C" w:rsidRPr="0039078C" w:rsidRDefault="00981A6C" w:rsidP="006E4CB7">
      <w:pPr>
        <w:tabs>
          <w:tab w:val="left" w:pos="720"/>
        </w:tabs>
        <w:spacing w:line="480" w:lineRule="auto"/>
        <w:jc w:val="both"/>
        <w:rPr>
          <w:rFonts w:ascii="Book Antiqua" w:hAnsi="Book Antiqua"/>
          <w:lang w:val="es-PR"/>
        </w:rPr>
      </w:pPr>
      <w:r w:rsidRPr="0039078C">
        <w:rPr>
          <w:rFonts w:ascii="Book Antiqua" w:hAnsi="Book Antiqua"/>
          <w:lang w:val="es-PR"/>
        </w:rPr>
        <w:tab/>
        <w:t>“</w:t>
      </w:r>
      <w:r w:rsidR="008D6874">
        <w:rPr>
          <w:rFonts w:ascii="Book Antiqua" w:hAnsi="Book Antiqua"/>
          <w:b/>
          <w:bCs/>
          <w:lang w:val="es-PR"/>
        </w:rPr>
        <w:t>Artículo 12.02</w:t>
      </w:r>
      <w:r w:rsidR="001D35AA" w:rsidRPr="00FE3031">
        <w:rPr>
          <w:rFonts w:ascii="Book Antiqua" w:hAnsi="Book Antiqua"/>
          <w:b/>
          <w:bCs/>
          <w:lang w:val="es-PR"/>
        </w:rPr>
        <w:t xml:space="preserve"> </w:t>
      </w:r>
      <w:r w:rsidR="00873753" w:rsidRPr="00FE3031">
        <w:rPr>
          <w:rFonts w:ascii="Book Antiqua" w:hAnsi="Book Antiqua"/>
          <w:b/>
          <w:bCs/>
          <w:lang w:val="es-PR"/>
        </w:rPr>
        <w:t>─</w:t>
      </w:r>
      <w:r w:rsidR="001D35AA" w:rsidRPr="00FE3031">
        <w:rPr>
          <w:rFonts w:ascii="Book Antiqua" w:hAnsi="Book Antiqua"/>
          <w:b/>
          <w:bCs/>
          <w:lang w:val="es-PR"/>
        </w:rPr>
        <w:t xml:space="preserve"> </w:t>
      </w:r>
      <w:r w:rsidR="008D6874">
        <w:rPr>
          <w:rFonts w:ascii="Book Antiqua" w:hAnsi="Book Antiqua"/>
          <w:b/>
          <w:bCs/>
          <w:lang w:val="es-PR"/>
        </w:rPr>
        <w:t>Inspección Periódica</w:t>
      </w:r>
    </w:p>
    <w:p w14:paraId="3C78DCD0" w14:textId="753A8752" w:rsidR="008D6874" w:rsidRPr="008D6874" w:rsidRDefault="008D6874" w:rsidP="008D6874">
      <w:pPr>
        <w:spacing w:line="480" w:lineRule="auto"/>
        <w:ind w:left="720"/>
        <w:jc w:val="both"/>
        <w:rPr>
          <w:rFonts w:ascii="Book Antiqua" w:hAnsi="Book Antiqua"/>
          <w:lang w:val="es-ES"/>
        </w:rPr>
      </w:pPr>
      <w:r w:rsidRPr="008D6874">
        <w:rPr>
          <w:rFonts w:ascii="Book Antiqua" w:hAnsi="Book Antiqua"/>
          <w:lang w:val="es-ES"/>
        </w:rPr>
        <w:t xml:space="preserve">Todo vehículo de motor que transite por las vías públicas, deberá ser sometido inspecciones mecánicas periódicas cuando y conforme el Secretario lo disponga </w:t>
      </w:r>
      <w:r w:rsidRPr="008D6874">
        <w:rPr>
          <w:rFonts w:ascii="Book Antiqua" w:hAnsi="Book Antiqua"/>
          <w:lang w:val="es-ES"/>
        </w:rPr>
        <w:lastRenderedPageBreak/>
        <w:t>por reglamento. Con relación a dichas inspecciones, se seguirán las normas siguientes:</w:t>
      </w:r>
    </w:p>
    <w:p w14:paraId="7BC77670" w14:textId="77777777" w:rsidR="008D6874" w:rsidRDefault="000F7171" w:rsidP="008D6874">
      <w:pPr>
        <w:spacing w:line="480" w:lineRule="auto"/>
        <w:ind w:left="1080" w:hanging="360"/>
        <w:jc w:val="both"/>
        <w:rPr>
          <w:rFonts w:ascii="Book Antiqua" w:hAnsi="Book Antiqua"/>
          <w:lang w:val="es-ES"/>
        </w:rPr>
      </w:pPr>
      <w:r>
        <w:rPr>
          <w:rFonts w:ascii="Book Antiqua" w:hAnsi="Book Antiqua"/>
          <w:lang w:val="es-PR"/>
        </w:rPr>
        <w:t xml:space="preserve">(a) </w:t>
      </w:r>
      <w:r w:rsidR="008D6874">
        <w:rPr>
          <w:rFonts w:ascii="Book Antiqua" w:hAnsi="Book Antiqua"/>
          <w:lang w:val="es-ES"/>
        </w:rPr>
        <w:t>…</w:t>
      </w:r>
    </w:p>
    <w:p w14:paraId="14C387D9" w14:textId="77777777" w:rsidR="008D6874" w:rsidRDefault="008D6874" w:rsidP="008D6874">
      <w:pPr>
        <w:spacing w:line="480" w:lineRule="auto"/>
        <w:ind w:left="1080" w:hanging="360"/>
        <w:jc w:val="both"/>
        <w:rPr>
          <w:rFonts w:ascii="Book Antiqua" w:hAnsi="Book Antiqua"/>
          <w:lang w:val="es-ES"/>
        </w:rPr>
      </w:pPr>
      <w:r>
        <w:rPr>
          <w:rFonts w:ascii="Book Antiqua" w:hAnsi="Book Antiqua"/>
          <w:lang w:val="es-ES"/>
        </w:rPr>
        <w:t>…</w:t>
      </w:r>
    </w:p>
    <w:p w14:paraId="3E834F7A" w14:textId="25B1156E" w:rsidR="000F7171" w:rsidRPr="008D6874" w:rsidRDefault="008D6874" w:rsidP="008D6874">
      <w:pPr>
        <w:spacing w:line="480" w:lineRule="auto"/>
        <w:ind w:left="1080" w:hanging="360"/>
        <w:jc w:val="both"/>
        <w:rPr>
          <w:rFonts w:ascii="Book Antiqua" w:hAnsi="Book Antiqua"/>
          <w:i/>
          <w:iCs/>
          <w:lang w:val="es-ES"/>
        </w:rPr>
      </w:pPr>
      <w:r w:rsidRPr="008D6874">
        <w:rPr>
          <w:rFonts w:ascii="Book Antiqua" w:hAnsi="Book Antiqua"/>
          <w:i/>
          <w:iCs/>
          <w:lang w:val="es-ES"/>
        </w:rPr>
        <w:t>(g)</w:t>
      </w:r>
      <w:r w:rsidR="000F7171" w:rsidRPr="008D6874">
        <w:rPr>
          <w:rFonts w:ascii="Book Antiqua" w:hAnsi="Book Antiqua"/>
          <w:i/>
          <w:iCs/>
          <w:lang w:val="es-ES"/>
        </w:rPr>
        <w:t xml:space="preserve"> </w:t>
      </w:r>
      <w:r>
        <w:rPr>
          <w:rFonts w:ascii="Book Antiqua" w:hAnsi="Book Antiqua"/>
          <w:i/>
          <w:iCs/>
          <w:lang w:val="es-ES"/>
        </w:rPr>
        <w:t>Se negará el permiso de inspección a todo aquél solicitante cuyo vehículo se encuentre en incumplimiento con las disposiciones del Artículo 10.5 de esta Ley relacionadas a la aplicación de tintes o cualquier otro material o producto que se utilice como filtro solar en el parabrisas y ventanillas de cristal en los vehículos de motor.</w:t>
      </w:r>
      <w:r w:rsidR="00CE4BE7">
        <w:rPr>
          <w:rFonts w:ascii="Book Antiqua" w:hAnsi="Book Antiqua"/>
          <w:i/>
          <w:iCs/>
          <w:lang w:val="es-ES"/>
        </w:rPr>
        <w:t xml:space="preserve"> </w:t>
      </w:r>
      <w:r w:rsidR="00CE4BE7" w:rsidRPr="00CE4BE7">
        <w:rPr>
          <w:rFonts w:ascii="Book Antiqua" w:hAnsi="Book Antiqua"/>
          <w:i/>
          <w:iCs/>
          <w:lang w:val="es-PR"/>
        </w:rPr>
        <w:t>La medición deberá realizarse utilizando instrumentos electrónicos certificados por el Departamento de Transportación y Obras Públicas (DTOP), denominados Medidores de Transmisión de Luz Visible (VLT meters), los cuales determinarán si los cristales cumplen con el porcentaje mínimo de transparencia permitido.</w:t>
      </w:r>
    </w:p>
    <w:p w14:paraId="4EDDCE22" w14:textId="5CB0D358" w:rsidR="00525B73" w:rsidRPr="006747A4" w:rsidRDefault="00525B73" w:rsidP="00CE4BE7">
      <w:pPr>
        <w:spacing w:line="480" w:lineRule="auto"/>
        <w:ind w:left="1260" w:hanging="1530"/>
        <w:jc w:val="both"/>
        <w:rPr>
          <w:rFonts w:ascii="Book Antiqua" w:hAnsi="Book Antiqua"/>
          <w:i/>
          <w:iCs/>
          <w:lang w:val="es-ES"/>
        </w:rPr>
      </w:pPr>
      <w:r w:rsidRPr="00CE4BE7">
        <w:rPr>
          <w:rFonts w:ascii="Book Antiqua" w:hAnsi="Book Antiqua"/>
          <w:b/>
          <w:bCs/>
          <w:lang w:val="es-ES"/>
        </w:rPr>
        <w:t xml:space="preserve">           </w:t>
      </w:r>
      <w:r w:rsidR="00CE4BE7" w:rsidRPr="00CE4BE7">
        <w:rPr>
          <w:rFonts w:ascii="Book Antiqua" w:hAnsi="Book Antiqua"/>
          <w:b/>
          <w:bCs/>
          <w:lang w:val="es-ES"/>
        </w:rPr>
        <w:t>[</w:t>
      </w:r>
      <w:r w:rsidR="008D6874" w:rsidRPr="00CE4BE7">
        <w:rPr>
          <w:rFonts w:ascii="Book Antiqua" w:hAnsi="Book Antiqua"/>
          <w:b/>
          <w:bCs/>
          <w:lang w:val="es-ES"/>
        </w:rPr>
        <w:t>g</w:t>
      </w:r>
      <w:r w:rsidR="00CE4BE7" w:rsidRPr="00CE4BE7">
        <w:rPr>
          <w:rFonts w:ascii="Book Antiqua" w:hAnsi="Book Antiqua"/>
          <w:b/>
          <w:bCs/>
          <w:lang w:val="es-ES"/>
        </w:rPr>
        <w:t>]</w:t>
      </w:r>
      <w:r w:rsidR="00CE4BE7">
        <w:rPr>
          <w:rFonts w:ascii="Book Antiqua" w:hAnsi="Book Antiqua"/>
          <w:b/>
          <w:bCs/>
          <w:lang w:val="es-ES"/>
        </w:rPr>
        <w:t xml:space="preserve"> </w:t>
      </w:r>
      <w:r w:rsidR="00CE4BE7" w:rsidRPr="00CE4BE7">
        <w:rPr>
          <w:rFonts w:ascii="Book Antiqua" w:hAnsi="Book Antiqua"/>
          <w:i/>
          <w:iCs/>
          <w:lang w:val="es-ES"/>
        </w:rPr>
        <w:t>(h)</w:t>
      </w:r>
      <w:r w:rsidR="00CE4BE7">
        <w:rPr>
          <w:rFonts w:ascii="Book Antiqua" w:hAnsi="Book Antiqua"/>
          <w:i/>
          <w:iCs/>
          <w:lang w:val="es-ES"/>
        </w:rPr>
        <w:t xml:space="preserve"> </w:t>
      </w:r>
      <w:r w:rsidR="00CE4BE7" w:rsidRPr="00CE4BE7">
        <w:rPr>
          <w:rFonts w:ascii="Book Antiqua" w:hAnsi="Book Antiqua"/>
          <w:lang w:val="es-ES"/>
        </w:rPr>
        <w:t>El incumplimiento de cualquiera de las disposiciones de este Artículo, se considerará falta administrativa y acarreará el pago de una multa de doscientos (200) dólares.</w:t>
      </w:r>
      <w:r w:rsidR="00CE6062">
        <w:rPr>
          <w:rFonts w:ascii="Book Antiqua" w:hAnsi="Book Antiqua"/>
          <w:lang w:val="es-ES"/>
        </w:rPr>
        <w:t>”</w:t>
      </w:r>
    </w:p>
    <w:p w14:paraId="24A31928" w14:textId="08EC0300" w:rsidR="00CE4BE7" w:rsidRDefault="00A80B42" w:rsidP="00CE4BE7">
      <w:pPr>
        <w:spacing w:line="480" w:lineRule="auto"/>
        <w:ind w:firstLine="720"/>
        <w:jc w:val="both"/>
        <w:rPr>
          <w:rFonts w:ascii="Book Antiqua" w:hAnsi="Book Antiqua"/>
          <w:lang w:val="es-PR"/>
        </w:rPr>
      </w:pPr>
      <w:r>
        <w:rPr>
          <w:rFonts w:ascii="Book Antiqua" w:hAnsi="Book Antiqua"/>
          <w:lang w:val="es-PR"/>
        </w:rPr>
        <w:t>Artículo</w:t>
      </w:r>
      <w:r w:rsidR="00981A6C" w:rsidRPr="0039078C">
        <w:rPr>
          <w:rFonts w:ascii="Book Antiqua" w:hAnsi="Book Antiqua"/>
          <w:lang w:val="es-PR"/>
        </w:rPr>
        <w:t xml:space="preserve"> 2.-</w:t>
      </w:r>
      <w:r>
        <w:rPr>
          <w:rFonts w:ascii="Book Antiqua" w:hAnsi="Book Antiqua"/>
          <w:lang w:val="es-PR"/>
        </w:rPr>
        <w:t xml:space="preserve"> </w:t>
      </w:r>
      <w:r w:rsidR="00CE4BE7">
        <w:rPr>
          <w:rFonts w:ascii="Book Antiqua" w:hAnsi="Book Antiqua"/>
          <w:lang w:val="es-PR"/>
        </w:rPr>
        <w:t>Programa Piloto</w:t>
      </w:r>
    </w:p>
    <w:p w14:paraId="64D07A63" w14:textId="44063F06" w:rsidR="00CE4BE7" w:rsidRPr="00CE4BE7" w:rsidRDefault="00CE4BE7" w:rsidP="00CE4BE7">
      <w:pPr>
        <w:spacing w:line="480" w:lineRule="auto"/>
        <w:ind w:firstLine="720"/>
        <w:jc w:val="both"/>
        <w:rPr>
          <w:rFonts w:ascii="Book Antiqua" w:hAnsi="Book Antiqua"/>
          <w:lang w:val="es-PR"/>
        </w:rPr>
      </w:pPr>
      <w:r w:rsidRPr="00CE4BE7">
        <w:rPr>
          <w:rFonts w:ascii="Book Antiqua" w:hAnsi="Book Antiqua"/>
          <w:lang w:val="es-PR"/>
        </w:rPr>
        <w:t xml:space="preserve">Se ordena </w:t>
      </w:r>
      <w:r>
        <w:rPr>
          <w:rFonts w:ascii="Book Antiqua" w:hAnsi="Book Antiqua"/>
          <w:lang w:val="es-PR"/>
        </w:rPr>
        <w:t xml:space="preserve">al Departamento de Transportación y Obras Públicas </w:t>
      </w:r>
      <w:r w:rsidRPr="00CE4BE7">
        <w:rPr>
          <w:rFonts w:ascii="Book Antiqua" w:hAnsi="Book Antiqua"/>
          <w:lang w:val="es-PR"/>
        </w:rPr>
        <w:t xml:space="preserve">la creación de un </w:t>
      </w:r>
      <w:r>
        <w:rPr>
          <w:rFonts w:ascii="Book Antiqua" w:hAnsi="Book Antiqua"/>
          <w:lang w:val="es-PR"/>
        </w:rPr>
        <w:t>P</w:t>
      </w:r>
      <w:r w:rsidRPr="00CE4BE7">
        <w:rPr>
          <w:rFonts w:ascii="Book Antiqua" w:hAnsi="Book Antiqua"/>
          <w:lang w:val="es-PR"/>
        </w:rPr>
        <w:t xml:space="preserve">rograma </w:t>
      </w:r>
      <w:r>
        <w:rPr>
          <w:rFonts w:ascii="Book Antiqua" w:hAnsi="Book Antiqua"/>
          <w:lang w:val="es-PR"/>
        </w:rPr>
        <w:t>P</w:t>
      </w:r>
      <w:r w:rsidRPr="00CE4BE7">
        <w:rPr>
          <w:rFonts w:ascii="Book Antiqua" w:hAnsi="Book Antiqua"/>
          <w:lang w:val="es-PR"/>
        </w:rPr>
        <w:t xml:space="preserve">iloto de </w:t>
      </w:r>
      <w:r>
        <w:rPr>
          <w:rFonts w:ascii="Book Antiqua" w:hAnsi="Book Antiqua"/>
          <w:lang w:val="es-PR"/>
        </w:rPr>
        <w:t>I</w:t>
      </w:r>
      <w:r w:rsidRPr="00CE4BE7">
        <w:rPr>
          <w:rFonts w:ascii="Book Antiqua" w:hAnsi="Book Antiqua"/>
          <w:lang w:val="es-PR"/>
        </w:rPr>
        <w:t>mplementación</w:t>
      </w:r>
      <w:r>
        <w:rPr>
          <w:rFonts w:ascii="Book Antiqua" w:hAnsi="Book Antiqua"/>
          <w:lang w:val="es-PR"/>
        </w:rPr>
        <w:t xml:space="preserve"> de esta Ley</w:t>
      </w:r>
      <w:r w:rsidRPr="00CE4BE7">
        <w:rPr>
          <w:rFonts w:ascii="Book Antiqua" w:hAnsi="Book Antiqua"/>
          <w:lang w:val="es-PR"/>
        </w:rPr>
        <w:t xml:space="preserve"> en los municipios de Cabo Rojo, San Germán y Hormigueros, con una duración inicial de doce (12) meses.</w:t>
      </w:r>
    </w:p>
    <w:p w14:paraId="2CF404A7" w14:textId="77777777" w:rsidR="00CE4BE7" w:rsidRPr="00CE4BE7" w:rsidRDefault="00CE4BE7" w:rsidP="00CE4BE7">
      <w:pPr>
        <w:spacing w:line="480" w:lineRule="auto"/>
        <w:ind w:firstLine="720"/>
        <w:jc w:val="both"/>
        <w:rPr>
          <w:rFonts w:ascii="Book Antiqua" w:hAnsi="Book Antiqua"/>
          <w:lang w:val="es-PR"/>
        </w:rPr>
      </w:pPr>
      <w:r w:rsidRPr="00CE4BE7">
        <w:rPr>
          <w:rFonts w:ascii="Book Antiqua" w:hAnsi="Book Antiqua"/>
          <w:lang w:val="es-PR"/>
        </w:rPr>
        <w:t>El propósito del programa será:</w:t>
      </w:r>
    </w:p>
    <w:p w14:paraId="28634898" w14:textId="77777777" w:rsidR="00CE4BE7" w:rsidRPr="00CE4BE7" w:rsidRDefault="00CE4BE7" w:rsidP="00CE4BE7">
      <w:pPr>
        <w:numPr>
          <w:ilvl w:val="0"/>
          <w:numId w:val="7"/>
        </w:numPr>
        <w:tabs>
          <w:tab w:val="num" w:pos="720"/>
        </w:tabs>
        <w:spacing w:line="480" w:lineRule="auto"/>
        <w:ind w:left="1080"/>
        <w:jc w:val="both"/>
        <w:rPr>
          <w:rFonts w:ascii="Book Antiqua" w:hAnsi="Book Antiqua"/>
          <w:lang w:val="es-PR"/>
        </w:rPr>
      </w:pPr>
      <w:r w:rsidRPr="00CE4BE7">
        <w:rPr>
          <w:rFonts w:ascii="Book Antiqua" w:hAnsi="Book Antiqua"/>
          <w:lang w:val="es-PR"/>
        </w:rPr>
        <w:t>Evaluar la efectividad de la medición de tintes en el proceso de inspección.</w:t>
      </w:r>
    </w:p>
    <w:p w14:paraId="03E4C577" w14:textId="77777777" w:rsidR="00CE4BE7" w:rsidRPr="00CE4BE7" w:rsidRDefault="00CE4BE7" w:rsidP="00CE4BE7">
      <w:pPr>
        <w:numPr>
          <w:ilvl w:val="0"/>
          <w:numId w:val="7"/>
        </w:numPr>
        <w:tabs>
          <w:tab w:val="num" w:pos="720"/>
        </w:tabs>
        <w:spacing w:line="480" w:lineRule="auto"/>
        <w:ind w:left="1080"/>
        <w:jc w:val="both"/>
        <w:rPr>
          <w:rFonts w:ascii="Book Antiqua" w:hAnsi="Book Antiqua"/>
          <w:lang w:val="es-PR"/>
        </w:rPr>
      </w:pPr>
      <w:r w:rsidRPr="00CE4BE7">
        <w:rPr>
          <w:rFonts w:ascii="Book Antiqua" w:hAnsi="Book Antiqua"/>
          <w:lang w:val="es-PR"/>
        </w:rPr>
        <w:t>Determinar la necesidad de equipo adicional o ajustes operacionales.</w:t>
      </w:r>
    </w:p>
    <w:p w14:paraId="6EF5EEA0" w14:textId="77F58EBD" w:rsidR="00CE4BE7" w:rsidRDefault="00CE4BE7" w:rsidP="00CE6062">
      <w:pPr>
        <w:numPr>
          <w:ilvl w:val="0"/>
          <w:numId w:val="7"/>
        </w:numPr>
        <w:tabs>
          <w:tab w:val="num" w:pos="720"/>
        </w:tabs>
        <w:spacing w:line="480" w:lineRule="auto"/>
        <w:ind w:left="1080"/>
        <w:jc w:val="both"/>
        <w:rPr>
          <w:rFonts w:ascii="Book Antiqua" w:hAnsi="Book Antiqua"/>
          <w:lang w:val="es-PR"/>
        </w:rPr>
      </w:pPr>
      <w:r w:rsidRPr="00CE4BE7">
        <w:rPr>
          <w:rFonts w:ascii="Book Antiqua" w:hAnsi="Book Antiqua"/>
          <w:lang w:val="es-PR"/>
        </w:rPr>
        <w:lastRenderedPageBreak/>
        <w:t>Elaborar un informe técnico con resultados y recomendaciones para su implantación a nivel estatal.</w:t>
      </w:r>
    </w:p>
    <w:p w14:paraId="65129566" w14:textId="31A014DD" w:rsidR="00CE6062" w:rsidRPr="00CE6062" w:rsidRDefault="00CE6062" w:rsidP="00CE6062">
      <w:pPr>
        <w:spacing w:line="480" w:lineRule="auto"/>
        <w:ind w:left="720"/>
        <w:jc w:val="both"/>
        <w:rPr>
          <w:rFonts w:ascii="Book Antiqua" w:hAnsi="Book Antiqua"/>
          <w:lang w:val="es-PR"/>
        </w:rPr>
      </w:pPr>
      <w:r>
        <w:rPr>
          <w:rFonts w:ascii="Book Antiqua" w:hAnsi="Book Antiqua"/>
          <w:lang w:val="es-PR"/>
        </w:rPr>
        <w:t>El Programa Piloto aquí establecido deberá comenzar dentro de los 180 días siguientes a la fecha de aprobación de esta Ley.</w:t>
      </w:r>
    </w:p>
    <w:p w14:paraId="68AC4174" w14:textId="04B543BA" w:rsidR="00297425" w:rsidRPr="00B516FD" w:rsidRDefault="00CE4BE7" w:rsidP="00CE6062">
      <w:pPr>
        <w:spacing w:line="480" w:lineRule="auto"/>
        <w:ind w:firstLine="720"/>
        <w:jc w:val="both"/>
        <w:rPr>
          <w:rFonts w:ascii="Book Antiqua" w:hAnsi="Book Antiqua"/>
          <w:lang w:val="es-PR"/>
        </w:rPr>
      </w:pPr>
      <w:r>
        <w:rPr>
          <w:rFonts w:ascii="Book Antiqua" w:hAnsi="Book Antiqua"/>
          <w:lang w:val="es-PR"/>
        </w:rPr>
        <w:t xml:space="preserve">Artículo 3. - </w:t>
      </w:r>
      <w:r w:rsidRPr="00CE4BE7">
        <w:rPr>
          <w:rFonts w:ascii="Book Antiqua" w:hAnsi="Book Antiqua"/>
          <w:lang w:val="es-PR"/>
        </w:rPr>
        <w:t xml:space="preserve">El </w:t>
      </w:r>
      <w:r>
        <w:rPr>
          <w:rFonts w:ascii="Book Antiqua" w:hAnsi="Book Antiqua"/>
          <w:lang w:val="es-PR"/>
        </w:rPr>
        <w:t>Departamento de Transportación y Obras Públicas enmendará</w:t>
      </w:r>
      <w:r w:rsidRPr="00CE4BE7">
        <w:rPr>
          <w:rFonts w:ascii="Book Antiqua" w:hAnsi="Book Antiqua"/>
          <w:lang w:val="es-PR"/>
        </w:rPr>
        <w:t xml:space="preserve"> </w:t>
      </w:r>
      <w:r>
        <w:rPr>
          <w:rFonts w:ascii="Book Antiqua" w:hAnsi="Book Antiqua"/>
          <w:lang w:val="es-PR"/>
        </w:rPr>
        <w:t>su reglamentación pertinente a los efectos de establecer</w:t>
      </w:r>
      <w:r w:rsidRPr="00CE4BE7">
        <w:rPr>
          <w:rFonts w:ascii="Book Antiqua" w:hAnsi="Book Antiqua"/>
          <w:lang w:val="es-PR"/>
        </w:rPr>
        <w:t xml:space="preserve"> los requisitos técnicos, proceso de calibración, frecuencia de mantenimiento y adiestramiento del personal encargado de utilizar los instrumentos de medición de tintes</w:t>
      </w:r>
      <w:r>
        <w:rPr>
          <w:rFonts w:ascii="Book Antiqua" w:hAnsi="Book Antiqua"/>
          <w:lang w:val="es-PR"/>
        </w:rPr>
        <w:t xml:space="preserve"> en conformidad con los propósitos de esta Ley.</w:t>
      </w:r>
    </w:p>
    <w:p w14:paraId="04BBADBE" w14:textId="3CBD2261" w:rsidR="000E129B" w:rsidRDefault="000E129B" w:rsidP="00CE6062">
      <w:pPr>
        <w:spacing w:line="480" w:lineRule="auto"/>
        <w:ind w:firstLine="720"/>
        <w:jc w:val="both"/>
        <w:rPr>
          <w:rFonts w:ascii="Book Antiqua" w:hAnsi="Book Antiqua"/>
          <w:lang w:val="es-PR"/>
        </w:rPr>
      </w:pPr>
      <w:r>
        <w:rPr>
          <w:rFonts w:ascii="Book Antiqua" w:hAnsi="Book Antiqua"/>
          <w:lang w:val="es-PR"/>
        </w:rPr>
        <w:t>Art</w:t>
      </w:r>
      <w:r w:rsidR="00C02CFA">
        <w:rPr>
          <w:rFonts w:ascii="Book Antiqua" w:hAnsi="Book Antiqua"/>
          <w:lang w:val="es-PR"/>
        </w:rPr>
        <w:t xml:space="preserve">ículo </w:t>
      </w:r>
      <w:r w:rsidR="00CE6062">
        <w:rPr>
          <w:rFonts w:ascii="Book Antiqua" w:hAnsi="Book Antiqua"/>
          <w:lang w:val="es-PR"/>
        </w:rPr>
        <w:t>4</w:t>
      </w:r>
      <w:r w:rsidR="00C02CFA">
        <w:rPr>
          <w:rFonts w:ascii="Book Antiqua" w:hAnsi="Book Antiqua"/>
          <w:lang w:val="es-PR"/>
        </w:rPr>
        <w:t>. - Cláusula de Separabilidad</w:t>
      </w:r>
    </w:p>
    <w:p w14:paraId="5650EB34" w14:textId="56E12E7D" w:rsidR="00C02CFA" w:rsidRPr="000E129B" w:rsidRDefault="00C02CFA" w:rsidP="00C02CFA">
      <w:pPr>
        <w:spacing w:line="480" w:lineRule="auto"/>
        <w:ind w:firstLine="720"/>
        <w:jc w:val="both"/>
        <w:rPr>
          <w:rFonts w:ascii="Book Antiqua" w:hAnsi="Book Antiqua"/>
          <w:lang w:val="es-PR"/>
        </w:rPr>
      </w:pPr>
      <w:r>
        <w:rPr>
          <w:rFonts w:ascii="Book Antiqua" w:hAnsi="Book Antiqua"/>
          <w:lang w:val="es-PR"/>
        </w:rPr>
        <w:t>Si cualquier artículo, inciso, parte, párrafo o cláusula de esta Ley o su aplicación a cualquier persona,</w:t>
      </w:r>
      <w:r w:rsidR="00297425">
        <w:rPr>
          <w:rFonts w:ascii="Book Antiqua" w:hAnsi="Book Antiqua"/>
          <w:lang w:val="es-PR"/>
        </w:rPr>
        <w:t xml:space="preserve"> </w:t>
      </w:r>
      <w:r>
        <w:rPr>
          <w:rFonts w:ascii="Book Antiqua" w:hAnsi="Book Antiqua"/>
          <w:lang w:val="es-PR"/>
        </w:rPr>
        <w:t xml:space="preserve">o circunstancia, fuera declarada inconstitucional por un Tribunal con jurisdicción, la sentencia dictada no afectará ni invalidará sus demás disposiciones, sino que su efecto quedará limitado y será extensivo al inciso, parte, párrafo o cláusula de ésta, o su aplicación, que hubiera sido declarada inclonstitucional. </w:t>
      </w:r>
    </w:p>
    <w:p w14:paraId="6D54E188" w14:textId="5B35FC5F" w:rsidR="00C02CFA"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w:t>
      </w:r>
      <w:r w:rsidR="00CE6062">
        <w:rPr>
          <w:rFonts w:ascii="Book Antiqua" w:hAnsi="Book Antiqua"/>
          <w:lang w:val="es-PR"/>
        </w:rPr>
        <w:t>5</w:t>
      </w:r>
      <w:r w:rsidRPr="0039078C">
        <w:rPr>
          <w:rFonts w:ascii="Book Antiqua" w:hAnsi="Book Antiqua"/>
          <w:lang w:val="es-PR"/>
        </w:rPr>
        <w:t>.-</w:t>
      </w:r>
      <w:r w:rsidR="00F52086">
        <w:rPr>
          <w:rFonts w:ascii="Book Antiqua" w:hAnsi="Book Antiqua"/>
          <w:lang w:val="es-PR"/>
        </w:rPr>
        <w:t xml:space="preserve"> </w:t>
      </w:r>
      <w:r w:rsidR="00C02CFA">
        <w:rPr>
          <w:rFonts w:ascii="Book Antiqua" w:hAnsi="Book Antiqua"/>
          <w:lang w:val="es-PR"/>
        </w:rPr>
        <w:t>Vigencia</w:t>
      </w:r>
    </w:p>
    <w:p w14:paraId="333BD2E7" w14:textId="383CD145" w:rsidR="00362E50" w:rsidRPr="0039078C" w:rsidRDefault="00981A6C" w:rsidP="00C02CFA">
      <w:pPr>
        <w:spacing w:line="480" w:lineRule="auto"/>
        <w:ind w:firstLine="720"/>
        <w:jc w:val="both"/>
        <w:rPr>
          <w:rFonts w:ascii="Book Antiqua" w:hAnsi="Book Antiqua"/>
          <w:lang w:val="es-PR"/>
        </w:rPr>
      </w:pPr>
      <w:r w:rsidRPr="0039078C">
        <w:rPr>
          <w:rFonts w:ascii="Book Antiqua" w:hAnsi="Book Antiqua"/>
          <w:lang w:val="es-PR"/>
        </w:rPr>
        <w:t xml:space="preserve">Esta Ley comenzará a regir </w:t>
      </w:r>
      <w:r w:rsidR="00C02CFA">
        <w:rPr>
          <w:rFonts w:ascii="Book Antiqua" w:hAnsi="Book Antiqua"/>
          <w:lang w:val="es-PR"/>
        </w:rPr>
        <w:t xml:space="preserve">inmediatamente luego </w:t>
      </w:r>
      <w:r w:rsidRPr="0039078C">
        <w:rPr>
          <w:rFonts w:ascii="Book Antiqua" w:hAnsi="Book Antiqua"/>
          <w:lang w:val="es-PR"/>
        </w:rPr>
        <w:t>de su aprobación</w:t>
      </w:r>
      <w:r w:rsidR="00CE6062" w:rsidRPr="006747A4">
        <w:rPr>
          <w:rFonts w:ascii="Book Antiqua" w:hAnsi="Book Antiqua"/>
          <w:lang w:val="es-ES"/>
        </w:rPr>
        <w:t>.</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9AA64" w14:textId="77777777" w:rsidR="001E50F5" w:rsidRDefault="001E50F5">
      <w:r>
        <w:separator/>
      </w:r>
    </w:p>
  </w:endnote>
  <w:endnote w:type="continuationSeparator" w:id="0">
    <w:p w14:paraId="5C13D147" w14:textId="77777777" w:rsidR="001E50F5" w:rsidRDefault="001E5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426C2" w14:textId="77777777" w:rsidR="001E50F5" w:rsidRDefault="001E50F5">
      <w:r>
        <w:separator/>
      </w:r>
    </w:p>
  </w:footnote>
  <w:footnote w:type="continuationSeparator" w:id="0">
    <w:p w14:paraId="4CD35976" w14:textId="77777777" w:rsidR="001E50F5" w:rsidRDefault="001E5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 w15:restartNumberingAfterBreak="0">
    <w:nsid w:val="759A5BE2"/>
    <w:multiLevelType w:val="multilevel"/>
    <w:tmpl w:val="22D24996"/>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2370793">
    <w:abstractNumId w:val="5"/>
  </w:num>
  <w:num w:numId="2" w16cid:durableId="409888006">
    <w:abstractNumId w:val="0"/>
  </w:num>
  <w:num w:numId="3" w16cid:durableId="1468355395">
    <w:abstractNumId w:val="2"/>
  </w:num>
  <w:num w:numId="4" w16cid:durableId="806125417">
    <w:abstractNumId w:val="1"/>
  </w:num>
  <w:num w:numId="5" w16cid:durableId="1430537998">
    <w:abstractNumId w:val="4"/>
  </w:num>
  <w:num w:numId="6" w16cid:durableId="159783802">
    <w:abstractNumId w:val="3"/>
  </w:num>
  <w:num w:numId="7" w16cid:durableId="12709693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607"/>
    <w:rsid w:val="00025D5A"/>
    <w:rsid w:val="00040935"/>
    <w:rsid w:val="000413FF"/>
    <w:rsid w:val="00077079"/>
    <w:rsid w:val="00085468"/>
    <w:rsid w:val="000C06C5"/>
    <w:rsid w:val="000D1987"/>
    <w:rsid w:val="000D1C78"/>
    <w:rsid w:val="000D2584"/>
    <w:rsid w:val="000E129B"/>
    <w:rsid w:val="000F7171"/>
    <w:rsid w:val="00104844"/>
    <w:rsid w:val="00106947"/>
    <w:rsid w:val="001106C1"/>
    <w:rsid w:val="00153B62"/>
    <w:rsid w:val="0018397A"/>
    <w:rsid w:val="001B2516"/>
    <w:rsid w:val="001C4D9D"/>
    <w:rsid w:val="001D21D0"/>
    <w:rsid w:val="001D35AA"/>
    <w:rsid w:val="001D416A"/>
    <w:rsid w:val="001E011E"/>
    <w:rsid w:val="001E0EA2"/>
    <w:rsid w:val="001E50F5"/>
    <w:rsid w:val="0021009B"/>
    <w:rsid w:val="0021669F"/>
    <w:rsid w:val="00233B98"/>
    <w:rsid w:val="002809D4"/>
    <w:rsid w:val="002820D1"/>
    <w:rsid w:val="00297425"/>
    <w:rsid w:val="00333873"/>
    <w:rsid w:val="00357B49"/>
    <w:rsid w:val="00362E50"/>
    <w:rsid w:val="0038737D"/>
    <w:rsid w:val="0039078C"/>
    <w:rsid w:val="00395699"/>
    <w:rsid w:val="003A24C5"/>
    <w:rsid w:val="003F021E"/>
    <w:rsid w:val="00422976"/>
    <w:rsid w:val="00425802"/>
    <w:rsid w:val="00431BE6"/>
    <w:rsid w:val="0044487C"/>
    <w:rsid w:val="0044722A"/>
    <w:rsid w:val="00452340"/>
    <w:rsid w:val="004569CE"/>
    <w:rsid w:val="00463314"/>
    <w:rsid w:val="004660D8"/>
    <w:rsid w:val="00490254"/>
    <w:rsid w:val="00497359"/>
    <w:rsid w:val="00497773"/>
    <w:rsid w:val="004B32D1"/>
    <w:rsid w:val="004F4059"/>
    <w:rsid w:val="00525B73"/>
    <w:rsid w:val="00555FE2"/>
    <w:rsid w:val="00595CDB"/>
    <w:rsid w:val="005A332F"/>
    <w:rsid w:val="005A7EC2"/>
    <w:rsid w:val="005B2941"/>
    <w:rsid w:val="005B3024"/>
    <w:rsid w:val="005B3F50"/>
    <w:rsid w:val="005B4464"/>
    <w:rsid w:val="005D05FD"/>
    <w:rsid w:val="00611908"/>
    <w:rsid w:val="0061306B"/>
    <w:rsid w:val="00624898"/>
    <w:rsid w:val="0063436A"/>
    <w:rsid w:val="00647C94"/>
    <w:rsid w:val="0065033D"/>
    <w:rsid w:val="006747A4"/>
    <w:rsid w:val="006C2C28"/>
    <w:rsid w:val="006D49BB"/>
    <w:rsid w:val="006E4CB7"/>
    <w:rsid w:val="006F7ACC"/>
    <w:rsid w:val="0072251F"/>
    <w:rsid w:val="007231DD"/>
    <w:rsid w:val="007374E7"/>
    <w:rsid w:val="00755FF3"/>
    <w:rsid w:val="00760DE4"/>
    <w:rsid w:val="00771C3A"/>
    <w:rsid w:val="007753B8"/>
    <w:rsid w:val="007810F9"/>
    <w:rsid w:val="00791157"/>
    <w:rsid w:val="007A72E7"/>
    <w:rsid w:val="007A7B42"/>
    <w:rsid w:val="007E6C24"/>
    <w:rsid w:val="007F68BB"/>
    <w:rsid w:val="0080441C"/>
    <w:rsid w:val="00806AEC"/>
    <w:rsid w:val="008141CD"/>
    <w:rsid w:val="00836F2F"/>
    <w:rsid w:val="008403F3"/>
    <w:rsid w:val="00866CBE"/>
    <w:rsid w:val="00870974"/>
    <w:rsid w:val="00871FD0"/>
    <w:rsid w:val="00873753"/>
    <w:rsid w:val="00874963"/>
    <w:rsid w:val="00884111"/>
    <w:rsid w:val="008B3490"/>
    <w:rsid w:val="008C417D"/>
    <w:rsid w:val="008D6874"/>
    <w:rsid w:val="00924D40"/>
    <w:rsid w:val="00951028"/>
    <w:rsid w:val="009641C2"/>
    <w:rsid w:val="00976057"/>
    <w:rsid w:val="00981A6C"/>
    <w:rsid w:val="009B00B4"/>
    <w:rsid w:val="009B1F2D"/>
    <w:rsid w:val="009B7954"/>
    <w:rsid w:val="009C3522"/>
    <w:rsid w:val="009E57BE"/>
    <w:rsid w:val="00A02A5B"/>
    <w:rsid w:val="00A13084"/>
    <w:rsid w:val="00A235DB"/>
    <w:rsid w:val="00A271BD"/>
    <w:rsid w:val="00A57C7A"/>
    <w:rsid w:val="00A726DB"/>
    <w:rsid w:val="00A765C7"/>
    <w:rsid w:val="00A80B42"/>
    <w:rsid w:val="00AB0700"/>
    <w:rsid w:val="00AC349C"/>
    <w:rsid w:val="00AD5A04"/>
    <w:rsid w:val="00AF2A7D"/>
    <w:rsid w:val="00B15244"/>
    <w:rsid w:val="00B50044"/>
    <w:rsid w:val="00B62B0E"/>
    <w:rsid w:val="00B6432A"/>
    <w:rsid w:val="00BD3A65"/>
    <w:rsid w:val="00BE71BA"/>
    <w:rsid w:val="00C02CFA"/>
    <w:rsid w:val="00C0488D"/>
    <w:rsid w:val="00C33C1E"/>
    <w:rsid w:val="00C37D58"/>
    <w:rsid w:val="00C471B3"/>
    <w:rsid w:val="00C54130"/>
    <w:rsid w:val="00C62677"/>
    <w:rsid w:val="00C7044A"/>
    <w:rsid w:val="00C735FB"/>
    <w:rsid w:val="00CC7FAB"/>
    <w:rsid w:val="00CD4CCF"/>
    <w:rsid w:val="00CE4BE7"/>
    <w:rsid w:val="00CE6062"/>
    <w:rsid w:val="00D01647"/>
    <w:rsid w:val="00D043B9"/>
    <w:rsid w:val="00D16E5E"/>
    <w:rsid w:val="00D26555"/>
    <w:rsid w:val="00D43876"/>
    <w:rsid w:val="00D46938"/>
    <w:rsid w:val="00D634B1"/>
    <w:rsid w:val="00D7743D"/>
    <w:rsid w:val="00DB09A8"/>
    <w:rsid w:val="00DD7A7B"/>
    <w:rsid w:val="00DE7208"/>
    <w:rsid w:val="00DF52AD"/>
    <w:rsid w:val="00E02D14"/>
    <w:rsid w:val="00E31B6F"/>
    <w:rsid w:val="00E419D7"/>
    <w:rsid w:val="00E46443"/>
    <w:rsid w:val="00E93A15"/>
    <w:rsid w:val="00E950DA"/>
    <w:rsid w:val="00ED264A"/>
    <w:rsid w:val="00F03264"/>
    <w:rsid w:val="00F1285A"/>
    <w:rsid w:val="00F2473E"/>
    <w:rsid w:val="00F30B5F"/>
    <w:rsid w:val="00F51464"/>
    <w:rsid w:val="00F52086"/>
    <w:rsid w:val="00F606DD"/>
    <w:rsid w:val="00F637F2"/>
    <w:rsid w:val="00F758C8"/>
    <w:rsid w:val="00F93580"/>
    <w:rsid w:val="00FA0033"/>
    <w:rsid w:val="00FA4180"/>
    <w:rsid w:val="00FD5850"/>
    <w:rsid w:val="00FE1555"/>
    <w:rsid w:val="00FE3031"/>
    <w:rsid w:val="00FE437F"/>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Gladys J. Burgos Torres</cp:lastModifiedBy>
  <cp:revision>4</cp:revision>
  <cp:lastPrinted>2025-02-20T14:03:00Z</cp:lastPrinted>
  <dcterms:created xsi:type="dcterms:W3CDTF">2025-10-15T18:05:00Z</dcterms:created>
  <dcterms:modified xsi:type="dcterms:W3CDTF">2025-10-15T19:33:00Z</dcterms:modified>
</cp:coreProperties>
</file>