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2198F62" w14:textId="56238011" w:rsidR="00FF6BD2" w:rsidRDefault="008211D7" w:rsidP="0020620B">
      <w:pPr>
        <w:jc w:val="center"/>
        <w:rPr>
          <w:rFonts w:ascii="Book Antiqua" w:hAnsi="Book Antiqua"/>
          <w:sz w:val="28"/>
          <w:lang w:val="es-ES_tradnl"/>
        </w:rPr>
      </w:pPr>
      <w:r>
        <w:rPr>
          <w:rFonts w:ascii="Book Antiqua" w:hAnsi="Book Antiqua"/>
          <w:sz w:val="28"/>
          <w:lang w:val="es-ES_tradnl"/>
        </w:rPr>
        <w:t>GOBIERNO</w:t>
      </w:r>
      <w:r w:rsidR="0020620B">
        <w:rPr>
          <w:rFonts w:ascii="Book Antiqua" w:hAnsi="Book Antiqua"/>
          <w:sz w:val="28"/>
          <w:lang w:val="es-ES_tradnl"/>
        </w:rPr>
        <w:t xml:space="preserve"> DE PUERTO RICO</w:t>
      </w:r>
    </w:p>
    <w:p w14:paraId="299E66DD" w14:textId="77777777" w:rsidR="0020620B" w:rsidRDefault="0020620B" w:rsidP="0020620B">
      <w:pPr>
        <w:jc w:val="center"/>
        <w:rPr>
          <w:rFonts w:ascii="Book Antiqua" w:hAnsi="Book Antiqua"/>
          <w:sz w:val="28"/>
          <w:lang w:val="es-ES_tradnl"/>
        </w:rPr>
      </w:pPr>
    </w:p>
    <w:p w14:paraId="3CDCF1F9" w14:textId="34749494" w:rsidR="0020620B" w:rsidRPr="005C6793" w:rsidRDefault="00C14141" w:rsidP="00C14141">
      <w:pPr>
        <w:pStyle w:val="Title2"/>
        <w:tabs>
          <w:tab w:val="clear" w:pos="648"/>
          <w:tab w:val="clear" w:pos="7776"/>
          <w:tab w:val="clear" w:pos="7848"/>
        </w:tabs>
        <w:rPr>
          <w:rFonts w:ascii="Book Antiqua" w:hAnsi="Book Antiqua"/>
          <w:lang w:val="es-PR"/>
        </w:rPr>
      </w:pPr>
      <w:r w:rsidRPr="005C6793">
        <w:rPr>
          <w:rFonts w:ascii="Book Antiqua" w:hAnsi="Book Antiqua"/>
          <w:lang w:val="es-PR"/>
        </w:rPr>
        <w:t>20ma.</w:t>
      </w:r>
      <w:r w:rsidR="0020620B" w:rsidRPr="005C6793">
        <w:rPr>
          <w:rFonts w:ascii="Book Antiqua" w:hAnsi="Book Antiqua"/>
          <w:lang w:val="es-PR"/>
        </w:rPr>
        <w:tab/>
      </w:r>
      <w:r w:rsidRPr="005C6793">
        <w:rPr>
          <w:rFonts w:ascii="Book Antiqua" w:hAnsi="Book Antiqua"/>
          <w:lang w:val="es-PR"/>
        </w:rPr>
        <w:t xml:space="preserve"> </w:t>
      </w:r>
      <w:r w:rsidR="0020620B" w:rsidRPr="005C6793">
        <w:rPr>
          <w:rFonts w:ascii="Book Antiqua" w:hAnsi="Book Antiqua"/>
          <w:lang w:val="es-PR"/>
        </w:rPr>
        <w:t>Asamblea</w:t>
      </w:r>
      <w:r w:rsidR="0020620B" w:rsidRPr="005C6793">
        <w:rPr>
          <w:rFonts w:ascii="Book Antiqua" w:hAnsi="Book Antiqua"/>
          <w:lang w:val="es-PR"/>
        </w:rPr>
        <w:tab/>
      </w:r>
      <w:r w:rsidRPr="005C6793">
        <w:rPr>
          <w:rFonts w:ascii="Book Antiqua" w:hAnsi="Book Antiqua"/>
          <w:lang w:val="es-PR"/>
        </w:rPr>
        <w:tab/>
      </w:r>
      <w:r w:rsidRPr="005C6793">
        <w:rPr>
          <w:rFonts w:ascii="Book Antiqua" w:hAnsi="Book Antiqua"/>
          <w:lang w:val="es-PR"/>
        </w:rPr>
        <w:tab/>
      </w:r>
      <w:r w:rsidRPr="005C6793">
        <w:rPr>
          <w:rFonts w:ascii="Book Antiqua" w:hAnsi="Book Antiqua"/>
          <w:lang w:val="es-PR"/>
        </w:rPr>
        <w:tab/>
      </w:r>
      <w:r w:rsidRPr="005C6793">
        <w:rPr>
          <w:rFonts w:ascii="Book Antiqua" w:hAnsi="Book Antiqua"/>
          <w:lang w:val="es-PR"/>
        </w:rPr>
        <w:tab/>
      </w:r>
      <w:r w:rsidRPr="005C6793">
        <w:rPr>
          <w:rFonts w:ascii="Book Antiqua" w:hAnsi="Book Antiqua"/>
          <w:lang w:val="es-PR"/>
        </w:rPr>
        <w:tab/>
      </w:r>
      <w:r w:rsidRPr="005C6793">
        <w:rPr>
          <w:rFonts w:ascii="Book Antiqua" w:hAnsi="Book Antiqua"/>
          <w:lang w:val="es-PR"/>
        </w:rPr>
        <w:tab/>
      </w:r>
      <w:r w:rsidRPr="005C6793">
        <w:rPr>
          <w:rFonts w:ascii="Book Antiqua" w:hAnsi="Book Antiqua"/>
          <w:lang w:val="es-PR"/>
        </w:rPr>
        <w:tab/>
        <w:t xml:space="preserve">          2da. </w:t>
      </w:r>
      <w:r w:rsidR="0020620B" w:rsidRPr="005C6793">
        <w:rPr>
          <w:rFonts w:ascii="Book Antiqua" w:hAnsi="Book Antiqua"/>
          <w:lang w:val="es-PR"/>
        </w:rPr>
        <w:t>Sesión</w:t>
      </w:r>
    </w:p>
    <w:p w14:paraId="033BA518" w14:textId="567187F2" w:rsidR="0020620B" w:rsidRPr="005C6793" w:rsidRDefault="0020620B" w:rsidP="00C14141">
      <w:pPr>
        <w:pStyle w:val="Title2"/>
        <w:tabs>
          <w:tab w:val="clear" w:pos="648"/>
          <w:tab w:val="clear" w:pos="7776"/>
          <w:tab w:val="clear" w:pos="7848"/>
        </w:tabs>
        <w:rPr>
          <w:rFonts w:ascii="Book Antiqua" w:hAnsi="Book Antiqua"/>
          <w:lang w:val="es-PR"/>
        </w:rPr>
      </w:pPr>
      <w:r w:rsidRPr="005C6793">
        <w:rPr>
          <w:rFonts w:ascii="Book Antiqua" w:hAnsi="Book Antiqua"/>
          <w:lang w:val="es-PR"/>
        </w:rPr>
        <w:tab/>
      </w:r>
      <w:r w:rsidR="00C14141" w:rsidRPr="005C6793">
        <w:rPr>
          <w:rFonts w:ascii="Book Antiqua" w:hAnsi="Book Antiqua"/>
          <w:lang w:val="es-PR"/>
        </w:rPr>
        <w:t xml:space="preserve"> </w:t>
      </w:r>
      <w:r w:rsidRPr="005C6793">
        <w:rPr>
          <w:rFonts w:ascii="Book Antiqua" w:hAnsi="Book Antiqua"/>
          <w:lang w:val="es-PR"/>
        </w:rPr>
        <w:t>Legislativa</w:t>
      </w:r>
      <w:r w:rsidRPr="005C6793">
        <w:rPr>
          <w:rFonts w:ascii="Book Antiqua" w:hAnsi="Book Antiqua"/>
          <w:lang w:val="es-PR"/>
        </w:rPr>
        <w:tab/>
      </w:r>
      <w:r w:rsidRPr="005C6793">
        <w:rPr>
          <w:rFonts w:ascii="Book Antiqua" w:hAnsi="Book Antiqua"/>
          <w:lang w:val="es-PR"/>
        </w:rPr>
        <w:tab/>
      </w:r>
      <w:r w:rsidR="00C14141" w:rsidRPr="005C6793">
        <w:rPr>
          <w:rFonts w:ascii="Book Antiqua" w:hAnsi="Book Antiqua"/>
          <w:lang w:val="es-PR"/>
        </w:rPr>
        <w:tab/>
      </w:r>
      <w:r w:rsidR="00C14141" w:rsidRPr="005C6793">
        <w:rPr>
          <w:rFonts w:ascii="Book Antiqua" w:hAnsi="Book Antiqua"/>
          <w:lang w:val="es-PR"/>
        </w:rPr>
        <w:tab/>
      </w:r>
      <w:r w:rsidR="00C14141" w:rsidRPr="005C6793">
        <w:rPr>
          <w:rFonts w:ascii="Book Antiqua" w:hAnsi="Book Antiqua"/>
          <w:lang w:val="es-PR"/>
        </w:rPr>
        <w:tab/>
      </w:r>
      <w:r w:rsidR="00C14141" w:rsidRPr="005C6793">
        <w:rPr>
          <w:rFonts w:ascii="Book Antiqua" w:hAnsi="Book Antiqua"/>
          <w:lang w:val="es-PR"/>
        </w:rPr>
        <w:tab/>
      </w:r>
      <w:r w:rsidR="00C14141" w:rsidRPr="005C6793">
        <w:rPr>
          <w:rFonts w:ascii="Book Antiqua" w:hAnsi="Book Antiqua"/>
          <w:lang w:val="es-PR"/>
        </w:rPr>
        <w:tab/>
      </w:r>
      <w:r w:rsidR="00C14141" w:rsidRPr="005C6793">
        <w:rPr>
          <w:rFonts w:ascii="Book Antiqua" w:hAnsi="Book Antiqua"/>
          <w:lang w:val="es-PR"/>
        </w:rPr>
        <w:tab/>
      </w:r>
      <w:r w:rsidR="00C14141" w:rsidRPr="005C6793">
        <w:rPr>
          <w:rFonts w:ascii="Book Antiqua" w:hAnsi="Book Antiqua"/>
          <w:lang w:val="es-PR"/>
        </w:rPr>
        <w:tab/>
        <w:t xml:space="preserve">      </w:t>
      </w:r>
      <w:r w:rsidRPr="005C6793">
        <w:rPr>
          <w:rFonts w:ascii="Book Antiqua" w:hAnsi="Book Antiqua"/>
          <w:lang w:val="es-PR"/>
        </w:rPr>
        <w:t>Ordinaria</w:t>
      </w:r>
    </w:p>
    <w:p w14:paraId="22392FB6" w14:textId="77777777" w:rsidR="0020620B" w:rsidRPr="005C6793" w:rsidRDefault="0020620B" w:rsidP="0020620B">
      <w:pPr>
        <w:rPr>
          <w:lang w:val="es-PR"/>
        </w:rPr>
      </w:pPr>
    </w:p>
    <w:p w14:paraId="06E8101F" w14:textId="77777777" w:rsidR="0020620B" w:rsidRDefault="0020620B" w:rsidP="0020620B">
      <w:pPr>
        <w:jc w:val="center"/>
        <w:rPr>
          <w:rFonts w:ascii="Book Antiqua" w:hAnsi="Book Antiqua"/>
          <w:b/>
          <w:sz w:val="36"/>
          <w:lang w:val="es-ES_tradnl"/>
        </w:rPr>
      </w:pPr>
      <w:r>
        <w:rPr>
          <w:rFonts w:ascii="Book Antiqua" w:hAnsi="Book Antiqua"/>
          <w:b/>
          <w:sz w:val="36"/>
          <w:lang w:val="es-ES_tradnl"/>
        </w:rPr>
        <w:t>CÁMARA DE REPRESENTANTES</w:t>
      </w:r>
    </w:p>
    <w:p w14:paraId="0FBF25D2" w14:textId="77777777" w:rsidR="0020620B" w:rsidRPr="00C14141" w:rsidRDefault="0020620B" w:rsidP="0020620B">
      <w:pPr>
        <w:jc w:val="center"/>
        <w:rPr>
          <w:rFonts w:ascii="Book Antiqua" w:hAnsi="Book Antiqua"/>
          <w:b/>
          <w:szCs w:val="24"/>
          <w:lang w:val="es-ES_tradnl"/>
        </w:rPr>
      </w:pPr>
    </w:p>
    <w:p w14:paraId="331A9160" w14:textId="702B44B0" w:rsidR="0020620B" w:rsidRDefault="0020620B" w:rsidP="00946F62">
      <w:pPr>
        <w:jc w:val="center"/>
        <w:rPr>
          <w:rFonts w:ascii="Book Antiqua" w:hAnsi="Book Antiqua"/>
          <w:b/>
          <w:sz w:val="52"/>
          <w:lang w:val="es-ES_tradnl"/>
        </w:rPr>
      </w:pPr>
      <w:r>
        <w:rPr>
          <w:rFonts w:ascii="Book Antiqua" w:hAnsi="Book Antiqua"/>
          <w:b/>
          <w:sz w:val="52"/>
          <w:lang w:val="es-ES_tradnl"/>
        </w:rPr>
        <w:t>P. de la C.</w:t>
      </w:r>
      <w:r w:rsidR="00952B33">
        <w:rPr>
          <w:rFonts w:ascii="Book Antiqua" w:hAnsi="Book Antiqua"/>
          <w:b/>
          <w:sz w:val="52"/>
          <w:lang w:val="es-ES_tradnl"/>
        </w:rPr>
        <w:t xml:space="preserve"> 930</w:t>
      </w:r>
    </w:p>
    <w:p w14:paraId="1D47F089" w14:textId="77777777" w:rsidR="00946F62" w:rsidRDefault="00946F62" w:rsidP="00946F62">
      <w:pPr>
        <w:jc w:val="center"/>
        <w:rPr>
          <w:rFonts w:ascii="Book Antiqua" w:hAnsi="Book Antiqua"/>
          <w:lang w:val="es-ES_tradnl"/>
        </w:rPr>
      </w:pPr>
    </w:p>
    <w:p w14:paraId="6BE37762" w14:textId="0B968B40" w:rsidR="0020620B" w:rsidRDefault="00952B33" w:rsidP="00946F62">
      <w:pPr>
        <w:jc w:val="center"/>
        <w:rPr>
          <w:rFonts w:ascii="Book Antiqua" w:hAnsi="Book Antiqua"/>
          <w:lang w:val="es-ES_tradnl"/>
        </w:rPr>
      </w:pPr>
      <w:r>
        <w:rPr>
          <w:rFonts w:ascii="Book Antiqua" w:hAnsi="Book Antiqua"/>
          <w:lang w:val="es-ES_tradnl"/>
        </w:rPr>
        <w:t>15</w:t>
      </w:r>
      <w:r w:rsidR="00D5069B">
        <w:rPr>
          <w:rFonts w:ascii="Book Antiqua" w:hAnsi="Book Antiqua"/>
          <w:lang w:val="es-ES_tradnl"/>
        </w:rPr>
        <w:t xml:space="preserve"> </w:t>
      </w:r>
      <w:r w:rsidR="0020620B">
        <w:rPr>
          <w:rFonts w:ascii="Book Antiqua" w:hAnsi="Book Antiqua"/>
          <w:lang w:val="es-ES_tradnl"/>
        </w:rPr>
        <w:t xml:space="preserve">DE </w:t>
      </w:r>
      <w:r w:rsidR="00813D3B">
        <w:rPr>
          <w:rFonts w:ascii="Book Antiqua" w:hAnsi="Book Antiqua"/>
          <w:lang w:val="es-ES_tradnl"/>
        </w:rPr>
        <w:t>OCTU</w:t>
      </w:r>
      <w:r w:rsidR="006D584F">
        <w:rPr>
          <w:rFonts w:ascii="Book Antiqua" w:hAnsi="Book Antiqua"/>
          <w:lang w:val="es-ES_tradnl"/>
        </w:rPr>
        <w:t>BRE</w:t>
      </w:r>
      <w:r w:rsidR="0020620B">
        <w:rPr>
          <w:rFonts w:ascii="Book Antiqua" w:hAnsi="Book Antiqua"/>
          <w:lang w:val="es-ES_tradnl"/>
        </w:rPr>
        <w:t xml:space="preserve"> DE 202</w:t>
      </w:r>
      <w:r w:rsidR="008211D7">
        <w:rPr>
          <w:rFonts w:ascii="Book Antiqua" w:hAnsi="Book Antiqua"/>
          <w:lang w:val="es-ES_tradnl"/>
        </w:rPr>
        <w:t>5</w:t>
      </w:r>
    </w:p>
    <w:p w14:paraId="1067CC9C" w14:textId="77777777" w:rsidR="00946F62" w:rsidRDefault="00946F62" w:rsidP="00946F62">
      <w:pPr>
        <w:jc w:val="center"/>
        <w:rPr>
          <w:rFonts w:ascii="Book Antiqua" w:hAnsi="Book Antiqua"/>
          <w:lang w:val="es-ES_tradnl"/>
        </w:rPr>
      </w:pPr>
    </w:p>
    <w:p w14:paraId="7921469F" w14:textId="18D0FE16" w:rsidR="0020620B" w:rsidRDefault="0020620B" w:rsidP="00946F62">
      <w:pPr>
        <w:jc w:val="center"/>
        <w:rPr>
          <w:rFonts w:ascii="Book Antiqua" w:hAnsi="Book Antiqua"/>
          <w:lang w:val="es-ES_tradnl"/>
        </w:rPr>
      </w:pPr>
      <w:r>
        <w:rPr>
          <w:rFonts w:ascii="Book Antiqua" w:hAnsi="Book Antiqua"/>
          <w:lang w:val="es-ES_tradnl"/>
        </w:rPr>
        <w:t>Presentado por l</w:t>
      </w:r>
      <w:r w:rsidR="008211D7">
        <w:rPr>
          <w:rFonts w:ascii="Book Antiqua" w:hAnsi="Book Antiqua"/>
          <w:lang w:val="es-ES_tradnl"/>
        </w:rPr>
        <w:t>a</w:t>
      </w:r>
      <w:r>
        <w:rPr>
          <w:rFonts w:ascii="Book Antiqua" w:hAnsi="Book Antiqua"/>
          <w:lang w:val="es-ES_tradnl"/>
        </w:rPr>
        <w:t xml:space="preserve"> representante</w:t>
      </w:r>
      <w:r w:rsidR="00254468">
        <w:rPr>
          <w:rFonts w:ascii="Book Antiqua" w:hAnsi="Book Antiqua"/>
          <w:lang w:val="es-ES_tradnl"/>
        </w:rPr>
        <w:t xml:space="preserve"> </w:t>
      </w:r>
      <w:r w:rsidR="00254468" w:rsidRPr="00254468">
        <w:rPr>
          <w:rFonts w:ascii="Book Antiqua" w:hAnsi="Book Antiqua"/>
          <w:i/>
          <w:iCs/>
          <w:lang w:val="es-ES_tradnl"/>
        </w:rPr>
        <w:t>Lebrón Rodríguez</w:t>
      </w:r>
    </w:p>
    <w:p w14:paraId="0C9F4CAF" w14:textId="77777777" w:rsidR="00946F62" w:rsidRDefault="00946F62" w:rsidP="00946F62">
      <w:pPr>
        <w:jc w:val="center"/>
        <w:rPr>
          <w:rFonts w:ascii="Book Antiqua" w:hAnsi="Book Antiqua"/>
          <w:lang w:val="es-ES_tradnl"/>
        </w:rPr>
      </w:pPr>
    </w:p>
    <w:p w14:paraId="564D800F" w14:textId="679EBF84" w:rsidR="0020620B" w:rsidRDefault="0020620B" w:rsidP="00946F62">
      <w:pPr>
        <w:jc w:val="center"/>
        <w:rPr>
          <w:rFonts w:ascii="Book Antiqua" w:hAnsi="Book Antiqua"/>
          <w:lang w:val="es-ES_tradnl"/>
        </w:rPr>
      </w:pPr>
      <w:r>
        <w:rPr>
          <w:rFonts w:ascii="Book Antiqua" w:hAnsi="Book Antiqua"/>
          <w:lang w:val="es-ES_tradnl"/>
        </w:rPr>
        <w:t xml:space="preserve">Referido a </w:t>
      </w:r>
      <w:r w:rsidR="001D433C">
        <w:rPr>
          <w:rFonts w:ascii="Book Antiqua" w:hAnsi="Book Antiqua"/>
          <w:lang w:val="es-ES_tradnl"/>
        </w:rPr>
        <w:t>la Comisión de Banca, Seguros y Comercio</w:t>
      </w:r>
    </w:p>
    <w:p w14:paraId="763698E9" w14:textId="77777777" w:rsidR="0020620B" w:rsidRDefault="0020620B" w:rsidP="0020620B">
      <w:pPr>
        <w:jc w:val="both"/>
        <w:rPr>
          <w:rFonts w:ascii="Book Antiqua" w:hAnsi="Book Antiqua"/>
          <w:lang w:val="es-ES_tradnl"/>
        </w:rPr>
      </w:pPr>
    </w:p>
    <w:p w14:paraId="27951E34" w14:textId="77777777" w:rsidR="0020620B" w:rsidRDefault="0020620B" w:rsidP="0020620B">
      <w:pPr>
        <w:jc w:val="center"/>
        <w:rPr>
          <w:rFonts w:ascii="Book Antiqua" w:hAnsi="Book Antiqua"/>
          <w:b/>
          <w:sz w:val="28"/>
          <w:lang w:val="es-ES_tradnl"/>
        </w:rPr>
      </w:pPr>
      <w:r>
        <w:rPr>
          <w:rFonts w:ascii="Book Antiqua" w:hAnsi="Book Antiqua"/>
          <w:b/>
          <w:sz w:val="28"/>
          <w:lang w:val="es-ES_tradnl"/>
        </w:rPr>
        <w:t>LEY</w:t>
      </w:r>
    </w:p>
    <w:p w14:paraId="1EB47899" w14:textId="77777777" w:rsidR="0020620B" w:rsidRDefault="0020620B" w:rsidP="0020620B">
      <w:pPr>
        <w:jc w:val="both"/>
        <w:rPr>
          <w:rFonts w:ascii="Book Antiqua" w:hAnsi="Book Antiqua"/>
          <w:lang w:val="es-ES_tradnl"/>
        </w:rPr>
      </w:pPr>
    </w:p>
    <w:p w14:paraId="0BF81077" w14:textId="7B63943E" w:rsidR="00F772D0" w:rsidRPr="00581E7A" w:rsidRDefault="00F772D0" w:rsidP="00F772D0">
      <w:pPr>
        <w:ind w:left="720" w:hanging="720"/>
        <w:jc w:val="both"/>
        <w:rPr>
          <w:rFonts w:ascii="Book Antiqua" w:hAnsi="Book Antiqua"/>
          <w:lang w:val="es-ES_tradnl"/>
        </w:rPr>
      </w:pPr>
      <w:r w:rsidRPr="00581E7A">
        <w:rPr>
          <w:rFonts w:ascii="Book Antiqua" w:hAnsi="Book Antiqua"/>
          <w:lang w:val="es-ES_tradnl"/>
        </w:rPr>
        <w:t xml:space="preserve">Para </w:t>
      </w:r>
      <w:r w:rsidR="008F54A6" w:rsidRPr="008F54A6">
        <w:rPr>
          <w:rFonts w:ascii="Book Antiqua" w:hAnsi="Book Antiqua"/>
          <w:lang w:val="es-ES_tradnl"/>
        </w:rPr>
        <w:t xml:space="preserve">enmendar el Artículo 1.3 de la Ley </w:t>
      </w:r>
      <w:r w:rsidR="00043304">
        <w:rPr>
          <w:rFonts w:ascii="Book Antiqua" w:hAnsi="Book Antiqua"/>
          <w:lang w:val="es-ES_tradnl"/>
        </w:rPr>
        <w:t xml:space="preserve">Núm. </w:t>
      </w:r>
      <w:r w:rsidR="008F54A6" w:rsidRPr="008F54A6">
        <w:rPr>
          <w:rFonts w:ascii="Book Antiqua" w:hAnsi="Book Antiqua"/>
          <w:lang w:val="es-ES_tradnl"/>
        </w:rPr>
        <w:t xml:space="preserve">136-2010, según enmendada, conocida como </w:t>
      </w:r>
      <w:r w:rsidR="00AD6367">
        <w:rPr>
          <w:rFonts w:ascii="Book Antiqua" w:hAnsi="Book Antiqua"/>
          <w:lang w:val="es-ES_tradnl"/>
        </w:rPr>
        <w:t>“</w:t>
      </w:r>
      <w:r w:rsidR="008F54A6" w:rsidRPr="008F54A6">
        <w:rPr>
          <w:rFonts w:ascii="Book Antiqua" w:hAnsi="Book Antiqua"/>
          <w:lang w:val="es-ES_tradnl"/>
        </w:rPr>
        <w:t>Ley para Regular los Negocios de Servicios Monetarios</w:t>
      </w:r>
      <w:r w:rsidR="00AD6367">
        <w:rPr>
          <w:rFonts w:ascii="Book Antiqua" w:hAnsi="Book Antiqua"/>
          <w:lang w:val="es-ES_tradnl"/>
        </w:rPr>
        <w:t>”,</w:t>
      </w:r>
      <w:r w:rsidR="008F54A6" w:rsidRPr="008F54A6">
        <w:rPr>
          <w:rFonts w:ascii="Book Antiqua" w:hAnsi="Book Antiqua"/>
          <w:lang w:val="es-ES_tradnl"/>
        </w:rPr>
        <w:t xml:space="preserve"> a los fines de adoptar disposiciones del Modelo de Ley de Modernización de Transmisión de Dinero de la Conferencia de Supervisores Bancarios Estatales; y para otros fines relacionados.</w:t>
      </w:r>
    </w:p>
    <w:p w14:paraId="469C514A" w14:textId="77777777" w:rsidR="00F772D0" w:rsidRPr="00581E7A" w:rsidRDefault="00F772D0" w:rsidP="00F772D0">
      <w:pPr>
        <w:ind w:left="360" w:hanging="360"/>
        <w:jc w:val="both"/>
        <w:rPr>
          <w:rFonts w:ascii="Book Antiqua" w:hAnsi="Book Antiqua"/>
          <w:lang w:val="es-ES_tradnl"/>
        </w:rPr>
      </w:pPr>
    </w:p>
    <w:p w14:paraId="75E7563A" w14:textId="77777777" w:rsidR="00F772D0" w:rsidRPr="00581E7A" w:rsidRDefault="00F772D0" w:rsidP="00F772D0">
      <w:pPr>
        <w:spacing w:before="120" w:after="120"/>
        <w:ind w:firstLine="360"/>
        <w:jc w:val="center"/>
        <w:rPr>
          <w:rFonts w:ascii="Book Antiqua" w:hAnsi="Book Antiqua"/>
          <w:lang w:val="es-ES_tradnl"/>
        </w:rPr>
      </w:pPr>
      <w:r w:rsidRPr="00581E7A">
        <w:rPr>
          <w:rFonts w:ascii="Book Antiqua" w:hAnsi="Book Antiqua"/>
          <w:lang w:val="es-ES_tradnl"/>
        </w:rPr>
        <w:t>EXPOSICIÓN DE MOTIVOS</w:t>
      </w:r>
    </w:p>
    <w:p w14:paraId="6123AA2B" w14:textId="7BE40A97" w:rsidR="00F5559A" w:rsidRPr="00F5559A" w:rsidRDefault="00F5559A" w:rsidP="00F5559A">
      <w:pPr>
        <w:pStyle w:val="NormalWeb"/>
        <w:ind w:firstLine="720"/>
        <w:jc w:val="both"/>
        <w:rPr>
          <w:rFonts w:ascii="Book Antiqua" w:hAnsi="Book Antiqua"/>
          <w:color w:val="000000"/>
          <w:lang w:val="es-ES"/>
        </w:rPr>
      </w:pPr>
      <w:r w:rsidRPr="00F5559A">
        <w:rPr>
          <w:rFonts w:ascii="Book Antiqua" w:hAnsi="Book Antiqua"/>
          <w:color w:val="000000"/>
          <w:lang w:val="es-ES"/>
        </w:rPr>
        <w:t>La Asamblea Legislativa de Puerto Rico, consciente del acelerado avance de la tecnología y la necesidad de mantenerse al ritmo de esta, aprobó en 2010 la Ley para Regular los Negocios de Servicios Monetarios, Ley Núm. 136-2010. Dicha Ley adoptó disposiciones de la Ley Uniforme de Servicios Monetarios, instrumento desarrollado y aprobado por la Conferencia Nacional de Comisionados de Leyes Uniformes Estatales. Sin embargo, la evolución constante y el rápido crecimiento del sector financiero y tecnológico demandan una modernización continua de nuestras leyes.</w:t>
      </w:r>
    </w:p>
    <w:p w14:paraId="5F809E28" w14:textId="76C851F0" w:rsidR="00F5559A" w:rsidRPr="00F5559A" w:rsidRDefault="00F5559A" w:rsidP="00F5559A">
      <w:pPr>
        <w:pStyle w:val="NormalWeb"/>
        <w:ind w:firstLine="720"/>
        <w:jc w:val="both"/>
        <w:rPr>
          <w:rFonts w:ascii="Book Antiqua" w:hAnsi="Book Antiqua"/>
          <w:color w:val="000000"/>
          <w:lang w:val="es-ES"/>
        </w:rPr>
      </w:pPr>
      <w:r w:rsidRPr="00F5559A">
        <w:rPr>
          <w:rFonts w:ascii="Book Antiqua" w:hAnsi="Book Antiqua"/>
          <w:color w:val="000000"/>
          <w:lang w:val="es-ES"/>
        </w:rPr>
        <w:t>De esta forma, se ha identificado la necesidad de enmendar la Ley Núm. 136-2010 para adoptar disposiciones del Modelo de Ley de Modernización de Transmisión de Dinero. Este modelo es un conjunto de requisitos desarrollados por expertos regulatorios, del consumidor y de la industria, aprobados por la Conferencia de Supervisores Bancarios Estatales. Entre otras cosas, este nuevo marco busca exceptuar el</w:t>
      </w:r>
      <w:r>
        <w:rPr>
          <w:rFonts w:ascii="Book Antiqua" w:hAnsi="Book Antiqua"/>
          <w:color w:val="000000"/>
          <w:lang w:val="es-ES"/>
        </w:rPr>
        <w:t xml:space="preserve"> </w:t>
      </w:r>
      <w:r w:rsidRPr="00F5559A">
        <w:rPr>
          <w:rFonts w:ascii="Book Antiqua" w:hAnsi="Book Antiqua"/>
          <w:color w:val="000000"/>
          <w:lang w:val="es-ES"/>
        </w:rPr>
        <w:t xml:space="preserve">licenciamiento de empresas que realizan ciertas actividades por o en nombre de entidades debidamente licenciadas o exentas de licencia bajo la Ley Núm. 136-2010, </w:t>
      </w:r>
      <w:r>
        <w:rPr>
          <w:rFonts w:ascii="Book Antiqua" w:hAnsi="Book Antiqua"/>
          <w:color w:val="000000"/>
          <w:lang w:val="es-ES"/>
        </w:rPr>
        <w:t>c</w:t>
      </w:r>
      <w:r w:rsidRPr="00F5559A">
        <w:rPr>
          <w:rFonts w:ascii="Book Antiqua" w:hAnsi="Book Antiqua"/>
          <w:color w:val="000000"/>
          <w:lang w:val="es-ES"/>
        </w:rPr>
        <w:t>omo las instituciones financieras de Puerto Rico que brindan servicios de pago</w:t>
      </w:r>
      <w:r w:rsidR="0068282C">
        <w:rPr>
          <w:rFonts w:ascii="Book Antiqua" w:hAnsi="Book Antiqua"/>
          <w:color w:val="000000"/>
          <w:lang w:val="es-ES"/>
        </w:rPr>
        <w:t xml:space="preserve"> </w:t>
      </w:r>
      <w:r w:rsidRPr="00F5559A">
        <w:rPr>
          <w:rFonts w:ascii="Book Antiqua" w:hAnsi="Book Antiqua"/>
          <w:color w:val="000000"/>
          <w:lang w:val="es-ES"/>
        </w:rPr>
        <w:t>directamente al público.</w:t>
      </w:r>
    </w:p>
    <w:p w14:paraId="644053B9" w14:textId="77777777" w:rsidR="00F5559A" w:rsidRPr="00F5559A" w:rsidRDefault="00F5559A" w:rsidP="00F5559A">
      <w:pPr>
        <w:pStyle w:val="NormalWeb"/>
        <w:ind w:firstLine="720"/>
        <w:jc w:val="both"/>
        <w:rPr>
          <w:rFonts w:ascii="Book Antiqua" w:hAnsi="Book Antiqua"/>
          <w:color w:val="000000"/>
          <w:lang w:val="es-ES"/>
        </w:rPr>
      </w:pPr>
      <w:r w:rsidRPr="00F5559A">
        <w:rPr>
          <w:rFonts w:ascii="Book Antiqua" w:hAnsi="Book Antiqua"/>
          <w:color w:val="000000"/>
          <w:lang w:val="es-ES"/>
        </w:rPr>
        <w:lastRenderedPageBreak/>
        <w:t>Las enmiendas propuestas permitirán la introducción de redes de pago y otros intermediarios financieros para ofrecer soluciones de pago casi en tiempo real, tanto domésticas como transfronterizas. Estos servicios permitirán a los bancos de Puerto Rico facilitar transacciones más rápidas, seguras, eficientes y accesibles a los consumidores.</w:t>
      </w:r>
    </w:p>
    <w:p w14:paraId="12D8CF54" w14:textId="77777777" w:rsidR="00F5559A" w:rsidRPr="00F5559A" w:rsidRDefault="00F5559A" w:rsidP="00F5559A">
      <w:pPr>
        <w:pStyle w:val="NormalWeb"/>
        <w:ind w:firstLine="720"/>
        <w:jc w:val="both"/>
        <w:rPr>
          <w:rFonts w:ascii="Book Antiqua" w:hAnsi="Book Antiqua"/>
          <w:color w:val="000000"/>
          <w:lang w:val="es-ES"/>
        </w:rPr>
      </w:pPr>
      <w:r w:rsidRPr="00F5559A">
        <w:rPr>
          <w:rFonts w:ascii="Book Antiqua" w:hAnsi="Book Antiqua"/>
          <w:color w:val="000000"/>
          <w:lang w:val="es-ES"/>
        </w:rPr>
        <w:t>Además, la enmienda pretende facilitar la introducción de nuevos productos de pago en Puerto Rico, lo que aumentará la disponibilidad de servicios financieros para los consumidores y fomentará la competencia en el sector. Este enfoque expansivo contribuirá a una mayor eficiencia, interoperabilidad y accesibilidad en el sector de transferencias de fondos al por menor.</w:t>
      </w:r>
    </w:p>
    <w:p w14:paraId="22968B4E" w14:textId="77777777" w:rsidR="00F5559A" w:rsidRPr="00F5559A" w:rsidRDefault="00F5559A" w:rsidP="00F5559A">
      <w:pPr>
        <w:pStyle w:val="NormalWeb"/>
        <w:ind w:firstLine="720"/>
        <w:jc w:val="both"/>
        <w:rPr>
          <w:rFonts w:ascii="Book Antiqua" w:hAnsi="Book Antiqua"/>
          <w:color w:val="000000"/>
          <w:lang w:val="es-ES"/>
        </w:rPr>
      </w:pPr>
      <w:r w:rsidRPr="00F5559A">
        <w:rPr>
          <w:rFonts w:ascii="Book Antiqua" w:hAnsi="Book Antiqua"/>
          <w:color w:val="000000"/>
          <w:lang w:val="es-ES"/>
        </w:rPr>
        <w:t>A estos fines, las enmiendas propuestas modifican los requisitos de licenciamiento de las empresas que realizan ciertas actividades de cobro, procesamiento, compensación y/0 liquidación de pagos. Las instituciones financieras de Puerto Rico tendrán, así, acceso a nuevas capacidades que pueden utilizar para hacer los pagos más seguros, rápidos, económicos y accesibles para los remitentes y destinatarios.</w:t>
      </w:r>
    </w:p>
    <w:p w14:paraId="046AF53F" w14:textId="77777777" w:rsidR="00F5559A" w:rsidRPr="00F5559A" w:rsidRDefault="00F5559A" w:rsidP="00F5559A">
      <w:pPr>
        <w:pStyle w:val="NormalWeb"/>
        <w:ind w:firstLine="720"/>
        <w:jc w:val="both"/>
        <w:rPr>
          <w:rFonts w:ascii="Book Antiqua" w:hAnsi="Book Antiqua"/>
          <w:color w:val="000000"/>
          <w:lang w:val="es-ES"/>
        </w:rPr>
      </w:pPr>
      <w:r w:rsidRPr="00F5559A">
        <w:rPr>
          <w:rFonts w:ascii="Book Antiqua" w:hAnsi="Book Antiqua"/>
          <w:color w:val="000000"/>
          <w:lang w:val="es-ES"/>
        </w:rPr>
        <w:t>Estas reformas legales permitirán a los consumidores tener más opciones para realizar pagos de forma segura, rápida, económica y sencilla, y brindarán a las pequeñas y medianas empresas acceso a una gama más amplia de servicios financieros sin aumentar el riesgo para los consumidores o el sistema financiero. Por ejemplo, un consumidor podrá enviar un pago seguro a un familiar que vive en otro país con la certeza de que los fondos llegarán, utilizando diferentes métodos de pago para el financiamiento y la entrega.</w:t>
      </w:r>
    </w:p>
    <w:p w14:paraId="4A3B3B8B" w14:textId="6044E8B4" w:rsidR="00F5559A" w:rsidRPr="00F5559A" w:rsidRDefault="00F5559A" w:rsidP="00F5559A">
      <w:pPr>
        <w:pStyle w:val="NormalWeb"/>
        <w:ind w:firstLine="720"/>
        <w:jc w:val="both"/>
        <w:rPr>
          <w:rFonts w:ascii="Book Antiqua" w:hAnsi="Book Antiqua"/>
          <w:color w:val="000000"/>
          <w:lang w:val="es-ES"/>
        </w:rPr>
      </w:pPr>
      <w:r w:rsidRPr="00F5559A">
        <w:rPr>
          <w:rFonts w:ascii="Book Antiqua" w:hAnsi="Book Antiqua"/>
          <w:color w:val="000000"/>
          <w:lang w:val="es-ES"/>
        </w:rPr>
        <w:t xml:space="preserve"> </w:t>
      </w:r>
      <w:r w:rsidR="002A7508">
        <w:rPr>
          <w:rFonts w:ascii="Book Antiqua" w:hAnsi="Book Antiqua"/>
          <w:color w:val="000000"/>
          <w:lang w:val="es-ES"/>
        </w:rPr>
        <w:t>Para el gobierno, esta modernización significa eficiencias mayores, mas opciones para la entrega rápida y segura de reembolsos de impuestos y otros pagos</w:t>
      </w:r>
      <w:r w:rsidR="00FB1A13">
        <w:rPr>
          <w:rFonts w:ascii="Book Antiqua" w:hAnsi="Book Antiqua"/>
          <w:color w:val="000000"/>
          <w:lang w:val="es-ES"/>
        </w:rPr>
        <w:t xml:space="preserve"> </w:t>
      </w:r>
      <w:r w:rsidRPr="00F5559A">
        <w:rPr>
          <w:rFonts w:ascii="Book Antiqua" w:hAnsi="Book Antiqua"/>
          <w:color w:val="000000"/>
          <w:lang w:val="es-ES"/>
        </w:rPr>
        <w:t>gubernamentales, y la promoción de una mayor competencia en el mercado. De la misma forma, estas enmiendas permitirán una reducción de la carga regulatoria innecesaria sin deteriorar la efectividad supervisora del ente regulador, una expansión del acceso del consumidor a los servicios financieros, fomentarán un entorno favorable para la innovación en pagos y permitirán a la Oficina del Comisionado de Instituciones Financieras concentrar sus recursos supervisores de manera más efectiva.</w:t>
      </w:r>
    </w:p>
    <w:p w14:paraId="7B3CDA64" w14:textId="055055AF" w:rsidR="002B56DB" w:rsidRPr="00613EE6" w:rsidRDefault="00F5559A" w:rsidP="00043304">
      <w:pPr>
        <w:pStyle w:val="NormalWeb"/>
        <w:ind w:firstLine="720"/>
        <w:jc w:val="both"/>
        <w:rPr>
          <w:rFonts w:ascii="Book Antiqua" w:hAnsi="Book Antiqua"/>
          <w:color w:val="000000"/>
          <w:lang w:val="es-ES"/>
        </w:rPr>
      </w:pPr>
      <w:r w:rsidRPr="00F5559A">
        <w:rPr>
          <w:rFonts w:ascii="Book Antiqua" w:hAnsi="Book Antiqua"/>
          <w:color w:val="000000"/>
          <w:lang w:val="es-ES"/>
        </w:rPr>
        <w:t>Por todo lo cual, esta Asamblea Legislativa considera necesaria la aprobación de esta medida para continuar avanzando en el desarrollo económico y financiero de Puerto Rico, adaptándonos a los cambios y exigencias de la era digital. Con ello, buscamos garantizar el bienestar y progreso de nuestra ciudadanía, al tiempo que fortalecemos la competitividad y solidez de nuestro sistema financiero</w:t>
      </w:r>
      <w:r w:rsidR="00247363" w:rsidRPr="00247363">
        <w:rPr>
          <w:rFonts w:ascii="Book Antiqua" w:hAnsi="Book Antiqua"/>
          <w:color w:val="000000"/>
          <w:lang w:val="es-ES"/>
        </w:rPr>
        <w:t>.</w:t>
      </w:r>
      <w:r w:rsidR="00F772D0">
        <w:rPr>
          <w:rFonts w:ascii="Book Antiqua" w:hAnsi="Book Antiqua"/>
          <w:color w:val="000000"/>
          <w:lang w:val="es-ES"/>
        </w:rPr>
        <w:t xml:space="preserve"> </w:t>
      </w:r>
      <w:r w:rsidR="00F772D0">
        <w:rPr>
          <w:rFonts w:ascii="Book Antiqua" w:hAnsi="Book Antiqua"/>
          <w:lang w:val="es-ES_tradnl"/>
        </w:rPr>
        <w:t xml:space="preserve"> </w:t>
      </w:r>
      <w:r w:rsidR="007228A4">
        <w:rPr>
          <w:rFonts w:ascii="Book Antiqua" w:hAnsi="Book Antiqua"/>
          <w:color w:val="000000"/>
          <w:lang w:val="es-ES"/>
        </w:rPr>
        <w:t xml:space="preserve"> </w:t>
      </w:r>
      <w:r w:rsidR="00EC65C4">
        <w:rPr>
          <w:rFonts w:ascii="Book Antiqua" w:hAnsi="Book Antiqua"/>
          <w:lang w:val="es-ES_tradnl"/>
        </w:rPr>
        <w:t xml:space="preserve"> </w:t>
      </w:r>
    </w:p>
    <w:p w14:paraId="1508EBDB" w14:textId="77777777" w:rsidR="0020620B" w:rsidRPr="00C14141" w:rsidRDefault="0020620B" w:rsidP="0020620B">
      <w:pPr>
        <w:spacing w:before="240" w:line="480" w:lineRule="auto"/>
        <w:rPr>
          <w:rFonts w:ascii="Book Antiqua" w:hAnsi="Book Antiqua"/>
          <w:i/>
          <w:iCs/>
          <w:lang w:val="es-ES_tradnl"/>
        </w:rPr>
      </w:pPr>
      <w:r w:rsidRPr="00C14141">
        <w:rPr>
          <w:rFonts w:ascii="Book Antiqua" w:hAnsi="Book Antiqua"/>
          <w:i/>
          <w:iCs/>
          <w:lang w:val="es-ES_tradnl"/>
        </w:rPr>
        <w:t>DECRÉTASE POR LA ASAMBLEA LEGISLATIVA DE PUERTO RICO:</w:t>
      </w:r>
    </w:p>
    <w:p w14:paraId="124CEA2E" w14:textId="77777777" w:rsidR="0020620B" w:rsidRPr="00581E7A" w:rsidRDefault="0020620B" w:rsidP="0020620B">
      <w:pPr>
        <w:spacing w:line="480" w:lineRule="auto"/>
        <w:jc w:val="both"/>
        <w:rPr>
          <w:rFonts w:ascii="Book Antiqua" w:hAnsi="Book Antiqua"/>
          <w:lang w:val="es-ES_tradnl"/>
        </w:rPr>
        <w:sectPr w:rsidR="0020620B" w:rsidRPr="00581E7A" w:rsidSect="003777E4">
          <w:headerReference w:type="default" r:id="rId9"/>
          <w:type w:val="continuous"/>
          <w:pgSz w:w="12240" w:h="15840" w:code="1"/>
          <w:pgMar w:top="1440" w:right="1440" w:bottom="1350" w:left="1440" w:header="720" w:footer="720" w:gutter="0"/>
          <w:cols w:space="720"/>
          <w:titlePg/>
        </w:sectPr>
      </w:pPr>
    </w:p>
    <w:p w14:paraId="7CDDB000" w14:textId="7867005D" w:rsidR="00E84771" w:rsidRPr="00AD6367" w:rsidRDefault="00E84771" w:rsidP="00AD6367">
      <w:pPr>
        <w:spacing w:line="480" w:lineRule="auto"/>
        <w:ind w:firstLine="720"/>
        <w:jc w:val="both"/>
        <w:rPr>
          <w:rFonts w:ascii="Book Antiqua" w:hAnsi="Book Antiqua"/>
          <w:lang w:val="es-ES"/>
        </w:rPr>
      </w:pPr>
      <w:r w:rsidRPr="00581E7A">
        <w:rPr>
          <w:rFonts w:ascii="Book Antiqua" w:hAnsi="Book Antiqua"/>
          <w:lang w:val="es-PR"/>
        </w:rPr>
        <w:lastRenderedPageBreak/>
        <w:t xml:space="preserve">Sección 1.- </w:t>
      </w:r>
      <w:r w:rsidR="00B4581B">
        <w:rPr>
          <w:rFonts w:ascii="Book Antiqua" w:hAnsi="Book Antiqua"/>
          <w:lang w:val="es-PR"/>
        </w:rPr>
        <w:t>Se</w:t>
      </w:r>
      <w:r>
        <w:rPr>
          <w:rFonts w:ascii="Book Antiqua" w:hAnsi="Book Antiqua"/>
          <w:lang w:val="es-PR"/>
        </w:rPr>
        <w:t xml:space="preserve"> enm</w:t>
      </w:r>
      <w:r w:rsidR="00B4581B">
        <w:rPr>
          <w:rFonts w:ascii="Book Antiqua" w:hAnsi="Book Antiqua"/>
          <w:lang w:val="es-PR"/>
        </w:rPr>
        <w:t>ienda</w:t>
      </w:r>
      <w:r>
        <w:rPr>
          <w:rFonts w:ascii="Book Antiqua" w:hAnsi="Book Antiqua"/>
          <w:lang w:val="es-PR"/>
        </w:rPr>
        <w:t xml:space="preserve"> </w:t>
      </w:r>
      <w:r w:rsidR="00204FCC">
        <w:rPr>
          <w:rFonts w:ascii="Book Antiqua" w:hAnsi="Book Antiqua"/>
          <w:lang w:val="es-PR"/>
        </w:rPr>
        <w:t xml:space="preserve">el </w:t>
      </w:r>
      <w:r>
        <w:rPr>
          <w:rFonts w:ascii="Book Antiqua" w:hAnsi="Book Antiqua"/>
          <w:lang w:val="es-PR"/>
        </w:rPr>
        <w:t xml:space="preserve">Artículo </w:t>
      </w:r>
      <w:r w:rsidR="00890A95">
        <w:rPr>
          <w:rFonts w:ascii="Book Antiqua" w:hAnsi="Book Antiqua"/>
          <w:lang w:val="es-PR"/>
        </w:rPr>
        <w:t>1.3</w:t>
      </w:r>
      <w:r w:rsidR="0037642A">
        <w:rPr>
          <w:rFonts w:ascii="Book Antiqua" w:hAnsi="Book Antiqua"/>
          <w:lang w:val="es-PR"/>
        </w:rPr>
        <w:t xml:space="preserve"> </w:t>
      </w:r>
      <w:r w:rsidR="00537DC4">
        <w:rPr>
          <w:rFonts w:ascii="Book Antiqua" w:hAnsi="Book Antiqua"/>
          <w:lang w:val="es-PR"/>
        </w:rPr>
        <w:t xml:space="preserve">de la </w:t>
      </w:r>
      <w:r w:rsidR="00AD6367" w:rsidRPr="00AD6367">
        <w:rPr>
          <w:rFonts w:ascii="Book Antiqua" w:hAnsi="Book Antiqua"/>
          <w:lang w:val="es-ES"/>
        </w:rPr>
        <w:t>Ley Núm. 136-2010, según</w:t>
      </w:r>
      <w:r w:rsidR="00AD6367">
        <w:rPr>
          <w:rFonts w:ascii="Book Antiqua" w:hAnsi="Book Antiqua"/>
          <w:lang w:val="es-ES"/>
        </w:rPr>
        <w:t xml:space="preserve"> </w:t>
      </w:r>
      <w:r w:rsidR="00AD6367" w:rsidRPr="00AD6367">
        <w:rPr>
          <w:rFonts w:ascii="Book Antiqua" w:hAnsi="Book Antiqua"/>
          <w:lang w:val="es-ES"/>
        </w:rPr>
        <w:t>enmendada</w:t>
      </w:r>
      <w:r>
        <w:rPr>
          <w:rFonts w:ascii="Book Antiqua" w:hAnsi="Book Antiqua"/>
          <w:lang w:val="es-ES_tradnl"/>
        </w:rPr>
        <w:t xml:space="preserve">, </w:t>
      </w:r>
      <w:r w:rsidR="00DC6F30" w:rsidRPr="008F54A6">
        <w:rPr>
          <w:rFonts w:ascii="Book Antiqua" w:hAnsi="Book Antiqua"/>
          <w:lang w:val="es-ES_tradnl"/>
        </w:rPr>
        <w:t xml:space="preserve">conocida como </w:t>
      </w:r>
      <w:r w:rsidR="00DC6F30">
        <w:rPr>
          <w:rFonts w:ascii="Book Antiqua" w:hAnsi="Book Antiqua"/>
          <w:lang w:val="es-ES_tradnl"/>
        </w:rPr>
        <w:t>“</w:t>
      </w:r>
      <w:r w:rsidR="00DC6F30" w:rsidRPr="008F54A6">
        <w:rPr>
          <w:rFonts w:ascii="Book Antiqua" w:hAnsi="Book Antiqua"/>
          <w:lang w:val="es-ES_tradnl"/>
        </w:rPr>
        <w:t>Ley para Regular los Negocios de Servicios Monetarios</w:t>
      </w:r>
      <w:r w:rsidR="00DC6F30">
        <w:rPr>
          <w:rFonts w:ascii="Book Antiqua" w:hAnsi="Book Antiqua"/>
          <w:lang w:val="es-ES_tradnl"/>
        </w:rPr>
        <w:t xml:space="preserve">”, </w:t>
      </w:r>
      <w:r w:rsidR="00537DC4">
        <w:rPr>
          <w:rFonts w:ascii="Book Antiqua" w:hAnsi="Book Antiqua"/>
          <w:lang w:val="es-ES_tradnl"/>
        </w:rPr>
        <w:t>para que lea como sigue:</w:t>
      </w:r>
    </w:p>
    <w:p w14:paraId="0DD3DB3E" w14:textId="55FDAD55" w:rsidR="005E4693" w:rsidRDefault="0037642A" w:rsidP="005E4693">
      <w:pPr>
        <w:spacing w:line="480" w:lineRule="auto"/>
        <w:ind w:firstLine="720"/>
        <w:jc w:val="both"/>
        <w:rPr>
          <w:rFonts w:ascii="Book Antiqua" w:hAnsi="Book Antiqua"/>
          <w:lang w:val="es-ES_tradnl"/>
        </w:rPr>
      </w:pPr>
      <w:r>
        <w:rPr>
          <w:rFonts w:ascii="Book Antiqua" w:hAnsi="Book Antiqua"/>
          <w:lang w:val="es-ES_tradnl"/>
        </w:rPr>
        <w:t>“</w:t>
      </w:r>
      <w:r w:rsidR="005E4693" w:rsidRPr="005E4693">
        <w:rPr>
          <w:rFonts w:ascii="Book Antiqua" w:hAnsi="Book Antiqua"/>
          <w:lang w:val="es-ES_tradnl"/>
        </w:rPr>
        <w:t xml:space="preserve">Artículo </w:t>
      </w:r>
      <w:r w:rsidR="00DC6F30">
        <w:rPr>
          <w:rFonts w:ascii="Book Antiqua" w:hAnsi="Book Antiqua"/>
          <w:lang w:val="es-ES_tradnl"/>
        </w:rPr>
        <w:t>1</w:t>
      </w:r>
      <w:r w:rsidR="005E4693" w:rsidRPr="005E4693">
        <w:rPr>
          <w:rFonts w:ascii="Book Antiqua" w:hAnsi="Book Antiqua"/>
          <w:lang w:val="es-ES_tradnl"/>
        </w:rPr>
        <w:t>.</w:t>
      </w:r>
      <w:r w:rsidR="00DC6F30">
        <w:rPr>
          <w:rFonts w:ascii="Book Antiqua" w:hAnsi="Book Antiqua"/>
          <w:lang w:val="es-ES_tradnl"/>
        </w:rPr>
        <w:t>3</w:t>
      </w:r>
      <w:r w:rsidR="005E4693" w:rsidRPr="005E4693">
        <w:rPr>
          <w:rFonts w:ascii="Book Antiqua" w:hAnsi="Book Antiqua"/>
          <w:lang w:val="es-ES_tradnl"/>
        </w:rPr>
        <w:t xml:space="preserve"> — </w:t>
      </w:r>
      <w:r w:rsidR="00DC6F30">
        <w:rPr>
          <w:rFonts w:ascii="Book Antiqua" w:hAnsi="Book Antiqua"/>
          <w:lang w:val="es-ES_tradnl"/>
        </w:rPr>
        <w:t>Aplicabilidad y entidades excluidas.</w:t>
      </w:r>
      <w:r w:rsidR="005E4693" w:rsidRPr="005E4693">
        <w:rPr>
          <w:rFonts w:ascii="Book Antiqua" w:hAnsi="Book Antiqua"/>
          <w:lang w:val="es-ES_tradnl"/>
        </w:rPr>
        <w:t xml:space="preserve"> </w:t>
      </w:r>
    </w:p>
    <w:p w14:paraId="3C3081B8" w14:textId="384BA87B" w:rsidR="000C7C9D" w:rsidRPr="000C7C9D" w:rsidRDefault="000C7C9D" w:rsidP="005747CF">
      <w:pPr>
        <w:spacing w:line="480" w:lineRule="auto"/>
        <w:ind w:firstLine="720"/>
        <w:jc w:val="both"/>
        <w:rPr>
          <w:rFonts w:ascii="Book Antiqua" w:hAnsi="Book Antiqua"/>
          <w:i/>
          <w:iCs/>
          <w:lang w:val="es-ES_tradnl"/>
        </w:rPr>
      </w:pPr>
      <w:r w:rsidRPr="000C7C9D">
        <w:rPr>
          <w:rFonts w:ascii="Book Antiqua" w:hAnsi="Book Antiqua"/>
          <w:lang w:val="es-ES_tradnl"/>
        </w:rPr>
        <w:t xml:space="preserve">a) </w:t>
      </w:r>
      <w:r w:rsidR="005747CF">
        <w:rPr>
          <w:rFonts w:ascii="Book Antiqua" w:hAnsi="Book Antiqua"/>
          <w:lang w:val="es-ES_tradnl"/>
        </w:rPr>
        <w:t xml:space="preserve">. . . </w:t>
      </w:r>
    </w:p>
    <w:p w14:paraId="478CE321" w14:textId="485F39E4" w:rsidR="000C7C9D" w:rsidRPr="000C7C9D" w:rsidRDefault="000C7C9D" w:rsidP="000C7C9D">
      <w:pPr>
        <w:spacing w:line="480" w:lineRule="auto"/>
        <w:ind w:firstLine="720"/>
        <w:jc w:val="both"/>
        <w:rPr>
          <w:rFonts w:ascii="Book Antiqua" w:hAnsi="Book Antiqua"/>
          <w:lang w:val="es-ES_tradnl"/>
        </w:rPr>
      </w:pPr>
      <w:r w:rsidRPr="000C7C9D">
        <w:rPr>
          <w:rFonts w:ascii="Book Antiqua" w:hAnsi="Book Antiqua"/>
          <w:lang w:val="es-ES_tradnl"/>
        </w:rPr>
        <w:t>b)</w:t>
      </w:r>
      <w:r w:rsidR="00A623D4">
        <w:rPr>
          <w:rFonts w:ascii="Book Antiqua" w:hAnsi="Book Antiqua"/>
          <w:lang w:val="es-ES_tradnl"/>
        </w:rPr>
        <w:t xml:space="preserve"> . . .</w:t>
      </w:r>
    </w:p>
    <w:p w14:paraId="460A6C98" w14:textId="170D20CE" w:rsidR="000C7C9D" w:rsidRDefault="005747CF" w:rsidP="005747CF">
      <w:pPr>
        <w:spacing w:line="480" w:lineRule="auto"/>
        <w:ind w:left="720" w:firstLine="720"/>
        <w:jc w:val="both"/>
        <w:rPr>
          <w:rFonts w:ascii="Book Antiqua" w:hAnsi="Book Antiqua"/>
          <w:lang w:val="es-ES_tradnl"/>
        </w:rPr>
      </w:pPr>
      <w:r>
        <w:rPr>
          <w:rFonts w:ascii="Book Antiqua" w:hAnsi="Book Antiqua"/>
          <w:lang w:val="es-ES_tradnl"/>
        </w:rPr>
        <w:t>1</w:t>
      </w:r>
      <w:r w:rsidR="000C7C9D" w:rsidRPr="000C7C9D">
        <w:rPr>
          <w:rFonts w:ascii="Book Antiqua" w:hAnsi="Book Antiqua"/>
          <w:lang w:val="es-ES_tradnl"/>
        </w:rPr>
        <w:t>)</w:t>
      </w:r>
      <w:r w:rsidR="00A623D4">
        <w:rPr>
          <w:rFonts w:ascii="Book Antiqua" w:hAnsi="Book Antiqua"/>
          <w:lang w:val="es-ES_tradnl"/>
        </w:rPr>
        <w:t xml:space="preserve"> . . .</w:t>
      </w:r>
    </w:p>
    <w:p w14:paraId="70BFBCAB" w14:textId="059134B0" w:rsidR="00A623D4" w:rsidRDefault="005747CF" w:rsidP="005747CF">
      <w:pPr>
        <w:spacing w:line="480" w:lineRule="auto"/>
        <w:ind w:left="720" w:firstLine="720"/>
        <w:jc w:val="both"/>
        <w:rPr>
          <w:rFonts w:ascii="Book Antiqua" w:hAnsi="Book Antiqua"/>
          <w:lang w:val="es-ES_tradnl"/>
        </w:rPr>
      </w:pPr>
      <w:r>
        <w:rPr>
          <w:rFonts w:ascii="Book Antiqua" w:hAnsi="Book Antiqua"/>
          <w:lang w:val="es-ES_tradnl"/>
        </w:rPr>
        <w:t xml:space="preserve">2) </w:t>
      </w:r>
      <w:r w:rsidR="00A623D4">
        <w:rPr>
          <w:rFonts w:ascii="Book Antiqua" w:hAnsi="Book Antiqua"/>
          <w:lang w:val="es-ES_tradnl"/>
        </w:rPr>
        <w:t xml:space="preserve">. . . </w:t>
      </w:r>
    </w:p>
    <w:p w14:paraId="492D0655" w14:textId="0601FEE2" w:rsidR="00B9743F" w:rsidRDefault="00B9743F" w:rsidP="00D70670">
      <w:pPr>
        <w:spacing w:line="480" w:lineRule="auto"/>
        <w:ind w:left="720" w:firstLine="720"/>
        <w:jc w:val="both"/>
        <w:rPr>
          <w:rFonts w:ascii="Book Antiqua" w:hAnsi="Book Antiqua"/>
          <w:i/>
          <w:iCs/>
          <w:lang w:val="es-ES_tradnl"/>
        </w:rPr>
      </w:pPr>
      <w:r w:rsidRPr="00D70670">
        <w:rPr>
          <w:rFonts w:ascii="Book Antiqua" w:hAnsi="Book Antiqua"/>
          <w:i/>
          <w:iCs/>
          <w:lang w:val="es-ES_tradnl"/>
        </w:rPr>
        <w:t>3)</w:t>
      </w:r>
      <w:r>
        <w:rPr>
          <w:rFonts w:ascii="Book Antiqua" w:hAnsi="Book Antiqua"/>
          <w:lang w:val="es-ES_tradnl"/>
        </w:rPr>
        <w:t xml:space="preserve"> </w:t>
      </w:r>
      <w:r w:rsidR="00D70670" w:rsidRPr="00D70670">
        <w:rPr>
          <w:rFonts w:ascii="Book Antiqua" w:hAnsi="Book Antiqua"/>
          <w:i/>
          <w:iCs/>
          <w:lang w:val="es-ES_tradnl"/>
        </w:rPr>
        <w:t>Un operador de un sistema de pago en la medida en que proporcione servicios de procesamiento, compensación o liquidación, entre personas exentas por esta sección o licenciatarios, en relación con transferencias bancarias, transacciones con tarjeta de crédito, transacciones con tarjeta de débito, transacciones de valor almacenado, transferencias automatizadas de cámara de compensación o transferencias de fondos similares.</w:t>
      </w:r>
    </w:p>
    <w:p w14:paraId="233FBB88" w14:textId="21DFB9E5" w:rsidR="00A8140A" w:rsidRPr="00A8140A" w:rsidRDefault="00D70670" w:rsidP="00A8140A">
      <w:pPr>
        <w:spacing w:line="480" w:lineRule="auto"/>
        <w:ind w:left="720" w:firstLine="720"/>
        <w:jc w:val="both"/>
        <w:rPr>
          <w:rFonts w:ascii="Book Antiqua" w:hAnsi="Book Antiqua"/>
          <w:i/>
          <w:iCs/>
          <w:lang w:val="es-ES_tradnl"/>
        </w:rPr>
      </w:pPr>
      <w:r>
        <w:rPr>
          <w:rFonts w:ascii="Book Antiqua" w:hAnsi="Book Antiqua"/>
          <w:i/>
          <w:iCs/>
          <w:lang w:val="es-ES_tradnl"/>
        </w:rPr>
        <w:t xml:space="preserve">4) </w:t>
      </w:r>
      <w:r w:rsidR="00A8140A" w:rsidRPr="00A8140A">
        <w:rPr>
          <w:rFonts w:ascii="Book Antiqua" w:hAnsi="Book Antiqua"/>
          <w:i/>
          <w:iCs/>
          <w:lang w:val="es-ES_tradnl"/>
        </w:rPr>
        <w:t>Una persona que actúa como intermediario procesando pagos entre una</w:t>
      </w:r>
      <w:r w:rsidR="00A8140A">
        <w:rPr>
          <w:rFonts w:ascii="Book Antiqua" w:hAnsi="Book Antiqua"/>
          <w:i/>
          <w:iCs/>
          <w:lang w:val="es-ES_tradnl"/>
        </w:rPr>
        <w:t xml:space="preserve"> </w:t>
      </w:r>
      <w:r w:rsidR="00A8140A" w:rsidRPr="00A8140A">
        <w:rPr>
          <w:rFonts w:ascii="Book Antiqua" w:hAnsi="Book Antiqua"/>
          <w:i/>
          <w:iCs/>
          <w:lang w:val="es-ES_tradnl"/>
        </w:rPr>
        <w:tab/>
        <w:t>entidad que ha incurrido directamente en una obligación de transmisión de</w:t>
      </w:r>
      <w:r w:rsidR="00A8140A">
        <w:rPr>
          <w:rFonts w:ascii="Book Antiqua" w:hAnsi="Book Antiqua"/>
          <w:i/>
          <w:iCs/>
          <w:lang w:val="es-ES_tradnl"/>
        </w:rPr>
        <w:t xml:space="preserve"> </w:t>
      </w:r>
      <w:r w:rsidR="00A8140A" w:rsidRPr="00A8140A">
        <w:rPr>
          <w:rFonts w:ascii="Book Antiqua" w:hAnsi="Book Antiqua"/>
          <w:i/>
          <w:iCs/>
          <w:lang w:val="es-ES_tradnl"/>
        </w:rPr>
        <w:t>dinero pendiente para un remitente y el destinatario designado del remitente,</w:t>
      </w:r>
      <w:r w:rsidR="00A8140A">
        <w:rPr>
          <w:rFonts w:ascii="Book Antiqua" w:hAnsi="Book Antiqua"/>
          <w:i/>
          <w:iCs/>
          <w:lang w:val="es-ES_tradnl"/>
        </w:rPr>
        <w:t xml:space="preserve"> </w:t>
      </w:r>
      <w:r w:rsidR="00A8140A" w:rsidRPr="00A8140A">
        <w:rPr>
          <w:rFonts w:ascii="Book Antiqua" w:hAnsi="Book Antiqua"/>
          <w:i/>
          <w:iCs/>
          <w:lang w:val="es-ES_tradnl"/>
        </w:rPr>
        <w:t>siempre que la entidad:</w:t>
      </w:r>
    </w:p>
    <w:p w14:paraId="1FA836BD" w14:textId="3545EDE1" w:rsidR="00A8140A" w:rsidRPr="00A8140A" w:rsidRDefault="00A8140A" w:rsidP="00284DA1">
      <w:pPr>
        <w:spacing w:line="480" w:lineRule="auto"/>
        <w:ind w:left="2520" w:hanging="360"/>
        <w:jc w:val="both"/>
        <w:rPr>
          <w:rFonts w:ascii="Book Antiqua" w:hAnsi="Book Antiqua"/>
          <w:i/>
          <w:iCs/>
          <w:lang w:val="es-ES_tradnl"/>
        </w:rPr>
      </w:pPr>
      <w:r w:rsidRPr="00A8140A">
        <w:rPr>
          <w:rFonts w:ascii="Book Antiqua" w:hAnsi="Book Antiqua"/>
          <w:i/>
          <w:iCs/>
          <w:lang w:val="es-ES_tradnl"/>
        </w:rPr>
        <w:t xml:space="preserve">i. </w:t>
      </w:r>
      <w:r w:rsidR="000F09E5">
        <w:rPr>
          <w:rFonts w:ascii="Book Antiqua" w:hAnsi="Book Antiqua"/>
          <w:i/>
          <w:iCs/>
          <w:lang w:val="es-ES_tradnl"/>
        </w:rPr>
        <w:tab/>
      </w:r>
      <w:r w:rsidRPr="00A8140A">
        <w:rPr>
          <w:rFonts w:ascii="Book Antiqua" w:hAnsi="Book Antiqua"/>
          <w:i/>
          <w:iCs/>
          <w:lang w:val="es-ES_tradnl"/>
        </w:rPr>
        <w:t>está debidamente autorizada o exenta de los requisitos de licencia en</w:t>
      </w:r>
      <w:r w:rsidR="000E5ABE">
        <w:rPr>
          <w:rFonts w:ascii="Book Antiqua" w:hAnsi="Book Antiqua"/>
          <w:i/>
          <w:iCs/>
          <w:lang w:val="es-ES_tradnl"/>
        </w:rPr>
        <w:t xml:space="preserve"> </w:t>
      </w:r>
      <w:r w:rsidRPr="00A8140A">
        <w:rPr>
          <w:rFonts w:ascii="Book Antiqua" w:hAnsi="Book Antiqua"/>
          <w:i/>
          <w:iCs/>
          <w:lang w:val="es-ES_tradnl"/>
        </w:rPr>
        <w:t>virtud</w:t>
      </w:r>
      <w:r w:rsidR="00284DA1">
        <w:rPr>
          <w:rFonts w:ascii="Book Antiqua" w:hAnsi="Book Antiqua"/>
          <w:i/>
          <w:iCs/>
          <w:lang w:val="es-ES_tradnl"/>
        </w:rPr>
        <w:t xml:space="preserve"> </w:t>
      </w:r>
      <w:r w:rsidRPr="00A8140A">
        <w:rPr>
          <w:rFonts w:ascii="Book Antiqua" w:hAnsi="Book Antiqua"/>
          <w:i/>
          <w:iCs/>
          <w:lang w:val="es-ES_tradnl"/>
        </w:rPr>
        <w:t>de esta ley;</w:t>
      </w:r>
    </w:p>
    <w:p w14:paraId="0B5072EB" w14:textId="3894359C" w:rsidR="00284DA1" w:rsidRDefault="00A8140A" w:rsidP="00284DA1">
      <w:pPr>
        <w:spacing w:line="480" w:lineRule="auto"/>
        <w:ind w:left="2520" w:hanging="360"/>
        <w:jc w:val="both"/>
        <w:rPr>
          <w:rFonts w:ascii="Book Antiqua" w:hAnsi="Book Antiqua"/>
          <w:i/>
          <w:iCs/>
          <w:lang w:val="es-ES_tradnl"/>
        </w:rPr>
      </w:pPr>
      <w:r w:rsidRPr="00A8140A">
        <w:rPr>
          <w:rFonts w:ascii="Book Antiqua" w:hAnsi="Book Antiqua"/>
          <w:i/>
          <w:iCs/>
          <w:lang w:val="es-ES_tradnl"/>
        </w:rPr>
        <w:t>ii</w:t>
      </w:r>
      <w:r w:rsidR="000E5ABE">
        <w:rPr>
          <w:rFonts w:ascii="Book Antiqua" w:hAnsi="Book Antiqua"/>
          <w:i/>
          <w:iCs/>
          <w:lang w:val="es-ES_tradnl"/>
        </w:rPr>
        <w:t>.</w:t>
      </w:r>
      <w:r w:rsidRPr="00A8140A">
        <w:rPr>
          <w:rFonts w:ascii="Book Antiqua" w:hAnsi="Book Antiqua"/>
          <w:i/>
          <w:iCs/>
          <w:lang w:val="es-ES_tradnl"/>
        </w:rPr>
        <w:t xml:space="preserve"> </w:t>
      </w:r>
      <w:r w:rsidR="000F09E5">
        <w:rPr>
          <w:rFonts w:ascii="Book Antiqua" w:hAnsi="Book Antiqua"/>
          <w:i/>
          <w:iCs/>
          <w:lang w:val="es-ES_tradnl"/>
        </w:rPr>
        <w:tab/>
      </w:r>
      <w:r w:rsidRPr="00A8140A">
        <w:rPr>
          <w:rFonts w:ascii="Book Antiqua" w:hAnsi="Book Antiqua"/>
          <w:i/>
          <w:iCs/>
          <w:lang w:val="es-ES_tradnl"/>
        </w:rPr>
        <w:t>proporcione un recibo, registro electrónico u otra confirmación por</w:t>
      </w:r>
      <w:r w:rsidR="000E5ABE">
        <w:rPr>
          <w:rFonts w:ascii="Book Antiqua" w:hAnsi="Book Antiqua"/>
          <w:i/>
          <w:iCs/>
          <w:lang w:val="es-ES_tradnl"/>
        </w:rPr>
        <w:t xml:space="preserve"> </w:t>
      </w:r>
      <w:r w:rsidRPr="00A8140A">
        <w:rPr>
          <w:rFonts w:ascii="Book Antiqua" w:hAnsi="Book Antiqua"/>
          <w:i/>
          <w:iCs/>
          <w:lang w:val="es-ES_tradnl"/>
        </w:rPr>
        <w:t>escrito al remitente que identifique a la entidad como proveedora de</w:t>
      </w:r>
      <w:r w:rsidR="000E5ABE">
        <w:rPr>
          <w:rFonts w:ascii="Book Antiqua" w:hAnsi="Book Antiqua"/>
          <w:i/>
          <w:iCs/>
          <w:lang w:val="es-ES_tradnl"/>
        </w:rPr>
        <w:t xml:space="preserve"> </w:t>
      </w:r>
      <w:r w:rsidRPr="00A8140A">
        <w:rPr>
          <w:rFonts w:ascii="Book Antiqua" w:hAnsi="Book Antiqua"/>
          <w:i/>
          <w:iCs/>
          <w:lang w:val="es-ES_tradnl"/>
        </w:rPr>
        <w:t>transmisión de dinero en la transacción; y,</w:t>
      </w:r>
    </w:p>
    <w:p w14:paraId="41178B1E" w14:textId="25714B07" w:rsidR="00D70670" w:rsidRPr="005E4693" w:rsidRDefault="00A8140A" w:rsidP="00284DA1">
      <w:pPr>
        <w:spacing w:line="480" w:lineRule="auto"/>
        <w:ind w:left="2520" w:hanging="360"/>
        <w:jc w:val="both"/>
        <w:rPr>
          <w:rFonts w:ascii="Book Antiqua" w:hAnsi="Book Antiqua"/>
          <w:lang w:val="es-ES_tradnl"/>
        </w:rPr>
      </w:pPr>
      <w:r w:rsidRPr="00A8140A">
        <w:rPr>
          <w:rFonts w:ascii="Book Antiqua" w:hAnsi="Book Antiqua"/>
          <w:i/>
          <w:iCs/>
          <w:lang w:val="es-ES_tradnl"/>
        </w:rPr>
        <w:lastRenderedPageBreak/>
        <w:t>iii. es la única responsable de satisfacer la obligación pendiente de</w:t>
      </w:r>
      <w:r w:rsidR="00284DA1">
        <w:rPr>
          <w:rFonts w:ascii="Book Antiqua" w:hAnsi="Book Antiqua"/>
          <w:i/>
          <w:iCs/>
          <w:lang w:val="es-ES_tradnl"/>
        </w:rPr>
        <w:t xml:space="preserve"> </w:t>
      </w:r>
      <w:r w:rsidRPr="00A8140A">
        <w:rPr>
          <w:rFonts w:ascii="Book Antiqua" w:hAnsi="Book Antiqua"/>
          <w:i/>
          <w:iCs/>
          <w:lang w:val="es-ES_tradnl"/>
        </w:rPr>
        <w:t>transmisión de dinero al remitente, incluida la obligación de completar</w:t>
      </w:r>
      <w:r w:rsidR="00284DA1">
        <w:rPr>
          <w:rFonts w:ascii="Book Antiqua" w:hAnsi="Book Antiqua"/>
          <w:i/>
          <w:iCs/>
          <w:lang w:val="es-ES_tradnl"/>
        </w:rPr>
        <w:t xml:space="preserve"> </w:t>
      </w:r>
      <w:r w:rsidRPr="00A8140A">
        <w:rPr>
          <w:rFonts w:ascii="Book Antiqua" w:hAnsi="Book Antiqua"/>
          <w:i/>
          <w:iCs/>
          <w:lang w:val="es-ES_tradnl"/>
        </w:rPr>
        <w:t>el remitente en relación con cualquier falla en la transmisión de los</w:t>
      </w:r>
      <w:r w:rsidR="00284DA1">
        <w:rPr>
          <w:rFonts w:ascii="Book Antiqua" w:hAnsi="Book Antiqua"/>
          <w:i/>
          <w:iCs/>
          <w:lang w:val="es-ES_tradnl"/>
        </w:rPr>
        <w:t xml:space="preserve"> </w:t>
      </w:r>
      <w:r w:rsidRPr="00A8140A">
        <w:rPr>
          <w:rFonts w:ascii="Book Antiqua" w:hAnsi="Book Antiqua"/>
          <w:i/>
          <w:iCs/>
          <w:lang w:val="es-ES_tradnl"/>
        </w:rPr>
        <w:t>fondos al destinatario designado por el remitente.</w:t>
      </w:r>
    </w:p>
    <w:p w14:paraId="1541581A" w14:textId="42A0DE23" w:rsidR="000F09E5" w:rsidRDefault="000F09E5" w:rsidP="0053675F">
      <w:pPr>
        <w:spacing w:line="480" w:lineRule="auto"/>
        <w:ind w:left="720" w:firstLine="720"/>
        <w:jc w:val="both"/>
        <w:rPr>
          <w:rFonts w:ascii="Book Antiqua" w:hAnsi="Book Antiqua"/>
          <w:i/>
          <w:iCs/>
          <w:lang w:val="es-ES_tradnl"/>
        </w:rPr>
      </w:pPr>
      <w:r>
        <w:rPr>
          <w:rFonts w:ascii="Book Antiqua" w:hAnsi="Book Antiqua"/>
          <w:i/>
          <w:iCs/>
          <w:lang w:val="es-ES_tradnl"/>
        </w:rPr>
        <w:t xml:space="preserve">5) </w:t>
      </w:r>
      <w:r w:rsidR="0053675F" w:rsidRPr="0053675F">
        <w:rPr>
          <w:rFonts w:ascii="Book Antiqua" w:hAnsi="Book Antiqua"/>
          <w:i/>
          <w:iCs/>
          <w:lang w:val="es-ES_tradnl"/>
        </w:rPr>
        <w:t>Una persona designada expresamente como proveedor de servicios externo o</w:t>
      </w:r>
      <w:r w:rsidR="0053675F">
        <w:rPr>
          <w:rFonts w:ascii="Book Antiqua" w:hAnsi="Book Antiqua"/>
          <w:i/>
          <w:iCs/>
          <w:lang w:val="es-ES_tradnl"/>
        </w:rPr>
        <w:t xml:space="preserve"> </w:t>
      </w:r>
      <w:r w:rsidR="0053675F" w:rsidRPr="0053675F">
        <w:rPr>
          <w:rFonts w:ascii="Book Antiqua" w:hAnsi="Book Antiqua"/>
          <w:i/>
          <w:iCs/>
          <w:lang w:val="es-ES_tradnl"/>
        </w:rPr>
        <w:t>agente de una institución financiera depositaria con seguro federal, una</w:t>
      </w:r>
      <w:r w:rsidR="0053675F">
        <w:rPr>
          <w:rFonts w:ascii="Book Antiqua" w:hAnsi="Book Antiqua"/>
          <w:i/>
          <w:iCs/>
          <w:lang w:val="es-ES_tradnl"/>
        </w:rPr>
        <w:t xml:space="preserve"> </w:t>
      </w:r>
      <w:r w:rsidR="0053675F" w:rsidRPr="0053675F">
        <w:rPr>
          <w:rFonts w:ascii="Book Antiqua" w:hAnsi="Book Antiqua"/>
          <w:i/>
          <w:iCs/>
          <w:lang w:val="es-ES_tradnl"/>
        </w:rPr>
        <w:t>sociedad de cartera bancaria, una oficina de una corporación bancaria</w:t>
      </w:r>
      <w:r w:rsidR="0053675F">
        <w:rPr>
          <w:rFonts w:ascii="Book Antiqua" w:hAnsi="Book Antiqua"/>
          <w:i/>
          <w:iCs/>
          <w:lang w:val="es-ES_tradnl"/>
        </w:rPr>
        <w:t xml:space="preserve"> </w:t>
      </w:r>
      <w:r w:rsidR="0053675F" w:rsidRPr="0053675F">
        <w:rPr>
          <w:rFonts w:ascii="Book Antiqua" w:hAnsi="Book Antiqua"/>
          <w:i/>
          <w:iCs/>
          <w:lang w:val="es-ES_tradnl"/>
        </w:rPr>
        <w:t>internacional, un banco extranjero que establezca una sucursal federal de</w:t>
      </w:r>
      <w:r w:rsidR="007F7CF4">
        <w:rPr>
          <w:rFonts w:ascii="Book Antiqua" w:hAnsi="Book Antiqua"/>
          <w:i/>
          <w:iCs/>
          <w:lang w:val="es-ES_tradnl"/>
        </w:rPr>
        <w:t xml:space="preserve"> </w:t>
      </w:r>
      <w:r w:rsidR="0053675F" w:rsidRPr="0053675F">
        <w:rPr>
          <w:rFonts w:ascii="Book Antiqua" w:hAnsi="Book Antiqua"/>
          <w:i/>
          <w:iCs/>
          <w:lang w:val="es-ES_tradnl"/>
        </w:rPr>
        <w:t xml:space="preserve">conformidad con la Ley de Bancos Internacionales, </w:t>
      </w:r>
      <w:r w:rsidR="00CE3DBB">
        <w:rPr>
          <w:rFonts w:ascii="Book Antiqua" w:hAnsi="Book Antiqua"/>
          <w:i/>
          <w:iCs/>
          <w:lang w:val="es-ES_tradnl"/>
        </w:rPr>
        <w:t xml:space="preserve">12 </w:t>
      </w:r>
      <w:r w:rsidR="0053675F" w:rsidRPr="0053675F">
        <w:rPr>
          <w:rFonts w:ascii="Book Antiqua" w:hAnsi="Book Antiqua"/>
          <w:i/>
          <w:iCs/>
          <w:lang w:val="es-ES_tradnl"/>
        </w:rPr>
        <w:t>U.S.C. Sección 3102,</w:t>
      </w:r>
      <w:r w:rsidR="007F7CF4">
        <w:rPr>
          <w:rFonts w:ascii="Book Antiqua" w:hAnsi="Book Antiqua"/>
          <w:i/>
          <w:iCs/>
          <w:lang w:val="es-ES_tradnl"/>
        </w:rPr>
        <w:t xml:space="preserve"> </w:t>
      </w:r>
      <w:r w:rsidR="0053675F" w:rsidRPr="0053675F">
        <w:rPr>
          <w:rFonts w:ascii="Book Antiqua" w:hAnsi="Book Antiqua"/>
          <w:i/>
          <w:iCs/>
          <w:lang w:val="es-ES_tradnl"/>
        </w:rPr>
        <w:t>según enmendada o recodificada de vez en cuando, corporación organizada de</w:t>
      </w:r>
      <w:r w:rsidR="007F7CF4">
        <w:rPr>
          <w:rFonts w:ascii="Book Antiqua" w:hAnsi="Book Antiqua"/>
          <w:i/>
          <w:iCs/>
          <w:lang w:val="es-ES_tradnl"/>
        </w:rPr>
        <w:t xml:space="preserve"> </w:t>
      </w:r>
      <w:r w:rsidR="0053675F" w:rsidRPr="0053675F">
        <w:rPr>
          <w:rFonts w:ascii="Book Antiqua" w:hAnsi="Book Antiqua"/>
          <w:i/>
          <w:iCs/>
          <w:lang w:val="es-ES_tradnl"/>
        </w:rPr>
        <w:t xml:space="preserve">conformidad con la Ley de Corporaciones de Servicios Bancarios, 12 </w:t>
      </w:r>
      <w:r w:rsidR="0043603E" w:rsidRPr="0053675F">
        <w:rPr>
          <w:rFonts w:ascii="Book Antiqua" w:hAnsi="Book Antiqua"/>
          <w:i/>
          <w:iCs/>
          <w:lang w:val="es-ES_tradnl"/>
        </w:rPr>
        <w:t>U.S.C</w:t>
      </w:r>
      <w:r w:rsidR="0043603E">
        <w:rPr>
          <w:rFonts w:ascii="Book Antiqua" w:hAnsi="Book Antiqua"/>
          <w:i/>
          <w:iCs/>
          <w:lang w:val="es-ES_tradnl"/>
        </w:rPr>
        <w:t xml:space="preserve"> </w:t>
      </w:r>
      <w:r w:rsidR="0053675F" w:rsidRPr="0053675F">
        <w:rPr>
          <w:rFonts w:ascii="Book Antiqua" w:hAnsi="Book Antiqua"/>
          <w:i/>
          <w:iCs/>
          <w:lang w:val="es-ES_tradnl"/>
        </w:rPr>
        <w:t>Secciones 1861-1867, según enmendadas o recodificadas de vez en cuando, o</w:t>
      </w:r>
      <w:r w:rsidR="00637778">
        <w:rPr>
          <w:rFonts w:ascii="Book Antiqua" w:hAnsi="Book Antiqua"/>
          <w:i/>
          <w:iCs/>
          <w:lang w:val="es-ES_tradnl"/>
        </w:rPr>
        <w:t xml:space="preserve"> </w:t>
      </w:r>
      <w:r w:rsidR="0053675F" w:rsidRPr="0053675F">
        <w:rPr>
          <w:rFonts w:ascii="Book Antiqua" w:hAnsi="Book Antiqua"/>
          <w:i/>
          <w:iCs/>
          <w:lang w:val="es-ES_tradnl"/>
        </w:rPr>
        <w:t>corporación organizada bajo la Ley Edge, 12 U.S.C. Secciones 611-633, según</w:t>
      </w:r>
      <w:r w:rsidR="00637778">
        <w:rPr>
          <w:rFonts w:ascii="Book Antiqua" w:hAnsi="Book Antiqua"/>
          <w:i/>
          <w:iCs/>
          <w:lang w:val="es-ES_tradnl"/>
        </w:rPr>
        <w:t xml:space="preserve"> </w:t>
      </w:r>
      <w:r w:rsidR="0053675F" w:rsidRPr="0053675F">
        <w:rPr>
          <w:rFonts w:ascii="Book Antiqua" w:hAnsi="Book Antiqua"/>
          <w:i/>
          <w:iCs/>
          <w:lang w:val="es-ES_tradnl"/>
        </w:rPr>
        <w:t>enmendada o recodificada de vez en cuando, únicamente en la medida en que:</w:t>
      </w:r>
    </w:p>
    <w:p w14:paraId="07C1B2C1" w14:textId="2F66FAF7" w:rsidR="000A194F" w:rsidRPr="00A8140A" w:rsidRDefault="000A194F" w:rsidP="00CA6A2F">
      <w:pPr>
        <w:spacing w:line="480" w:lineRule="auto"/>
        <w:ind w:left="2520" w:hanging="360"/>
        <w:jc w:val="both"/>
        <w:rPr>
          <w:rFonts w:ascii="Book Antiqua" w:hAnsi="Book Antiqua"/>
          <w:i/>
          <w:iCs/>
          <w:lang w:val="es-ES_tradnl"/>
        </w:rPr>
      </w:pPr>
      <w:r w:rsidRPr="00A8140A">
        <w:rPr>
          <w:rFonts w:ascii="Book Antiqua" w:hAnsi="Book Antiqua"/>
          <w:i/>
          <w:iCs/>
          <w:lang w:val="es-ES_tradnl"/>
        </w:rPr>
        <w:t xml:space="preserve">i. </w:t>
      </w:r>
      <w:r>
        <w:rPr>
          <w:rFonts w:ascii="Book Antiqua" w:hAnsi="Book Antiqua"/>
          <w:i/>
          <w:iCs/>
          <w:lang w:val="es-ES_tradnl"/>
        </w:rPr>
        <w:tab/>
      </w:r>
      <w:r w:rsidR="00CA6A2F" w:rsidRPr="00CA6A2F">
        <w:rPr>
          <w:rFonts w:ascii="Book Antiqua" w:hAnsi="Book Antiqua"/>
          <w:i/>
          <w:iCs/>
          <w:lang w:val="es-ES_tradnl"/>
        </w:rPr>
        <w:t>dicho proveedor de servicios o agente está participando en la</w:t>
      </w:r>
      <w:r w:rsidR="00CA6A2F">
        <w:rPr>
          <w:rFonts w:ascii="Book Antiqua" w:hAnsi="Book Antiqua"/>
          <w:i/>
          <w:iCs/>
          <w:lang w:val="es-ES_tradnl"/>
        </w:rPr>
        <w:t xml:space="preserve"> </w:t>
      </w:r>
      <w:r w:rsidR="00CA6A2F" w:rsidRPr="00CA6A2F">
        <w:rPr>
          <w:rFonts w:ascii="Book Antiqua" w:hAnsi="Book Antiqua"/>
          <w:i/>
          <w:iCs/>
          <w:lang w:val="es-ES_tradnl"/>
        </w:rPr>
        <w:t>transmisión de dinero en nombre y de conformidad con un acuerdo</w:t>
      </w:r>
      <w:r w:rsidR="00CA6A2F">
        <w:rPr>
          <w:rFonts w:ascii="Book Antiqua" w:hAnsi="Book Antiqua"/>
          <w:i/>
          <w:iCs/>
          <w:lang w:val="es-ES_tradnl"/>
        </w:rPr>
        <w:t xml:space="preserve"> </w:t>
      </w:r>
      <w:r w:rsidR="00CA6A2F" w:rsidRPr="00CA6A2F">
        <w:rPr>
          <w:rFonts w:ascii="Book Antiqua" w:hAnsi="Book Antiqua"/>
          <w:i/>
          <w:iCs/>
          <w:lang w:val="es-ES_tradnl"/>
        </w:rPr>
        <w:t>escrito con la entidad exenta que establece las funciones específicas que</w:t>
      </w:r>
      <w:r w:rsidR="00CA6A2F">
        <w:rPr>
          <w:rFonts w:ascii="Book Antiqua" w:hAnsi="Book Antiqua"/>
          <w:i/>
          <w:iCs/>
          <w:lang w:val="es-ES_tradnl"/>
        </w:rPr>
        <w:t xml:space="preserve"> </w:t>
      </w:r>
      <w:r w:rsidR="00CA6A2F" w:rsidRPr="00CA6A2F">
        <w:rPr>
          <w:rFonts w:ascii="Book Antiqua" w:hAnsi="Book Antiqua"/>
          <w:i/>
          <w:iCs/>
          <w:lang w:val="es-ES_tradnl"/>
        </w:rPr>
        <w:t>el proveedor de servicios o agente debe realizar; y</w:t>
      </w:r>
    </w:p>
    <w:p w14:paraId="2CF35B0C" w14:textId="6905F29F" w:rsidR="000A194F" w:rsidRDefault="000A194F" w:rsidP="001E08E4">
      <w:pPr>
        <w:spacing w:line="480" w:lineRule="auto"/>
        <w:ind w:left="2520" w:hanging="360"/>
        <w:jc w:val="both"/>
        <w:rPr>
          <w:rFonts w:ascii="Book Antiqua" w:hAnsi="Book Antiqua"/>
          <w:i/>
          <w:iCs/>
          <w:lang w:val="es-ES_tradnl"/>
        </w:rPr>
      </w:pPr>
      <w:r w:rsidRPr="00A8140A">
        <w:rPr>
          <w:rFonts w:ascii="Book Antiqua" w:hAnsi="Book Antiqua"/>
          <w:i/>
          <w:iCs/>
          <w:lang w:val="es-ES_tradnl"/>
        </w:rPr>
        <w:t>ii</w:t>
      </w:r>
      <w:r>
        <w:rPr>
          <w:rFonts w:ascii="Book Antiqua" w:hAnsi="Book Antiqua"/>
          <w:i/>
          <w:iCs/>
          <w:lang w:val="es-ES_tradnl"/>
        </w:rPr>
        <w:t>.</w:t>
      </w:r>
      <w:r w:rsidRPr="00A8140A">
        <w:rPr>
          <w:rFonts w:ascii="Book Antiqua" w:hAnsi="Book Antiqua"/>
          <w:i/>
          <w:iCs/>
          <w:lang w:val="es-ES_tradnl"/>
        </w:rPr>
        <w:t xml:space="preserve"> </w:t>
      </w:r>
      <w:r>
        <w:rPr>
          <w:rFonts w:ascii="Book Antiqua" w:hAnsi="Book Antiqua"/>
          <w:i/>
          <w:iCs/>
          <w:lang w:val="es-ES_tradnl"/>
        </w:rPr>
        <w:tab/>
      </w:r>
      <w:r w:rsidR="001E08E4">
        <w:rPr>
          <w:rFonts w:ascii="Book Antiqua" w:hAnsi="Book Antiqua"/>
          <w:i/>
          <w:iCs/>
          <w:lang w:val="es-ES_tradnl"/>
        </w:rPr>
        <w:t xml:space="preserve">la </w:t>
      </w:r>
      <w:r w:rsidR="001E08E4" w:rsidRPr="001E08E4">
        <w:rPr>
          <w:rFonts w:ascii="Book Antiqua" w:hAnsi="Book Antiqua"/>
          <w:i/>
          <w:iCs/>
          <w:lang w:val="es-ES_tradnl"/>
        </w:rPr>
        <w:t>entidad exenta asume todo el riesgo de pérdida y toda</w:t>
      </w:r>
      <w:r w:rsidR="001E08E4">
        <w:rPr>
          <w:rFonts w:ascii="Book Antiqua" w:hAnsi="Book Antiqua"/>
          <w:i/>
          <w:iCs/>
          <w:lang w:val="es-ES_tradnl"/>
        </w:rPr>
        <w:t xml:space="preserve"> </w:t>
      </w:r>
      <w:r w:rsidR="001E08E4" w:rsidRPr="001E08E4">
        <w:rPr>
          <w:rFonts w:ascii="Book Antiqua" w:hAnsi="Book Antiqua"/>
          <w:i/>
          <w:iCs/>
          <w:lang w:val="es-ES_tradnl"/>
        </w:rPr>
        <w:t>responsabilidad legal por cumplir las obligaciones de transmisión de</w:t>
      </w:r>
      <w:r w:rsidR="001E08E4">
        <w:rPr>
          <w:rFonts w:ascii="Book Antiqua" w:hAnsi="Book Antiqua"/>
          <w:i/>
          <w:iCs/>
          <w:lang w:val="es-ES_tradnl"/>
        </w:rPr>
        <w:t xml:space="preserve"> </w:t>
      </w:r>
      <w:r w:rsidR="001E08E4" w:rsidRPr="001E08E4">
        <w:rPr>
          <w:rFonts w:ascii="Book Antiqua" w:hAnsi="Book Antiqua"/>
          <w:i/>
          <w:iCs/>
          <w:lang w:val="es-ES_tradnl"/>
        </w:rPr>
        <w:t>dinero pendientes adeudadas a los compradores y titulares de las</w:t>
      </w:r>
      <w:r w:rsidR="001E08E4">
        <w:rPr>
          <w:rFonts w:ascii="Book Antiqua" w:hAnsi="Book Antiqua"/>
          <w:i/>
          <w:iCs/>
          <w:lang w:val="es-ES_tradnl"/>
        </w:rPr>
        <w:t xml:space="preserve"> </w:t>
      </w:r>
      <w:r w:rsidR="001E08E4" w:rsidRPr="001E08E4">
        <w:rPr>
          <w:rFonts w:ascii="Book Antiqua" w:hAnsi="Book Antiqua"/>
          <w:i/>
          <w:iCs/>
          <w:lang w:val="es-ES_tradnl"/>
        </w:rPr>
        <w:t>obligaciones de transmisión de dinero pendientes al recibir el dinero o</w:t>
      </w:r>
      <w:r w:rsidR="001E08E4">
        <w:rPr>
          <w:rFonts w:ascii="Book Antiqua" w:hAnsi="Book Antiqua"/>
          <w:i/>
          <w:iCs/>
          <w:lang w:val="es-ES_tradnl"/>
        </w:rPr>
        <w:t xml:space="preserve"> </w:t>
      </w:r>
      <w:r w:rsidR="001E08E4" w:rsidRPr="001E08E4">
        <w:rPr>
          <w:rFonts w:ascii="Book Antiqua" w:hAnsi="Book Antiqua"/>
          <w:i/>
          <w:iCs/>
          <w:lang w:val="es-ES_tradnl"/>
        </w:rPr>
        <w:t>el valor monetario del comprador o titular por parte del proveedor de</w:t>
      </w:r>
      <w:r w:rsidR="001E08E4">
        <w:rPr>
          <w:rFonts w:ascii="Book Antiqua" w:hAnsi="Book Antiqua"/>
          <w:i/>
          <w:iCs/>
          <w:lang w:val="es-ES_tradnl"/>
        </w:rPr>
        <w:t xml:space="preserve"> </w:t>
      </w:r>
      <w:r w:rsidR="001E08E4" w:rsidRPr="001E08E4">
        <w:rPr>
          <w:rFonts w:ascii="Book Antiqua" w:hAnsi="Book Antiqua"/>
          <w:i/>
          <w:iCs/>
          <w:lang w:val="es-ES_tradnl"/>
        </w:rPr>
        <w:t>servicios o agente.</w:t>
      </w:r>
    </w:p>
    <w:p w14:paraId="75AED07F" w14:textId="02BD6626" w:rsidR="000A194F" w:rsidRDefault="000C7941" w:rsidP="00304D7B">
      <w:pPr>
        <w:spacing w:line="480" w:lineRule="auto"/>
        <w:ind w:left="720" w:firstLine="720"/>
        <w:jc w:val="both"/>
        <w:rPr>
          <w:rFonts w:ascii="Book Antiqua" w:hAnsi="Book Antiqua"/>
          <w:i/>
          <w:iCs/>
          <w:lang w:val="es-ES_tradnl"/>
        </w:rPr>
      </w:pPr>
      <w:r>
        <w:rPr>
          <w:rFonts w:ascii="Book Antiqua" w:hAnsi="Book Antiqua"/>
          <w:i/>
          <w:iCs/>
          <w:lang w:val="es-ES_tradnl"/>
        </w:rPr>
        <w:lastRenderedPageBreak/>
        <w:t>6</w:t>
      </w:r>
      <w:r w:rsidR="001E08E4">
        <w:rPr>
          <w:rFonts w:ascii="Book Antiqua" w:hAnsi="Book Antiqua"/>
          <w:i/>
          <w:iCs/>
          <w:lang w:val="es-ES_tradnl"/>
        </w:rPr>
        <w:t xml:space="preserve">) </w:t>
      </w:r>
      <w:r w:rsidR="00304D7B" w:rsidRPr="00304D7B">
        <w:rPr>
          <w:rFonts w:ascii="Book Antiqua" w:hAnsi="Book Antiqua"/>
          <w:i/>
          <w:iCs/>
          <w:lang w:val="es-ES_tradnl"/>
        </w:rPr>
        <w:t>Una persona exenta por la regulación si el Comisionado considera que dicha</w:t>
      </w:r>
      <w:r w:rsidR="00304D7B">
        <w:rPr>
          <w:rFonts w:ascii="Book Antiqua" w:hAnsi="Book Antiqua"/>
          <w:i/>
          <w:iCs/>
          <w:lang w:val="es-ES_tradnl"/>
        </w:rPr>
        <w:t xml:space="preserve"> </w:t>
      </w:r>
      <w:r w:rsidR="00304D7B" w:rsidRPr="00304D7B">
        <w:rPr>
          <w:rFonts w:ascii="Book Antiqua" w:hAnsi="Book Antiqua"/>
          <w:i/>
          <w:iCs/>
          <w:lang w:val="es-ES_tradnl"/>
        </w:rPr>
        <w:t>exención es de interés público y que la regulación de dicha persona no es</w:t>
      </w:r>
      <w:r w:rsidR="00304D7B">
        <w:rPr>
          <w:rFonts w:ascii="Book Antiqua" w:hAnsi="Book Antiqua"/>
          <w:i/>
          <w:iCs/>
          <w:lang w:val="es-ES_tradnl"/>
        </w:rPr>
        <w:t xml:space="preserve"> </w:t>
      </w:r>
      <w:r w:rsidR="00304D7B" w:rsidRPr="00304D7B">
        <w:rPr>
          <w:rFonts w:ascii="Book Antiqua" w:hAnsi="Book Antiqua"/>
          <w:i/>
          <w:iCs/>
          <w:lang w:val="es-ES_tradnl"/>
        </w:rPr>
        <w:t>necesaria para los fines de esta Ley.</w:t>
      </w:r>
    </w:p>
    <w:p w14:paraId="6B4196C3" w14:textId="0FF93866" w:rsidR="00A579A5" w:rsidRDefault="00A579A5" w:rsidP="00A56024">
      <w:pPr>
        <w:spacing w:line="480" w:lineRule="auto"/>
        <w:jc w:val="both"/>
        <w:rPr>
          <w:rFonts w:ascii="Book Antiqua" w:hAnsi="Book Antiqua"/>
          <w:i/>
          <w:iCs/>
          <w:lang w:val="es-ES_tradnl"/>
        </w:rPr>
      </w:pPr>
      <w:r>
        <w:rPr>
          <w:rFonts w:ascii="Book Antiqua" w:hAnsi="Book Antiqua"/>
          <w:i/>
          <w:iCs/>
          <w:lang w:val="es-ES_tradnl"/>
        </w:rPr>
        <w:tab/>
        <w:t>c)</w:t>
      </w:r>
      <w:r w:rsidR="009F18FC">
        <w:rPr>
          <w:rFonts w:ascii="Book Antiqua" w:hAnsi="Book Antiqua"/>
          <w:i/>
          <w:iCs/>
          <w:lang w:val="es-ES_tradnl"/>
        </w:rPr>
        <w:t xml:space="preserve"> </w:t>
      </w:r>
      <w:r w:rsidR="00A56024" w:rsidRPr="00A56024">
        <w:rPr>
          <w:rFonts w:ascii="Book Antiqua" w:hAnsi="Book Antiqua"/>
          <w:i/>
          <w:iCs/>
          <w:lang w:val="es-ES_tradnl"/>
        </w:rPr>
        <w:t>Para calificar para las exenciones (4) y (5) del Artículo 1.3 (b), el negocio de</w:t>
      </w:r>
      <w:r w:rsidR="00A56024">
        <w:rPr>
          <w:rFonts w:ascii="Book Antiqua" w:hAnsi="Book Antiqua"/>
          <w:i/>
          <w:iCs/>
          <w:lang w:val="es-ES_tradnl"/>
        </w:rPr>
        <w:t xml:space="preserve"> </w:t>
      </w:r>
      <w:r w:rsidR="00A56024" w:rsidRPr="00A56024">
        <w:rPr>
          <w:rFonts w:ascii="Book Antiqua" w:hAnsi="Book Antiqua"/>
          <w:i/>
          <w:iCs/>
          <w:lang w:val="es-ES_tradnl"/>
        </w:rPr>
        <w:t>transmisión de dinero y/o un negocio de cambio de cheques debe notificar al</w:t>
      </w:r>
      <w:r w:rsidR="00A56024">
        <w:rPr>
          <w:rFonts w:ascii="Book Antiqua" w:hAnsi="Book Antiqua"/>
          <w:i/>
          <w:iCs/>
          <w:lang w:val="es-ES_tradnl"/>
        </w:rPr>
        <w:t xml:space="preserve"> </w:t>
      </w:r>
      <w:r w:rsidR="00A56024" w:rsidRPr="00A56024">
        <w:rPr>
          <w:rFonts w:ascii="Book Antiqua" w:hAnsi="Book Antiqua"/>
          <w:i/>
          <w:iCs/>
          <w:lang w:val="es-ES_tradnl"/>
        </w:rPr>
        <w:t>Comisionado que cumple con los siguientes requisitos, notificación a la que el</w:t>
      </w:r>
      <w:r w:rsidR="00A56024">
        <w:rPr>
          <w:rFonts w:ascii="Book Antiqua" w:hAnsi="Book Antiqua"/>
          <w:i/>
          <w:iCs/>
          <w:lang w:val="es-ES_tradnl"/>
        </w:rPr>
        <w:t xml:space="preserve"> </w:t>
      </w:r>
      <w:r w:rsidR="00A56024" w:rsidRPr="00A56024">
        <w:rPr>
          <w:rFonts w:ascii="Book Antiqua" w:hAnsi="Book Antiqua"/>
          <w:i/>
          <w:iCs/>
          <w:lang w:val="es-ES_tradnl"/>
        </w:rPr>
        <w:tab/>
        <w:t>Comisionado tiene la autoridad para objetar:</w:t>
      </w:r>
    </w:p>
    <w:p w14:paraId="3C3EB57F" w14:textId="3A17FAFC" w:rsidR="00A56024" w:rsidRDefault="00BA7FA4" w:rsidP="0072021A">
      <w:pPr>
        <w:spacing w:line="480" w:lineRule="auto"/>
        <w:ind w:left="720" w:firstLine="720"/>
        <w:jc w:val="both"/>
        <w:rPr>
          <w:rFonts w:ascii="Book Antiqua" w:hAnsi="Book Antiqua"/>
          <w:i/>
          <w:iCs/>
          <w:lang w:val="es-ES_tradnl"/>
        </w:rPr>
      </w:pPr>
      <w:r>
        <w:rPr>
          <w:rFonts w:ascii="Book Antiqua" w:hAnsi="Book Antiqua"/>
          <w:i/>
          <w:iCs/>
          <w:lang w:val="es-ES_tradnl"/>
        </w:rPr>
        <w:t xml:space="preserve">1) </w:t>
      </w:r>
      <w:r w:rsidR="004654DA" w:rsidRPr="004654DA">
        <w:rPr>
          <w:rFonts w:ascii="Book Antiqua" w:hAnsi="Book Antiqua"/>
          <w:i/>
          <w:iCs/>
          <w:lang w:val="es-ES_tradnl"/>
        </w:rPr>
        <w:t>Capital de los accionistas por un monto de $ 100 millones de dólares que puede</w:t>
      </w:r>
      <w:r w:rsidR="004654DA">
        <w:rPr>
          <w:rFonts w:ascii="Book Antiqua" w:hAnsi="Book Antiqua"/>
          <w:i/>
          <w:iCs/>
          <w:lang w:val="es-ES_tradnl"/>
        </w:rPr>
        <w:t xml:space="preserve"> </w:t>
      </w:r>
      <w:r w:rsidR="004654DA" w:rsidRPr="004654DA">
        <w:rPr>
          <w:rFonts w:ascii="Book Antiqua" w:hAnsi="Book Antiqua"/>
          <w:i/>
          <w:iCs/>
          <w:lang w:val="es-ES_tradnl"/>
        </w:rPr>
        <w:t>calcularse para incluir también el de las filiales y / o subsidiarias directas e</w:t>
      </w:r>
      <w:r w:rsidR="004654DA">
        <w:rPr>
          <w:rFonts w:ascii="Book Antiqua" w:hAnsi="Book Antiqua"/>
          <w:i/>
          <w:iCs/>
          <w:lang w:val="es-ES_tradnl"/>
        </w:rPr>
        <w:t xml:space="preserve"> </w:t>
      </w:r>
      <w:r w:rsidR="004654DA" w:rsidRPr="004654DA">
        <w:rPr>
          <w:rFonts w:ascii="Book Antiqua" w:hAnsi="Book Antiqua"/>
          <w:i/>
          <w:iCs/>
          <w:lang w:val="es-ES_tradnl"/>
        </w:rPr>
        <w:t>indirectas de propiedad total de la empresa;</w:t>
      </w:r>
    </w:p>
    <w:p w14:paraId="492EB5F1" w14:textId="016F930C" w:rsidR="00CD4614" w:rsidRDefault="00CD4614" w:rsidP="0072021A">
      <w:pPr>
        <w:spacing w:line="480" w:lineRule="auto"/>
        <w:ind w:left="720" w:firstLine="720"/>
        <w:jc w:val="both"/>
        <w:rPr>
          <w:rFonts w:ascii="Book Antiqua" w:hAnsi="Book Antiqua"/>
          <w:i/>
          <w:iCs/>
          <w:lang w:val="es-ES_tradnl"/>
        </w:rPr>
      </w:pPr>
      <w:r>
        <w:rPr>
          <w:rFonts w:ascii="Book Antiqua" w:hAnsi="Book Antiqua"/>
          <w:i/>
          <w:iCs/>
          <w:lang w:val="es-ES_tradnl"/>
        </w:rPr>
        <w:t xml:space="preserve">2) 5,000 o </w:t>
      </w:r>
      <w:r w:rsidR="0050360A">
        <w:rPr>
          <w:rFonts w:ascii="Book Antiqua" w:hAnsi="Book Antiqua"/>
          <w:i/>
          <w:iCs/>
          <w:lang w:val="es-ES_tradnl"/>
        </w:rPr>
        <w:t>más</w:t>
      </w:r>
      <w:r>
        <w:rPr>
          <w:rFonts w:ascii="Book Antiqua" w:hAnsi="Book Antiqua"/>
          <w:i/>
          <w:iCs/>
          <w:lang w:val="es-ES_tradnl"/>
        </w:rPr>
        <w:t xml:space="preserve"> empleados que pueden calcularse para incluir también a los empleados de las filiales</w:t>
      </w:r>
      <w:r w:rsidR="006347E6">
        <w:rPr>
          <w:rFonts w:ascii="Book Antiqua" w:hAnsi="Book Antiqua"/>
          <w:i/>
          <w:iCs/>
          <w:lang w:val="es-ES_tradnl"/>
        </w:rPr>
        <w:t xml:space="preserve"> y/o subsidiarias de la empresa</w:t>
      </w:r>
      <w:r w:rsidR="008A6D5F">
        <w:rPr>
          <w:rFonts w:ascii="Book Antiqua" w:hAnsi="Book Antiqua"/>
          <w:i/>
          <w:iCs/>
          <w:lang w:val="es-ES_tradnl"/>
        </w:rPr>
        <w:t>;</w:t>
      </w:r>
    </w:p>
    <w:p w14:paraId="32B7B6CB" w14:textId="333FE784" w:rsidR="008A6D5F" w:rsidRDefault="008A6D5F" w:rsidP="0072021A">
      <w:pPr>
        <w:spacing w:line="480" w:lineRule="auto"/>
        <w:ind w:left="720" w:firstLine="720"/>
        <w:jc w:val="both"/>
        <w:rPr>
          <w:rFonts w:ascii="Book Antiqua" w:hAnsi="Book Antiqua"/>
          <w:i/>
          <w:iCs/>
          <w:lang w:val="es-ES_tradnl"/>
        </w:rPr>
      </w:pPr>
      <w:r>
        <w:rPr>
          <w:rFonts w:ascii="Book Antiqua" w:hAnsi="Book Antiqua"/>
          <w:i/>
          <w:iCs/>
          <w:lang w:val="es-ES_tradnl"/>
        </w:rPr>
        <w:t>3) Un Oficial de Cumplimiento designado;</w:t>
      </w:r>
    </w:p>
    <w:p w14:paraId="253573C9" w14:textId="3CE2ECC3" w:rsidR="008A6D5F" w:rsidRDefault="008A6D5F" w:rsidP="0072021A">
      <w:pPr>
        <w:spacing w:line="480" w:lineRule="auto"/>
        <w:ind w:left="720" w:firstLine="720"/>
        <w:jc w:val="both"/>
        <w:rPr>
          <w:rFonts w:ascii="Book Antiqua" w:hAnsi="Book Antiqua"/>
          <w:i/>
          <w:iCs/>
          <w:lang w:val="es-ES_tradnl"/>
        </w:rPr>
      </w:pPr>
      <w:r>
        <w:rPr>
          <w:rFonts w:ascii="Book Antiqua" w:hAnsi="Book Antiqua"/>
          <w:i/>
          <w:iCs/>
          <w:lang w:val="es-ES_tradnl"/>
        </w:rPr>
        <w:t>4) Una organización de cumplimiento acorde con el tamaño y la com</w:t>
      </w:r>
      <w:r w:rsidR="0050360A">
        <w:rPr>
          <w:rFonts w:ascii="Book Antiqua" w:hAnsi="Book Antiqua"/>
          <w:i/>
          <w:iCs/>
          <w:lang w:val="es-ES_tradnl"/>
        </w:rPr>
        <w:t>plejidad del negocio; y</w:t>
      </w:r>
    </w:p>
    <w:p w14:paraId="0D92B6DB" w14:textId="7605DCC8" w:rsidR="0050360A" w:rsidRDefault="0050360A" w:rsidP="0072021A">
      <w:pPr>
        <w:spacing w:line="480" w:lineRule="auto"/>
        <w:ind w:left="720" w:firstLine="720"/>
        <w:jc w:val="both"/>
        <w:rPr>
          <w:rFonts w:ascii="Book Antiqua" w:hAnsi="Book Antiqua"/>
          <w:i/>
          <w:iCs/>
          <w:lang w:val="es-ES_tradnl"/>
        </w:rPr>
      </w:pPr>
      <w:r>
        <w:rPr>
          <w:rFonts w:ascii="Book Antiqua" w:hAnsi="Book Antiqua"/>
          <w:i/>
          <w:iCs/>
          <w:lang w:val="es-ES_tradnl"/>
        </w:rPr>
        <w:t>5) Proporciona servicios de transmisión de dinero y/o cambio de cheques a clientes que no son personas físicas.</w:t>
      </w:r>
    </w:p>
    <w:p w14:paraId="1931F8F1" w14:textId="14578AC4" w:rsidR="0050360A" w:rsidRPr="00461F5D" w:rsidRDefault="00461F5D" w:rsidP="0050360A">
      <w:pPr>
        <w:spacing w:line="480" w:lineRule="auto"/>
        <w:jc w:val="both"/>
        <w:rPr>
          <w:rFonts w:ascii="Book Antiqua" w:hAnsi="Book Antiqua"/>
          <w:i/>
          <w:iCs/>
          <w:lang w:val="es-ES_tradnl"/>
        </w:rPr>
      </w:pPr>
      <w:r>
        <w:rPr>
          <w:rFonts w:ascii="Book Antiqua" w:hAnsi="Book Antiqua"/>
          <w:i/>
          <w:iCs/>
          <w:lang w:val="es-ES_tradnl"/>
        </w:rPr>
        <w:tab/>
      </w:r>
      <w:r>
        <w:rPr>
          <w:rFonts w:ascii="Book Antiqua" w:hAnsi="Book Antiqua"/>
          <w:b/>
          <w:bCs/>
          <w:lang w:val="es-ES_tradnl"/>
        </w:rPr>
        <w:t xml:space="preserve">[c] </w:t>
      </w:r>
      <w:r>
        <w:rPr>
          <w:rFonts w:ascii="Book Antiqua" w:hAnsi="Book Antiqua"/>
          <w:i/>
          <w:iCs/>
          <w:lang w:val="es-ES_tradnl"/>
        </w:rPr>
        <w:t xml:space="preserve">d) </w:t>
      </w:r>
      <w:r w:rsidR="00D0091E" w:rsidRPr="00D0091E">
        <w:rPr>
          <w:rFonts w:ascii="Book Antiqua" w:hAnsi="Book Antiqua"/>
          <w:lang w:val="es-ES_tradnl"/>
        </w:rPr>
        <w:t>. . . “</w:t>
      </w:r>
    </w:p>
    <w:p w14:paraId="7B170990" w14:textId="64B12D76" w:rsidR="00E32387" w:rsidRPr="00E32387" w:rsidRDefault="00BB2634" w:rsidP="00E32387">
      <w:pPr>
        <w:spacing w:line="480" w:lineRule="auto"/>
        <w:ind w:firstLine="720"/>
        <w:jc w:val="both"/>
        <w:rPr>
          <w:rFonts w:ascii="Book Antiqua" w:hAnsi="Book Antiqua"/>
          <w:lang w:val="es-PR"/>
        </w:rPr>
      </w:pPr>
      <w:r w:rsidRPr="00581E7A">
        <w:rPr>
          <w:rFonts w:ascii="Book Antiqua" w:hAnsi="Book Antiqua"/>
          <w:lang w:val="es-PR"/>
        </w:rPr>
        <w:t xml:space="preserve">Sección </w:t>
      </w:r>
      <w:r w:rsidR="00E84771">
        <w:rPr>
          <w:rFonts w:ascii="Book Antiqua" w:hAnsi="Book Antiqua"/>
          <w:lang w:val="es-PR"/>
        </w:rPr>
        <w:t>2</w:t>
      </w:r>
      <w:r w:rsidRPr="00581E7A">
        <w:rPr>
          <w:rFonts w:ascii="Book Antiqua" w:hAnsi="Book Antiqua"/>
          <w:lang w:val="es-PR"/>
        </w:rPr>
        <w:t xml:space="preserve">.- </w:t>
      </w:r>
      <w:r w:rsidR="00A76D3E">
        <w:rPr>
          <w:rFonts w:ascii="Book Antiqua" w:hAnsi="Book Antiqua"/>
          <w:lang w:val="es-PR"/>
        </w:rPr>
        <w:t>Separabilidad</w:t>
      </w:r>
      <w:r w:rsidR="00E32387">
        <w:rPr>
          <w:rFonts w:ascii="Book Antiqua" w:hAnsi="Book Antiqua"/>
          <w:lang w:val="es-PR"/>
        </w:rPr>
        <w:t>.</w:t>
      </w:r>
    </w:p>
    <w:p w14:paraId="6E259CF4" w14:textId="3DD6D039" w:rsidR="00E32387" w:rsidRDefault="00E32387" w:rsidP="00E32387">
      <w:pPr>
        <w:spacing w:line="480" w:lineRule="auto"/>
        <w:ind w:firstLine="720"/>
        <w:jc w:val="both"/>
        <w:rPr>
          <w:rFonts w:ascii="Book Antiqua" w:hAnsi="Book Antiqua"/>
          <w:lang w:val="es-PR"/>
        </w:rPr>
      </w:pPr>
      <w:r w:rsidRPr="00E32387">
        <w:rPr>
          <w:rFonts w:ascii="Book Antiqua" w:hAnsi="Book Antiqua"/>
          <w:lang w:val="es-ES_tradnl"/>
        </w:rPr>
        <w:t xml:space="preserve">Si cualquier artículo, cláusula, párrafo, o parte de esta Ley fuera anulada o declarada inconstitucional, la resolución, dictamen o sentencia a tal efecto dictada no afectará, perjudicará, ni invalidará el remanente de esta Ley. El efecto de dicha sentencia quedará limitado al artículo, cláusula, párrafo, o parte de esta Ley que así hubiere sido </w:t>
      </w:r>
      <w:r w:rsidRPr="00E32387">
        <w:rPr>
          <w:rFonts w:ascii="Book Antiqua" w:hAnsi="Book Antiqua"/>
          <w:lang w:val="es-ES_tradnl"/>
        </w:rPr>
        <w:lastRenderedPageBreak/>
        <w:t>anulada o declarada inconstitucional. Si la aplicación a una persona o a una circunstancia de cualquier artículo, cláusula, párrafo, o parte de esta Ley fuera invalidada o declarada inconstitucional, la resolución, dictamen o sentencia a tal efecto dictada no afectará ni invalidará la aplicación del remanente de esta Ley a aquellas personas o circunstancias en que ésta se pueda aplicar válidamente.</w:t>
      </w:r>
    </w:p>
    <w:p w14:paraId="4E695D5A" w14:textId="77777777" w:rsidR="00E32387" w:rsidRDefault="00B57F17" w:rsidP="00044FF5">
      <w:pPr>
        <w:spacing w:line="480" w:lineRule="auto"/>
        <w:ind w:firstLine="720"/>
        <w:jc w:val="both"/>
        <w:rPr>
          <w:rFonts w:ascii="Book Antiqua" w:hAnsi="Book Antiqua"/>
          <w:lang w:val="es-PR"/>
        </w:rPr>
      </w:pPr>
      <w:r w:rsidRPr="00581E7A">
        <w:rPr>
          <w:rFonts w:ascii="Book Antiqua" w:hAnsi="Book Antiqua"/>
          <w:lang w:val="es-PR"/>
        </w:rPr>
        <w:t xml:space="preserve">Sección </w:t>
      </w:r>
      <w:r w:rsidR="001F3A70">
        <w:rPr>
          <w:rFonts w:ascii="Book Antiqua" w:hAnsi="Book Antiqua"/>
          <w:lang w:val="es-PR"/>
        </w:rPr>
        <w:t>3</w:t>
      </w:r>
      <w:r w:rsidRPr="00581E7A">
        <w:rPr>
          <w:rFonts w:ascii="Book Antiqua" w:hAnsi="Book Antiqua"/>
          <w:lang w:val="es-PR"/>
        </w:rPr>
        <w:t>.-</w:t>
      </w:r>
      <w:r w:rsidRPr="00AB7973">
        <w:rPr>
          <w:rFonts w:ascii="Book Antiqua" w:hAnsi="Book Antiqua"/>
          <w:lang w:val="es-PR"/>
        </w:rPr>
        <w:t xml:space="preserve"> </w:t>
      </w:r>
      <w:r w:rsidR="00E32387">
        <w:rPr>
          <w:rFonts w:ascii="Book Antiqua" w:hAnsi="Book Antiqua"/>
          <w:lang w:val="es-PR"/>
        </w:rPr>
        <w:t>Vigencia.</w:t>
      </w:r>
    </w:p>
    <w:p w14:paraId="5E9A58B7" w14:textId="129188A3" w:rsidR="00B57F17" w:rsidRPr="00581E7A" w:rsidRDefault="00B57F17" w:rsidP="00044FF5">
      <w:pPr>
        <w:spacing w:line="480" w:lineRule="auto"/>
        <w:ind w:firstLine="720"/>
        <w:jc w:val="both"/>
        <w:rPr>
          <w:rFonts w:ascii="Book Antiqua" w:hAnsi="Book Antiqua"/>
          <w:lang w:val="es-PR"/>
        </w:rPr>
      </w:pPr>
      <w:r w:rsidRPr="00581E7A">
        <w:rPr>
          <w:rFonts w:ascii="Book Antiqua" w:hAnsi="Book Antiqua"/>
          <w:lang w:val="es-PR"/>
        </w:rPr>
        <w:t xml:space="preserve">Esta Ley </w:t>
      </w:r>
      <w:r>
        <w:rPr>
          <w:rFonts w:ascii="Book Antiqua" w:hAnsi="Book Antiqua"/>
          <w:lang w:val="es-PR"/>
        </w:rPr>
        <w:t xml:space="preserve">comenzará a regir </w:t>
      </w:r>
      <w:r w:rsidR="001F3A70">
        <w:rPr>
          <w:rFonts w:ascii="Book Antiqua" w:hAnsi="Book Antiqua"/>
          <w:lang w:val="es-PR"/>
        </w:rPr>
        <w:t xml:space="preserve">inmediatamente </w:t>
      </w:r>
      <w:r w:rsidR="002A0BA3">
        <w:rPr>
          <w:rFonts w:ascii="Book Antiqua" w:hAnsi="Book Antiqua"/>
          <w:lang w:val="es-PR"/>
        </w:rPr>
        <w:t>después</w:t>
      </w:r>
      <w:r w:rsidR="0001175F">
        <w:rPr>
          <w:rFonts w:ascii="Book Antiqua" w:hAnsi="Book Antiqua"/>
          <w:lang w:val="es-PR"/>
        </w:rPr>
        <w:t xml:space="preserve"> de </w:t>
      </w:r>
      <w:r w:rsidR="00FC46D2">
        <w:rPr>
          <w:rFonts w:ascii="Book Antiqua" w:hAnsi="Book Antiqua"/>
          <w:lang w:val="es-PR"/>
        </w:rPr>
        <w:t xml:space="preserve">su </w:t>
      </w:r>
      <w:r>
        <w:rPr>
          <w:rFonts w:ascii="Book Antiqua" w:hAnsi="Book Antiqua"/>
          <w:lang w:val="es-PR"/>
        </w:rPr>
        <w:t xml:space="preserve">aprobación. </w:t>
      </w:r>
      <w:r w:rsidRPr="00581E7A">
        <w:rPr>
          <w:rFonts w:ascii="Book Antiqua" w:hAnsi="Book Antiqua"/>
          <w:lang w:val="es-PR"/>
        </w:rPr>
        <w:t xml:space="preserve"> </w:t>
      </w:r>
    </w:p>
    <w:sectPr w:rsidR="00B57F17" w:rsidRPr="00581E7A" w:rsidSect="007F27E5">
      <w:headerReference w:type="even" r:id="rId10"/>
      <w:headerReference w:type="default" r:id="rId11"/>
      <w:footerReference w:type="default" r:id="rId12"/>
      <w:headerReference w:type="first" r:id="rId13"/>
      <w:type w:val="continuous"/>
      <w:pgSz w:w="12240" w:h="15840" w:code="1"/>
      <w:pgMar w:top="1440" w:right="994" w:bottom="1440" w:left="1757" w:header="720" w:footer="720" w:gutter="0"/>
      <w:lnNumType w:countBy="1" w:distance="216"/>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C74C3CC" w14:textId="77777777" w:rsidR="006137E3" w:rsidRDefault="006137E3">
      <w:r>
        <w:separator/>
      </w:r>
    </w:p>
  </w:endnote>
  <w:endnote w:type="continuationSeparator" w:id="0">
    <w:p w14:paraId="0412DABD" w14:textId="77777777" w:rsidR="006137E3" w:rsidRDefault="006137E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200247B" w:usb2="00000009" w:usb3="00000000" w:csb0="000001FF" w:csb1="00000000"/>
  </w:font>
  <w:font w:name="CG Times (W1)">
    <w:altName w:val="Times New Roman"/>
    <w:panose1 w:val="00000000000000000000"/>
    <w:charset w:val="00"/>
    <w:family w:val="roman"/>
    <w:notTrueType/>
    <w:pitch w:val="variable"/>
    <w:sig w:usb0="00000003" w:usb1="00000000" w:usb2="00000000" w:usb3="00000000" w:csb0="00000001" w:csb1="00000000"/>
  </w:font>
  <w:font w:name="Book Antiqua">
    <w:panose1 w:val="02040602050305030304"/>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C2AFEB" w14:textId="77777777" w:rsidR="00085A05" w:rsidRDefault="00085A0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9D94841" w14:textId="77777777" w:rsidR="006137E3" w:rsidRDefault="006137E3">
      <w:r>
        <w:separator/>
      </w:r>
    </w:p>
  </w:footnote>
  <w:footnote w:type="continuationSeparator" w:id="0">
    <w:p w14:paraId="6A36BA0B" w14:textId="77777777" w:rsidR="006137E3" w:rsidRDefault="006137E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2FEEF2F" w14:textId="77777777" w:rsidR="00F042CB" w:rsidRDefault="00F042CB">
    <w:pPr>
      <w:pStyle w:val="Header"/>
      <w:jc w:val="center"/>
    </w:pPr>
    <w:r>
      <w:rPr>
        <w:rStyle w:val="PageNumber"/>
      </w:rPr>
      <w:fldChar w:fldCharType="begin"/>
    </w:r>
    <w:r>
      <w:rPr>
        <w:rStyle w:val="PageNumber"/>
      </w:rPr>
      <w:instrText xml:space="preserve"> PAGE </w:instrText>
    </w:r>
    <w:r>
      <w:rPr>
        <w:rStyle w:val="PageNumber"/>
      </w:rPr>
      <w:fldChar w:fldCharType="separate"/>
    </w:r>
    <w:r w:rsidR="00C56DF3">
      <w:rPr>
        <w:rStyle w:val="PageNumber"/>
        <w:noProof/>
      </w:rPr>
      <w:t>2</w:t>
    </w:r>
    <w:r>
      <w:rPr>
        <w:rStyle w:val="PageNumber"/>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382E459" w14:textId="77777777" w:rsidR="00085A05" w:rsidRDefault="00085A05">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359287891"/>
      <w:docPartObj>
        <w:docPartGallery w:val="Page Numbers (Top of Page)"/>
        <w:docPartUnique/>
      </w:docPartObj>
    </w:sdtPr>
    <w:sdtEndPr>
      <w:rPr>
        <w:noProof/>
      </w:rPr>
    </w:sdtEndPr>
    <w:sdtContent>
      <w:p w14:paraId="376DF68B" w14:textId="77777777" w:rsidR="009E4238" w:rsidRDefault="009E4238">
        <w:pPr>
          <w:pStyle w:val="Header"/>
          <w:jc w:val="center"/>
        </w:pPr>
        <w:r>
          <w:fldChar w:fldCharType="begin"/>
        </w:r>
        <w:r>
          <w:instrText xml:space="preserve"> PAGE   \* MERGEFORMAT </w:instrText>
        </w:r>
        <w:r>
          <w:fldChar w:fldCharType="separate"/>
        </w:r>
        <w:r w:rsidR="00C56DF3">
          <w:rPr>
            <w:noProof/>
          </w:rPr>
          <w:t>3</w:t>
        </w:r>
        <w:r>
          <w:rPr>
            <w:noProof/>
          </w:rPr>
          <w:fldChar w:fldCharType="end"/>
        </w:r>
      </w:p>
    </w:sdtContent>
  </w:sdt>
  <w:p w14:paraId="10980F69" w14:textId="77777777" w:rsidR="00085A05" w:rsidRDefault="00085A05">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EF790A" w14:textId="77777777" w:rsidR="00085A05" w:rsidRDefault="00085A05">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63749B"/>
    <w:multiLevelType w:val="hybridMultilevel"/>
    <w:tmpl w:val="5B4871A2"/>
    <w:lvl w:ilvl="0" w:tplc="B97099F2">
      <w:start w:val="1"/>
      <w:numFmt w:val="lowerLetter"/>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13665FF2"/>
    <w:multiLevelType w:val="hybridMultilevel"/>
    <w:tmpl w:val="5B4871A2"/>
    <w:lvl w:ilvl="0" w:tplc="FFFFFFFF">
      <w:start w:val="1"/>
      <w:numFmt w:val="lowerLetter"/>
      <w:lvlText w:val="(%1)"/>
      <w:lvlJc w:val="left"/>
      <w:pPr>
        <w:ind w:left="1440" w:hanging="720"/>
      </w:pPr>
      <w:rPr>
        <w:rFonts w:hint="default"/>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2" w15:restartNumberingAfterBreak="0">
    <w:nsid w:val="268507D0"/>
    <w:multiLevelType w:val="multilevel"/>
    <w:tmpl w:val="B352F6A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3DCD24A1"/>
    <w:multiLevelType w:val="hybridMultilevel"/>
    <w:tmpl w:val="57140052"/>
    <w:lvl w:ilvl="0" w:tplc="89448852">
      <w:start w:val="1"/>
      <w:numFmt w:val="decimal"/>
      <w:lvlText w:val="%1-"/>
      <w:lvlJc w:val="left"/>
      <w:pPr>
        <w:ind w:left="1800" w:hanging="360"/>
      </w:pPr>
      <w:rPr>
        <w:rFonts w:hint="default"/>
        <w:color w:val="000000"/>
      </w:rPr>
    </w:lvl>
    <w:lvl w:ilvl="1" w:tplc="04090019">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4" w15:restartNumberingAfterBreak="0">
    <w:nsid w:val="4F4F5924"/>
    <w:multiLevelType w:val="hybridMultilevel"/>
    <w:tmpl w:val="FFBC7118"/>
    <w:lvl w:ilvl="0" w:tplc="1332A3E4">
      <w:start w:val="1"/>
      <w:numFmt w:val="decimal"/>
      <w:lvlText w:val="%1-"/>
      <w:lvlJc w:val="left"/>
      <w:pPr>
        <w:ind w:left="1800" w:hanging="360"/>
      </w:pPr>
      <w:rPr>
        <w:rFonts w:hint="default"/>
      </w:rPr>
    </w:lvl>
    <w:lvl w:ilvl="1" w:tplc="04090019">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5" w15:restartNumberingAfterBreak="0">
    <w:nsid w:val="6BA43928"/>
    <w:multiLevelType w:val="hybridMultilevel"/>
    <w:tmpl w:val="859E6FDC"/>
    <w:lvl w:ilvl="0" w:tplc="EC2837D0">
      <w:start w:val="1"/>
      <w:numFmt w:val="decimal"/>
      <w:lvlText w:val="(%1)"/>
      <w:lvlJc w:val="left"/>
      <w:pPr>
        <w:ind w:left="2160" w:hanging="72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num w:numId="1" w16cid:durableId="1816727045">
    <w:abstractNumId w:val="5"/>
  </w:num>
  <w:num w:numId="2" w16cid:durableId="773672056">
    <w:abstractNumId w:val="0"/>
  </w:num>
  <w:num w:numId="3" w16cid:durableId="1973556575">
    <w:abstractNumId w:val="4"/>
  </w:num>
  <w:num w:numId="4" w16cid:durableId="1731609359">
    <w:abstractNumId w:val="2"/>
  </w:num>
  <w:num w:numId="5" w16cid:durableId="573586211">
    <w:abstractNumId w:val="1"/>
  </w:num>
  <w:num w:numId="6" w16cid:durableId="101877708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AsambleaNum" w:val="1"/>
    <w:docVar w:name="AsambleaSup" w:val="ra"/>
    <w:docVar w:name="Direccion" w:val="addr1addr2San JuanPR00911"/>
    <w:docVar w:name="FallecimientoDe" w:val="Ramona Solís"/>
    <w:docVar w:name="Fecha" w:val="aaa"/>
    <w:docVar w:name="Mocion_A" w:val="Ricardo Ramos Solís"/>
    <w:docVar w:name="Senador_a1" w:val="El Senador"/>
    <w:docVar w:name="Senador_a2" w:val="Senador"/>
    <w:docVar w:name="Senator_a1" w:val="El Senador"/>
    <w:docVar w:name="Senator_a2" w:val="Senador"/>
    <w:docVar w:name="SesionNum" w:val="2"/>
    <w:docVar w:name="SesionSup" w:val="da"/>
    <w:docVar w:name="SesionTipo" w:val="Ordinaria"/>
  </w:docVars>
  <w:rsids>
    <w:rsidRoot w:val="0020620B"/>
    <w:rsid w:val="000010B7"/>
    <w:rsid w:val="000062D3"/>
    <w:rsid w:val="0001175F"/>
    <w:rsid w:val="000166B1"/>
    <w:rsid w:val="000170EC"/>
    <w:rsid w:val="00020BBB"/>
    <w:rsid w:val="00022A9A"/>
    <w:rsid w:val="000259B4"/>
    <w:rsid w:val="0003323E"/>
    <w:rsid w:val="00036C44"/>
    <w:rsid w:val="00037DAF"/>
    <w:rsid w:val="00043304"/>
    <w:rsid w:val="00044FF5"/>
    <w:rsid w:val="000503C5"/>
    <w:rsid w:val="000509D7"/>
    <w:rsid w:val="00052DFC"/>
    <w:rsid w:val="00053AC3"/>
    <w:rsid w:val="00053FB6"/>
    <w:rsid w:val="00054DB0"/>
    <w:rsid w:val="00056024"/>
    <w:rsid w:val="000632CE"/>
    <w:rsid w:val="00071810"/>
    <w:rsid w:val="0007422B"/>
    <w:rsid w:val="000752D8"/>
    <w:rsid w:val="00076C60"/>
    <w:rsid w:val="00077C81"/>
    <w:rsid w:val="00080B7B"/>
    <w:rsid w:val="000844FD"/>
    <w:rsid w:val="00084617"/>
    <w:rsid w:val="00085A05"/>
    <w:rsid w:val="00095AE1"/>
    <w:rsid w:val="000A194F"/>
    <w:rsid w:val="000A6B6C"/>
    <w:rsid w:val="000B0DBB"/>
    <w:rsid w:val="000B2426"/>
    <w:rsid w:val="000B2D74"/>
    <w:rsid w:val="000B5767"/>
    <w:rsid w:val="000C1E41"/>
    <w:rsid w:val="000C35CD"/>
    <w:rsid w:val="000C4E1E"/>
    <w:rsid w:val="000C593C"/>
    <w:rsid w:val="000C7941"/>
    <w:rsid w:val="000C7C9D"/>
    <w:rsid w:val="000D083F"/>
    <w:rsid w:val="000D24DB"/>
    <w:rsid w:val="000D395E"/>
    <w:rsid w:val="000D3C20"/>
    <w:rsid w:val="000D473B"/>
    <w:rsid w:val="000E5ABE"/>
    <w:rsid w:val="000E7390"/>
    <w:rsid w:val="000E73E2"/>
    <w:rsid w:val="000E7988"/>
    <w:rsid w:val="000F09E5"/>
    <w:rsid w:val="000F7AD1"/>
    <w:rsid w:val="0010205F"/>
    <w:rsid w:val="00102121"/>
    <w:rsid w:val="00106902"/>
    <w:rsid w:val="00111463"/>
    <w:rsid w:val="00111E71"/>
    <w:rsid w:val="00120D42"/>
    <w:rsid w:val="0012430E"/>
    <w:rsid w:val="00126D37"/>
    <w:rsid w:val="00126E84"/>
    <w:rsid w:val="00127C6A"/>
    <w:rsid w:val="001344C9"/>
    <w:rsid w:val="001363FE"/>
    <w:rsid w:val="00143DE4"/>
    <w:rsid w:val="0014723E"/>
    <w:rsid w:val="00150CA0"/>
    <w:rsid w:val="00151A15"/>
    <w:rsid w:val="00152D73"/>
    <w:rsid w:val="001533DC"/>
    <w:rsid w:val="00157AB2"/>
    <w:rsid w:val="00165169"/>
    <w:rsid w:val="001654DA"/>
    <w:rsid w:val="00165664"/>
    <w:rsid w:val="00167E78"/>
    <w:rsid w:val="0017132B"/>
    <w:rsid w:val="00172162"/>
    <w:rsid w:val="00173C4B"/>
    <w:rsid w:val="0017501F"/>
    <w:rsid w:val="00175C96"/>
    <w:rsid w:val="001827FA"/>
    <w:rsid w:val="001915CF"/>
    <w:rsid w:val="001977E2"/>
    <w:rsid w:val="001A4074"/>
    <w:rsid w:val="001A6374"/>
    <w:rsid w:val="001B148C"/>
    <w:rsid w:val="001B1839"/>
    <w:rsid w:val="001B1916"/>
    <w:rsid w:val="001B7615"/>
    <w:rsid w:val="001C1670"/>
    <w:rsid w:val="001C17A6"/>
    <w:rsid w:val="001C2CE4"/>
    <w:rsid w:val="001C5A7B"/>
    <w:rsid w:val="001D036A"/>
    <w:rsid w:val="001D433C"/>
    <w:rsid w:val="001D6CDA"/>
    <w:rsid w:val="001E08E4"/>
    <w:rsid w:val="001E2E37"/>
    <w:rsid w:val="001F3843"/>
    <w:rsid w:val="001F3A70"/>
    <w:rsid w:val="001F445A"/>
    <w:rsid w:val="001F4C19"/>
    <w:rsid w:val="001F4CA3"/>
    <w:rsid w:val="001F612A"/>
    <w:rsid w:val="001F6D3E"/>
    <w:rsid w:val="001F6E41"/>
    <w:rsid w:val="001F7F65"/>
    <w:rsid w:val="002047FD"/>
    <w:rsid w:val="00204FCC"/>
    <w:rsid w:val="0020620B"/>
    <w:rsid w:val="0021129D"/>
    <w:rsid w:val="00211396"/>
    <w:rsid w:val="00211744"/>
    <w:rsid w:val="00222386"/>
    <w:rsid w:val="00226AE6"/>
    <w:rsid w:val="0022708D"/>
    <w:rsid w:val="0024077E"/>
    <w:rsid w:val="0024472E"/>
    <w:rsid w:val="002452F7"/>
    <w:rsid w:val="00245B34"/>
    <w:rsid w:val="00247288"/>
    <w:rsid w:val="00247363"/>
    <w:rsid w:val="00250084"/>
    <w:rsid w:val="00254468"/>
    <w:rsid w:val="00256DB3"/>
    <w:rsid w:val="00262B65"/>
    <w:rsid w:val="00263355"/>
    <w:rsid w:val="002646EF"/>
    <w:rsid w:val="0026495C"/>
    <w:rsid w:val="00270752"/>
    <w:rsid w:val="00273792"/>
    <w:rsid w:val="00277EDC"/>
    <w:rsid w:val="0028006E"/>
    <w:rsid w:val="00284DA1"/>
    <w:rsid w:val="002901EB"/>
    <w:rsid w:val="00291B98"/>
    <w:rsid w:val="002935AD"/>
    <w:rsid w:val="00296D2C"/>
    <w:rsid w:val="002A0BA3"/>
    <w:rsid w:val="002A2CCE"/>
    <w:rsid w:val="002A2E0B"/>
    <w:rsid w:val="002A3880"/>
    <w:rsid w:val="002A3F8E"/>
    <w:rsid w:val="002A7508"/>
    <w:rsid w:val="002B043F"/>
    <w:rsid w:val="002B15F2"/>
    <w:rsid w:val="002B42D8"/>
    <w:rsid w:val="002B56DB"/>
    <w:rsid w:val="002B6257"/>
    <w:rsid w:val="002C0519"/>
    <w:rsid w:val="002C4F4D"/>
    <w:rsid w:val="002C612B"/>
    <w:rsid w:val="002C67D9"/>
    <w:rsid w:val="002C6978"/>
    <w:rsid w:val="002D2C58"/>
    <w:rsid w:val="002D3921"/>
    <w:rsid w:val="002D4988"/>
    <w:rsid w:val="002D4AC8"/>
    <w:rsid w:val="002D643E"/>
    <w:rsid w:val="002E4D51"/>
    <w:rsid w:val="002E536F"/>
    <w:rsid w:val="002E7D7A"/>
    <w:rsid w:val="002F0E05"/>
    <w:rsid w:val="002F18F3"/>
    <w:rsid w:val="002F4F31"/>
    <w:rsid w:val="002F689F"/>
    <w:rsid w:val="002F7BD6"/>
    <w:rsid w:val="0030014E"/>
    <w:rsid w:val="00302B68"/>
    <w:rsid w:val="00304D7B"/>
    <w:rsid w:val="00307967"/>
    <w:rsid w:val="00313FB8"/>
    <w:rsid w:val="00320D78"/>
    <w:rsid w:val="00321126"/>
    <w:rsid w:val="0032799A"/>
    <w:rsid w:val="0033143E"/>
    <w:rsid w:val="003374BE"/>
    <w:rsid w:val="00345C71"/>
    <w:rsid w:val="00346B41"/>
    <w:rsid w:val="00350E1F"/>
    <w:rsid w:val="00365AA0"/>
    <w:rsid w:val="003669FB"/>
    <w:rsid w:val="00370147"/>
    <w:rsid w:val="0037593C"/>
    <w:rsid w:val="0037642A"/>
    <w:rsid w:val="003777E4"/>
    <w:rsid w:val="00380FE5"/>
    <w:rsid w:val="00384878"/>
    <w:rsid w:val="00386247"/>
    <w:rsid w:val="003924DD"/>
    <w:rsid w:val="003928A6"/>
    <w:rsid w:val="00394FCB"/>
    <w:rsid w:val="00395A9A"/>
    <w:rsid w:val="003963F4"/>
    <w:rsid w:val="003A45C5"/>
    <w:rsid w:val="003A7833"/>
    <w:rsid w:val="003B120A"/>
    <w:rsid w:val="003B4ED6"/>
    <w:rsid w:val="003B5254"/>
    <w:rsid w:val="003B75A6"/>
    <w:rsid w:val="003B7F6A"/>
    <w:rsid w:val="003C0ABF"/>
    <w:rsid w:val="003C465C"/>
    <w:rsid w:val="003C4FAF"/>
    <w:rsid w:val="003C511D"/>
    <w:rsid w:val="003C7A6E"/>
    <w:rsid w:val="003D56D7"/>
    <w:rsid w:val="003E3C9F"/>
    <w:rsid w:val="003E6CA5"/>
    <w:rsid w:val="003F0213"/>
    <w:rsid w:val="003F2216"/>
    <w:rsid w:val="003F708A"/>
    <w:rsid w:val="00401B07"/>
    <w:rsid w:val="00403918"/>
    <w:rsid w:val="00405E93"/>
    <w:rsid w:val="004061CA"/>
    <w:rsid w:val="0040671F"/>
    <w:rsid w:val="004123E9"/>
    <w:rsid w:val="004130D5"/>
    <w:rsid w:val="00413E03"/>
    <w:rsid w:val="00414C4C"/>
    <w:rsid w:val="00415689"/>
    <w:rsid w:val="00417D82"/>
    <w:rsid w:val="00431C8C"/>
    <w:rsid w:val="004357B0"/>
    <w:rsid w:val="0043603E"/>
    <w:rsid w:val="00436414"/>
    <w:rsid w:val="00437646"/>
    <w:rsid w:val="004440CB"/>
    <w:rsid w:val="0045104B"/>
    <w:rsid w:val="00451704"/>
    <w:rsid w:val="00461F5D"/>
    <w:rsid w:val="0046518D"/>
    <w:rsid w:val="004654DA"/>
    <w:rsid w:val="00466A1B"/>
    <w:rsid w:val="004676D6"/>
    <w:rsid w:val="004713D2"/>
    <w:rsid w:val="004719C1"/>
    <w:rsid w:val="00475B6F"/>
    <w:rsid w:val="00476136"/>
    <w:rsid w:val="0048548E"/>
    <w:rsid w:val="004866E6"/>
    <w:rsid w:val="00486B23"/>
    <w:rsid w:val="00487D45"/>
    <w:rsid w:val="004A172D"/>
    <w:rsid w:val="004A686B"/>
    <w:rsid w:val="004A7ABA"/>
    <w:rsid w:val="004B0AEF"/>
    <w:rsid w:val="004B17CD"/>
    <w:rsid w:val="004B1C2C"/>
    <w:rsid w:val="004B21C5"/>
    <w:rsid w:val="004B247C"/>
    <w:rsid w:val="004B6185"/>
    <w:rsid w:val="004B688C"/>
    <w:rsid w:val="004C0549"/>
    <w:rsid w:val="004D1099"/>
    <w:rsid w:val="004D78D0"/>
    <w:rsid w:val="004E5934"/>
    <w:rsid w:val="004E5BEB"/>
    <w:rsid w:val="004E67D3"/>
    <w:rsid w:val="004E7E71"/>
    <w:rsid w:val="00500ED8"/>
    <w:rsid w:val="005013B2"/>
    <w:rsid w:val="00501FC9"/>
    <w:rsid w:val="0050360A"/>
    <w:rsid w:val="0051248E"/>
    <w:rsid w:val="00521639"/>
    <w:rsid w:val="005216E0"/>
    <w:rsid w:val="00530CC6"/>
    <w:rsid w:val="005325B9"/>
    <w:rsid w:val="00532BB7"/>
    <w:rsid w:val="005332E4"/>
    <w:rsid w:val="00534126"/>
    <w:rsid w:val="00534B9D"/>
    <w:rsid w:val="0053550C"/>
    <w:rsid w:val="0053675F"/>
    <w:rsid w:val="00537DC4"/>
    <w:rsid w:val="00546589"/>
    <w:rsid w:val="00551B41"/>
    <w:rsid w:val="00552FE0"/>
    <w:rsid w:val="00555018"/>
    <w:rsid w:val="005552C1"/>
    <w:rsid w:val="00562A33"/>
    <w:rsid w:val="00562DAB"/>
    <w:rsid w:val="00566941"/>
    <w:rsid w:val="00570A67"/>
    <w:rsid w:val="005723DC"/>
    <w:rsid w:val="00572CCD"/>
    <w:rsid w:val="005747CF"/>
    <w:rsid w:val="00576754"/>
    <w:rsid w:val="00581E7A"/>
    <w:rsid w:val="00582375"/>
    <w:rsid w:val="005935A4"/>
    <w:rsid w:val="005949AD"/>
    <w:rsid w:val="005A0539"/>
    <w:rsid w:val="005B615D"/>
    <w:rsid w:val="005C1B3D"/>
    <w:rsid w:val="005C1C35"/>
    <w:rsid w:val="005C6793"/>
    <w:rsid w:val="005D083B"/>
    <w:rsid w:val="005D1F22"/>
    <w:rsid w:val="005D4E66"/>
    <w:rsid w:val="005E2D58"/>
    <w:rsid w:val="005E4693"/>
    <w:rsid w:val="005F0EF0"/>
    <w:rsid w:val="005F2336"/>
    <w:rsid w:val="005F30FA"/>
    <w:rsid w:val="005F5F0C"/>
    <w:rsid w:val="0060108C"/>
    <w:rsid w:val="0060228B"/>
    <w:rsid w:val="006057F2"/>
    <w:rsid w:val="0061070E"/>
    <w:rsid w:val="0061289D"/>
    <w:rsid w:val="006137E3"/>
    <w:rsid w:val="00613EE6"/>
    <w:rsid w:val="00620D3F"/>
    <w:rsid w:val="006210DC"/>
    <w:rsid w:val="006217B3"/>
    <w:rsid w:val="00621C41"/>
    <w:rsid w:val="00623454"/>
    <w:rsid w:val="0062655E"/>
    <w:rsid w:val="0062771D"/>
    <w:rsid w:val="00633459"/>
    <w:rsid w:val="006347E6"/>
    <w:rsid w:val="00634E0D"/>
    <w:rsid w:val="00637778"/>
    <w:rsid w:val="00640092"/>
    <w:rsid w:val="00643064"/>
    <w:rsid w:val="0064349D"/>
    <w:rsid w:val="0064399F"/>
    <w:rsid w:val="00645270"/>
    <w:rsid w:val="00645F77"/>
    <w:rsid w:val="00653EED"/>
    <w:rsid w:val="0065594E"/>
    <w:rsid w:val="00660156"/>
    <w:rsid w:val="006658B7"/>
    <w:rsid w:val="006661BE"/>
    <w:rsid w:val="00667656"/>
    <w:rsid w:val="006718D0"/>
    <w:rsid w:val="00671AE0"/>
    <w:rsid w:val="00675841"/>
    <w:rsid w:val="00675EB5"/>
    <w:rsid w:val="00677E1A"/>
    <w:rsid w:val="0068282C"/>
    <w:rsid w:val="00685549"/>
    <w:rsid w:val="0068730F"/>
    <w:rsid w:val="00690136"/>
    <w:rsid w:val="0069383B"/>
    <w:rsid w:val="00695A26"/>
    <w:rsid w:val="006B0F43"/>
    <w:rsid w:val="006B55D0"/>
    <w:rsid w:val="006B7365"/>
    <w:rsid w:val="006B7EE6"/>
    <w:rsid w:val="006C15F1"/>
    <w:rsid w:val="006C2D81"/>
    <w:rsid w:val="006C7DF8"/>
    <w:rsid w:val="006D52E0"/>
    <w:rsid w:val="006D584F"/>
    <w:rsid w:val="006D5EE4"/>
    <w:rsid w:val="006E165B"/>
    <w:rsid w:val="006E436A"/>
    <w:rsid w:val="006E640B"/>
    <w:rsid w:val="006F3829"/>
    <w:rsid w:val="006F551E"/>
    <w:rsid w:val="006F6F3B"/>
    <w:rsid w:val="00701725"/>
    <w:rsid w:val="007042F8"/>
    <w:rsid w:val="00713197"/>
    <w:rsid w:val="0072021A"/>
    <w:rsid w:val="007228A4"/>
    <w:rsid w:val="00724E06"/>
    <w:rsid w:val="00730973"/>
    <w:rsid w:val="007318A0"/>
    <w:rsid w:val="00732ACC"/>
    <w:rsid w:val="00735176"/>
    <w:rsid w:val="00742CAA"/>
    <w:rsid w:val="00750FC8"/>
    <w:rsid w:val="00752A85"/>
    <w:rsid w:val="007533D0"/>
    <w:rsid w:val="00755069"/>
    <w:rsid w:val="0076444C"/>
    <w:rsid w:val="00765459"/>
    <w:rsid w:val="00766F03"/>
    <w:rsid w:val="00771326"/>
    <w:rsid w:val="00771C45"/>
    <w:rsid w:val="00772FD4"/>
    <w:rsid w:val="00775986"/>
    <w:rsid w:val="00783409"/>
    <w:rsid w:val="007847C9"/>
    <w:rsid w:val="00790BCB"/>
    <w:rsid w:val="007A089E"/>
    <w:rsid w:val="007A1CC1"/>
    <w:rsid w:val="007A2298"/>
    <w:rsid w:val="007A36A9"/>
    <w:rsid w:val="007A3850"/>
    <w:rsid w:val="007B0660"/>
    <w:rsid w:val="007B126C"/>
    <w:rsid w:val="007B2179"/>
    <w:rsid w:val="007B3417"/>
    <w:rsid w:val="007B47F1"/>
    <w:rsid w:val="007C3256"/>
    <w:rsid w:val="007C3A28"/>
    <w:rsid w:val="007C5EF3"/>
    <w:rsid w:val="007D038F"/>
    <w:rsid w:val="007D0AC1"/>
    <w:rsid w:val="007D232C"/>
    <w:rsid w:val="007D5182"/>
    <w:rsid w:val="007E3868"/>
    <w:rsid w:val="007F5642"/>
    <w:rsid w:val="007F5779"/>
    <w:rsid w:val="007F6010"/>
    <w:rsid w:val="007F7CF4"/>
    <w:rsid w:val="008027A9"/>
    <w:rsid w:val="00811EAD"/>
    <w:rsid w:val="00813D3B"/>
    <w:rsid w:val="00814845"/>
    <w:rsid w:val="00820C41"/>
    <w:rsid w:val="008211D7"/>
    <w:rsid w:val="00827EB1"/>
    <w:rsid w:val="00836432"/>
    <w:rsid w:val="0084225E"/>
    <w:rsid w:val="00843FD8"/>
    <w:rsid w:val="00850256"/>
    <w:rsid w:val="00854629"/>
    <w:rsid w:val="0086478B"/>
    <w:rsid w:val="008776E1"/>
    <w:rsid w:val="00884E40"/>
    <w:rsid w:val="00887607"/>
    <w:rsid w:val="008903C1"/>
    <w:rsid w:val="00890A95"/>
    <w:rsid w:val="00891099"/>
    <w:rsid w:val="0089352E"/>
    <w:rsid w:val="008A0AE3"/>
    <w:rsid w:val="008A5333"/>
    <w:rsid w:val="008A6D5F"/>
    <w:rsid w:val="008B37D3"/>
    <w:rsid w:val="008C3FEB"/>
    <w:rsid w:val="008D0A13"/>
    <w:rsid w:val="008D5F47"/>
    <w:rsid w:val="008D64B3"/>
    <w:rsid w:val="008E6A4D"/>
    <w:rsid w:val="008F1BF3"/>
    <w:rsid w:val="008F3D49"/>
    <w:rsid w:val="008F54A6"/>
    <w:rsid w:val="0090059A"/>
    <w:rsid w:val="00902262"/>
    <w:rsid w:val="00902F9F"/>
    <w:rsid w:val="00903853"/>
    <w:rsid w:val="009043E4"/>
    <w:rsid w:val="009067F8"/>
    <w:rsid w:val="00912C19"/>
    <w:rsid w:val="00917C82"/>
    <w:rsid w:val="00921838"/>
    <w:rsid w:val="009274E8"/>
    <w:rsid w:val="009313E4"/>
    <w:rsid w:val="00934BCD"/>
    <w:rsid w:val="0093686F"/>
    <w:rsid w:val="00941F47"/>
    <w:rsid w:val="00942FD4"/>
    <w:rsid w:val="00943722"/>
    <w:rsid w:val="00945C63"/>
    <w:rsid w:val="00946F62"/>
    <w:rsid w:val="00951997"/>
    <w:rsid w:val="00952026"/>
    <w:rsid w:val="00952B33"/>
    <w:rsid w:val="00955398"/>
    <w:rsid w:val="00961A5E"/>
    <w:rsid w:val="009641D5"/>
    <w:rsid w:val="00965147"/>
    <w:rsid w:val="00970E40"/>
    <w:rsid w:val="00983E86"/>
    <w:rsid w:val="00985951"/>
    <w:rsid w:val="009860A6"/>
    <w:rsid w:val="00987B7C"/>
    <w:rsid w:val="00990352"/>
    <w:rsid w:val="009A1EE8"/>
    <w:rsid w:val="009A2982"/>
    <w:rsid w:val="009A3678"/>
    <w:rsid w:val="009A5736"/>
    <w:rsid w:val="009A6CF7"/>
    <w:rsid w:val="009B06D6"/>
    <w:rsid w:val="009B1AB5"/>
    <w:rsid w:val="009B7954"/>
    <w:rsid w:val="009C1485"/>
    <w:rsid w:val="009C208B"/>
    <w:rsid w:val="009C51E2"/>
    <w:rsid w:val="009C6AB2"/>
    <w:rsid w:val="009C6E35"/>
    <w:rsid w:val="009D5284"/>
    <w:rsid w:val="009D777E"/>
    <w:rsid w:val="009E4238"/>
    <w:rsid w:val="009E48F5"/>
    <w:rsid w:val="009E74ED"/>
    <w:rsid w:val="009F0B99"/>
    <w:rsid w:val="009F18FC"/>
    <w:rsid w:val="009F2F48"/>
    <w:rsid w:val="00A02E67"/>
    <w:rsid w:val="00A02F3E"/>
    <w:rsid w:val="00A03405"/>
    <w:rsid w:val="00A04DFD"/>
    <w:rsid w:val="00A05B95"/>
    <w:rsid w:val="00A073B4"/>
    <w:rsid w:val="00A108FD"/>
    <w:rsid w:val="00A1528A"/>
    <w:rsid w:val="00A2177A"/>
    <w:rsid w:val="00A2504D"/>
    <w:rsid w:val="00A33918"/>
    <w:rsid w:val="00A3603B"/>
    <w:rsid w:val="00A4057C"/>
    <w:rsid w:val="00A514A2"/>
    <w:rsid w:val="00A54937"/>
    <w:rsid w:val="00A56024"/>
    <w:rsid w:val="00A56F54"/>
    <w:rsid w:val="00A579A5"/>
    <w:rsid w:val="00A623D4"/>
    <w:rsid w:val="00A62F02"/>
    <w:rsid w:val="00A67C58"/>
    <w:rsid w:val="00A704CA"/>
    <w:rsid w:val="00A7629F"/>
    <w:rsid w:val="00A76D3E"/>
    <w:rsid w:val="00A8140A"/>
    <w:rsid w:val="00A82F34"/>
    <w:rsid w:val="00A9165D"/>
    <w:rsid w:val="00AA3253"/>
    <w:rsid w:val="00AA6D58"/>
    <w:rsid w:val="00AB0BC8"/>
    <w:rsid w:val="00AB17A0"/>
    <w:rsid w:val="00AB7973"/>
    <w:rsid w:val="00AC1E4A"/>
    <w:rsid w:val="00AC38BC"/>
    <w:rsid w:val="00AC4903"/>
    <w:rsid w:val="00AC51CC"/>
    <w:rsid w:val="00AD0F26"/>
    <w:rsid w:val="00AD13F4"/>
    <w:rsid w:val="00AD1B3F"/>
    <w:rsid w:val="00AD1C76"/>
    <w:rsid w:val="00AD6367"/>
    <w:rsid w:val="00AE4545"/>
    <w:rsid w:val="00AF0017"/>
    <w:rsid w:val="00AF0CEE"/>
    <w:rsid w:val="00AF4E1F"/>
    <w:rsid w:val="00B05F25"/>
    <w:rsid w:val="00B07B27"/>
    <w:rsid w:val="00B10D2B"/>
    <w:rsid w:val="00B11263"/>
    <w:rsid w:val="00B13C12"/>
    <w:rsid w:val="00B1752A"/>
    <w:rsid w:val="00B2420C"/>
    <w:rsid w:val="00B277FC"/>
    <w:rsid w:val="00B346EA"/>
    <w:rsid w:val="00B354C7"/>
    <w:rsid w:val="00B37041"/>
    <w:rsid w:val="00B4067F"/>
    <w:rsid w:val="00B40873"/>
    <w:rsid w:val="00B41317"/>
    <w:rsid w:val="00B44A2F"/>
    <w:rsid w:val="00B44EA9"/>
    <w:rsid w:val="00B4581B"/>
    <w:rsid w:val="00B4612B"/>
    <w:rsid w:val="00B47487"/>
    <w:rsid w:val="00B47C61"/>
    <w:rsid w:val="00B567B5"/>
    <w:rsid w:val="00B56FB3"/>
    <w:rsid w:val="00B57F17"/>
    <w:rsid w:val="00B630DE"/>
    <w:rsid w:val="00B667AD"/>
    <w:rsid w:val="00B74332"/>
    <w:rsid w:val="00B80782"/>
    <w:rsid w:val="00B84C38"/>
    <w:rsid w:val="00B84C45"/>
    <w:rsid w:val="00B86C00"/>
    <w:rsid w:val="00B86F57"/>
    <w:rsid w:val="00B905A9"/>
    <w:rsid w:val="00B947F6"/>
    <w:rsid w:val="00B9709B"/>
    <w:rsid w:val="00B9743F"/>
    <w:rsid w:val="00BA0ED2"/>
    <w:rsid w:val="00BA1639"/>
    <w:rsid w:val="00BA1D91"/>
    <w:rsid w:val="00BA48BB"/>
    <w:rsid w:val="00BA5A3B"/>
    <w:rsid w:val="00BA5D31"/>
    <w:rsid w:val="00BA78DA"/>
    <w:rsid w:val="00BA7FA4"/>
    <w:rsid w:val="00BB1A94"/>
    <w:rsid w:val="00BB2634"/>
    <w:rsid w:val="00BB343E"/>
    <w:rsid w:val="00BB3928"/>
    <w:rsid w:val="00BB5169"/>
    <w:rsid w:val="00BB51B0"/>
    <w:rsid w:val="00BB6107"/>
    <w:rsid w:val="00BB631B"/>
    <w:rsid w:val="00BB7E11"/>
    <w:rsid w:val="00BC0206"/>
    <w:rsid w:val="00BC194E"/>
    <w:rsid w:val="00BC52C9"/>
    <w:rsid w:val="00BC6C8D"/>
    <w:rsid w:val="00BC71FE"/>
    <w:rsid w:val="00BD227F"/>
    <w:rsid w:val="00BD455A"/>
    <w:rsid w:val="00BD6877"/>
    <w:rsid w:val="00BE1634"/>
    <w:rsid w:val="00BE30F6"/>
    <w:rsid w:val="00BF16AA"/>
    <w:rsid w:val="00BF29DA"/>
    <w:rsid w:val="00BF521C"/>
    <w:rsid w:val="00C02A5A"/>
    <w:rsid w:val="00C047AD"/>
    <w:rsid w:val="00C055A4"/>
    <w:rsid w:val="00C0568C"/>
    <w:rsid w:val="00C05E31"/>
    <w:rsid w:val="00C10CC0"/>
    <w:rsid w:val="00C10EFB"/>
    <w:rsid w:val="00C1244B"/>
    <w:rsid w:val="00C14141"/>
    <w:rsid w:val="00C14B5D"/>
    <w:rsid w:val="00C2044F"/>
    <w:rsid w:val="00C25569"/>
    <w:rsid w:val="00C25930"/>
    <w:rsid w:val="00C25CCB"/>
    <w:rsid w:val="00C25DBD"/>
    <w:rsid w:val="00C30C38"/>
    <w:rsid w:val="00C3285C"/>
    <w:rsid w:val="00C34B22"/>
    <w:rsid w:val="00C354B8"/>
    <w:rsid w:val="00C37011"/>
    <w:rsid w:val="00C446F6"/>
    <w:rsid w:val="00C44E55"/>
    <w:rsid w:val="00C46BE4"/>
    <w:rsid w:val="00C52517"/>
    <w:rsid w:val="00C56DF3"/>
    <w:rsid w:val="00C5799F"/>
    <w:rsid w:val="00C607ED"/>
    <w:rsid w:val="00C60921"/>
    <w:rsid w:val="00C62936"/>
    <w:rsid w:val="00C653F2"/>
    <w:rsid w:val="00C679E6"/>
    <w:rsid w:val="00C77C66"/>
    <w:rsid w:val="00C908F9"/>
    <w:rsid w:val="00C91C70"/>
    <w:rsid w:val="00C93FC7"/>
    <w:rsid w:val="00C95665"/>
    <w:rsid w:val="00C95C61"/>
    <w:rsid w:val="00CA0917"/>
    <w:rsid w:val="00CA1099"/>
    <w:rsid w:val="00CA5AFE"/>
    <w:rsid w:val="00CA6A2F"/>
    <w:rsid w:val="00CA71C5"/>
    <w:rsid w:val="00CA7D08"/>
    <w:rsid w:val="00CC1FD5"/>
    <w:rsid w:val="00CC2AAC"/>
    <w:rsid w:val="00CC2CC5"/>
    <w:rsid w:val="00CC741D"/>
    <w:rsid w:val="00CD2AFB"/>
    <w:rsid w:val="00CD4614"/>
    <w:rsid w:val="00CE3DBB"/>
    <w:rsid w:val="00CE5E09"/>
    <w:rsid w:val="00CF0A18"/>
    <w:rsid w:val="00CF0BD7"/>
    <w:rsid w:val="00CF5F2F"/>
    <w:rsid w:val="00CF78AC"/>
    <w:rsid w:val="00D0091E"/>
    <w:rsid w:val="00D011FB"/>
    <w:rsid w:val="00D01DD1"/>
    <w:rsid w:val="00D03D26"/>
    <w:rsid w:val="00D04DE1"/>
    <w:rsid w:val="00D05BE6"/>
    <w:rsid w:val="00D06C62"/>
    <w:rsid w:val="00D0748D"/>
    <w:rsid w:val="00D110A8"/>
    <w:rsid w:val="00D1733E"/>
    <w:rsid w:val="00D17A06"/>
    <w:rsid w:val="00D17E43"/>
    <w:rsid w:val="00D20402"/>
    <w:rsid w:val="00D2097B"/>
    <w:rsid w:val="00D22ABF"/>
    <w:rsid w:val="00D2666B"/>
    <w:rsid w:val="00D34A34"/>
    <w:rsid w:val="00D417C2"/>
    <w:rsid w:val="00D4241A"/>
    <w:rsid w:val="00D43946"/>
    <w:rsid w:val="00D5069B"/>
    <w:rsid w:val="00D52411"/>
    <w:rsid w:val="00D54A7E"/>
    <w:rsid w:val="00D60936"/>
    <w:rsid w:val="00D64A86"/>
    <w:rsid w:val="00D70175"/>
    <w:rsid w:val="00D70670"/>
    <w:rsid w:val="00D709EB"/>
    <w:rsid w:val="00D70F10"/>
    <w:rsid w:val="00D72335"/>
    <w:rsid w:val="00D74714"/>
    <w:rsid w:val="00D80054"/>
    <w:rsid w:val="00D82F3F"/>
    <w:rsid w:val="00D921C6"/>
    <w:rsid w:val="00D93723"/>
    <w:rsid w:val="00D94AC0"/>
    <w:rsid w:val="00D94ADB"/>
    <w:rsid w:val="00D94C96"/>
    <w:rsid w:val="00D94E33"/>
    <w:rsid w:val="00D955FB"/>
    <w:rsid w:val="00D958C2"/>
    <w:rsid w:val="00DA10C3"/>
    <w:rsid w:val="00DB0687"/>
    <w:rsid w:val="00DC0B8A"/>
    <w:rsid w:val="00DC6F30"/>
    <w:rsid w:val="00DC797C"/>
    <w:rsid w:val="00DE25AE"/>
    <w:rsid w:val="00DE2672"/>
    <w:rsid w:val="00DE3564"/>
    <w:rsid w:val="00DE51D3"/>
    <w:rsid w:val="00DE74F7"/>
    <w:rsid w:val="00DE7FB0"/>
    <w:rsid w:val="00DF0B47"/>
    <w:rsid w:val="00DF334F"/>
    <w:rsid w:val="00DF3F1A"/>
    <w:rsid w:val="00DF6F64"/>
    <w:rsid w:val="00E00EA8"/>
    <w:rsid w:val="00E04AB5"/>
    <w:rsid w:val="00E101D5"/>
    <w:rsid w:val="00E23B8A"/>
    <w:rsid w:val="00E32387"/>
    <w:rsid w:val="00E32A55"/>
    <w:rsid w:val="00E32DD6"/>
    <w:rsid w:val="00E3322F"/>
    <w:rsid w:val="00E350F0"/>
    <w:rsid w:val="00E4505B"/>
    <w:rsid w:val="00E50EEA"/>
    <w:rsid w:val="00E52F58"/>
    <w:rsid w:val="00E560A1"/>
    <w:rsid w:val="00E57A0D"/>
    <w:rsid w:val="00E611A8"/>
    <w:rsid w:val="00E61B96"/>
    <w:rsid w:val="00E63AB3"/>
    <w:rsid w:val="00E66F4D"/>
    <w:rsid w:val="00E768DD"/>
    <w:rsid w:val="00E8205F"/>
    <w:rsid w:val="00E821A8"/>
    <w:rsid w:val="00E82A3B"/>
    <w:rsid w:val="00E84771"/>
    <w:rsid w:val="00E85166"/>
    <w:rsid w:val="00E95869"/>
    <w:rsid w:val="00EA11DE"/>
    <w:rsid w:val="00EA243F"/>
    <w:rsid w:val="00EA394B"/>
    <w:rsid w:val="00EA7FA7"/>
    <w:rsid w:val="00EB0B90"/>
    <w:rsid w:val="00EB4084"/>
    <w:rsid w:val="00EB46AA"/>
    <w:rsid w:val="00EC26AA"/>
    <w:rsid w:val="00EC3984"/>
    <w:rsid w:val="00EC65C4"/>
    <w:rsid w:val="00EC693C"/>
    <w:rsid w:val="00ED4958"/>
    <w:rsid w:val="00ED5497"/>
    <w:rsid w:val="00ED7A53"/>
    <w:rsid w:val="00EE4273"/>
    <w:rsid w:val="00EE503D"/>
    <w:rsid w:val="00EE5D68"/>
    <w:rsid w:val="00EE61BC"/>
    <w:rsid w:val="00F00901"/>
    <w:rsid w:val="00F02004"/>
    <w:rsid w:val="00F02973"/>
    <w:rsid w:val="00F042CB"/>
    <w:rsid w:val="00F063BE"/>
    <w:rsid w:val="00F16029"/>
    <w:rsid w:val="00F2273D"/>
    <w:rsid w:val="00F23C81"/>
    <w:rsid w:val="00F242CD"/>
    <w:rsid w:val="00F4718D"/>
    <w:rsid w:val="00F5559A"/>
    <w:rsid w:val="00F55F25"/>
    <w:rsid w:val="00F60A20"/>
    <w:rsid w:val="00F60E6D"/>
    <w:rsid w:val="00F62ACC"/>
    <w:rsid w:val="00F64817"/>
    <w:rsid w:val="00F6531D"/>
    <w:rsid w:val="00F67EAB"/>
    <w:rsid w:val="00F67EC6"/>
    <w:rsid w:val="00F731FF"/>
    <w:rsid w:val="00F75F6D"/>
    <w:rsid w:val="00F772D0"/>
    <w:rsid w:val="00F90924"/>
    <w:rsid w:val="00F92BFA"/>
    <w:rsid w:val="00F93032"/>
    <w:rsid w:val="00FA13AC"/>
    <w:rsid w:val="00FA53C9"/>
    <w:rsid w:val="00FA72E3"/>
    <w:rsid w:val="00FA79B4"/>
    <w:rsid w:val="00FB1A13"/>
    <w:rsid w:val="00FB4073"/>
    <w:rsid w:val="00FB4562"/>
    <w:rsid w:val="00FB5C64"/>
    <w:rsid w:val="00FC0A95"/>
    <w:rsid w:val="00FC3D9C"/>
    <w:rsid w:val="00FC46D2"/>
    <w:rsid w:val="00FC4E29"/>
    <w:rsid w:val="00FC6451"/>
    <w:rsid w:val="00FC777E"/>
    <w:rsid w:val="00FD0F53"/>
    <w:rsid w:val="00FD4C8E"/>
    <w:rsid w:val="00FE1507"/>
    <w:rsid w:val="00FE300C"/>
    <w:rsid w:val="00FE38B2"/>
    <w:rsid w:val="00FE3EBF"/>
    <w:rsid w:val="00FE46FD"/>
    <w:rsid w:val="00FE71E0"/>
    <w:rsid w:val="00FF0153"/>
    <w:rsid w:val="00FF0380"/>
    <w:rsid w:val="00FF34FF"/>
    <w:rsid w:val="00FF4DD7"/>
    <w:rsid w:val="00FF6BD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2D9E44C"/>
  <w15:chartTrackingRefBased/>
  <w15:docId w15:val="{93539062-4CEE-49EC-A7CF-A5B51C6199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rPr>
  </w:style>
  <w:style w:type="paragraph" w:styleId="Heading1">
    <w:name w:val="heading 1"/>
    <w:basedOn w:val="Normal"/>
    <w:next w:val="Normal"/>
    <w:qFormat/>
    <w:pPr>
      <w:keepNext/>
      <w:spacing w:before="240" w:after="60"/>
      <w:outlineLvl w:val="0"/>
    </w:pPr>
    <w:rPr>
      <w:rFonts w:ascii="Arial" w:hAnsi="Arial"/>
      <w:b/>
      <w:kern w:val="28"/>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LineNumber">
    <w:name w:val="line number"/>
    <w:basedOn w:val="DefaultParagraphFont"/>
  </w:style>
  <w:style w:type="paragraph" w:customStyle="1" w:styleId="Title2">
    <w:name w:val="Title2"/>
    <w:basedOn w:val="Normal"/>
    <w:next w:val="Normal"/>
    <w:pPr>
      <w:tabs>
        <w:tab w:val="left" w:pos="648"/>
        <w:tab w:val="right" w:pos="7776"/>
        <w:tab w:val="left" w:pos="7848"/>
      </w:tabs>
    </w:pPr>
  </w:style>
  <w:style w:type="paragraph" w:styleId="Header">
    <w:name w:val="header"/>
    <w:basedOn w:val="Normal"/>
    <w:link w:val="HeaderChar"/>
    <w:uiPriority w:val="99"/>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customStyle="1" w:styleId="Firmas">
    <w:name w:val="Firmas"/>
    <w:basedOn w:val="Normal"/>
    <w:pPr>
      <w:tabs>
        <w:tab w:val="center" w:pos="1440"/>
        <w:tab w:val="center" w:pos="7200"/>
      </w:tabs>
    </w:pPr>
    <w:rPr>
      <w:lang w:val="es-ES_tradnl"/>
    </w:rPr>
  </w:style>
  <w:style w:type="paragraph" w:styleId="BalloonText">
    <w:name w:val="Balloon Text"/>
    <w:basedOn w:val="Normal"/>
    <w:link w:val="BalloonTextChar"/>
    <w:uiPriority w:val="99"/>
    <w:semiHidden/>
    <w:unhideWhenUsed/>
    <w:rsid w:val="009E4238"/>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E4238"/>
    <w:rPr>
      <w:rFonts w:ascii="Segoe UI" w:hAnsi="Segoe UI" w:cs="Segoe UI"/>
      <w:sz w:val="18"/>
      <w:szCs w:val="18"/>
    </w:rPr>
  </w:style>
  <w:style w:type="character" w:customStyle="1" w:styleId="HeaderChar">
    <w:name w:val="Header Char"/>
    <w:basedOn w:val="DefaultParagraphFont"/>
    <w:link w:val="Header"/>
    <w:uiPriority w:val="99"/>
    <w:rsid w:val="009E4238"/>
    <w:rPr>
      <w:sz w:val="24"/>
    </w:rPr>
  </w:style>
  <w:style w:type="paragraph" w:styleId="NormalWeb">
    <w:name w:val="Normal (Web)"/>
    <w:basedOn w:val="Normal"/>
    <w:uiPriority w:val="99"/>
    <w:unhideWhenUsed/>
    <w:rsid w:val="008A0AE3"/>
    <w:pPr>
      <w:spacing w:before="100" w:beforeAutospacing="1" w:after="100" w:afterAutospacing="1"/>
    </w:pPr>
    <w:rPr>
      <w:szCs w:val="24"/>
    </w:rPr>
  </w:style>
  <w:style w:type="paragraph" w:styleId="ListParagraph">
    <w:name w:val="List Paragraph"/>
    <w:basedOn w:val="Normal"/>
    <w:uiPriority w:val="34"/>
    <w:qFormat/>
    <w:rsid w:val="00562DAB"/>
    <w:pPr>
      <w:ind w:left="720"/>
      <w:contextualSpacing/>
    </w:pPr>
  </w:style>
  <w:style w:type="character" w:customStyle="1" w:styleId="oxzekf">
    <w:name w:val="oxzekf"/>
    <w:basedOn w:val="DefaultParagraphFont"/>
    <w:rsid w:val="00C5799F"/>
  </w:style>
  <w:style w:type="character" w:customStyle="1" w:styleId="uv3um">
    <w:name w:val="uv3um"/>
    <w:basedOn w:val="DefaultParagraphFont"/>
    <w:rsid w:val="00C5799F"/>
  </w:style>
  <w:style w:type="paragraph" w:customStyle="1" w:styleId="Default">
    <w:name w:val="Default"/>
    <w:rsid w:val="006D52E0"/>
    <w:pPr>
      <w:autoSpaceDE w:val="0"/>
      <w:autoSpaceDN w:val="0"/>
      <w:adjustRightInd w:val="0"/>
    </w:pPr>
    <w:rPr>
      <w:rFonts w:ascii="Calibri" w:hAnsi="Calibri" w:cs="Calibri"/>
      <w:color w:val="000000"/>
      <w:sz w:val="24"/>
      <w:szCs w:val="24"/>
    </w:rPr>
  </w:style>
  <w:style w:type="paragraph" w:styleId="BodyText">
    <w:name w:val="Body Text"/>
    <w:basedOn w:val="Normal"/>
    <w:link w:val="BodyTextChar"/>
    <w:uiPriority w:val="99"/>
    <w:unhideWhenUsed/>
    <w:rsid w:val="00386247"/>
    <w:pPr>
      <w:spacing w:after="120"/>
    </w:pPr>
    <w:rPr>
      <w:rFonts w:ascii="CG Times (W1)" w:hAnsi="CG Times (W1)" w:cs="Arial"/>
      <w:lang w:val="es-PR"/>
    </w:rPr>
  </w:style>
  <w:style w:type="character" w:customStyle="1" w:styleId="BodyTextChar">
    <w:name w:val="Body Text Char"/>
    <w:basedOn w:val="DefaultParagraphFont"/>
    <w:link w:val="BodyText"/>
    <w:uiPriority w:val="99"/>
    <w:rsid w:val="00386247"/>
    <w:rPr>
      <w:rFonts w:ascii="CG Times (W1)" w:hAnsi="CG Times (W1)" w:cs="Arial"/>
      <w:sz w:val="24"/>
      <w:lang w:val="es-PR"/>
    </w:rPr>
  </w:style>
  <w:style w:type="paragraph" w:styleId="FootnoteText">
    <w:name w:val="footnote text"/>
    <w:basedOn w:val="Normal"/>
    <w:link w:val="FootnoteTextChar"/>
    <w:uiPriority w:val="99"/>
    <w:semiHidden/>
    <w:unhideWhenUsed/>
    <w:rsid w:val="00732ACC"/>
    <w:rPr>
      <w:sz w:val="20"/>
    </w:rPr>
  </w:style>
  <w:style w:type="character" w:customStyle="1" w:styleId="FootnoteTextChar">
    <w:name w:val="Footnote Text Char"/>
    <w:basedOn w:val="DefaultParagraphFont"/>
    <w:link w:val="FootnoteText"/>
    <w:uiPriority w:val="99"/>
    <w:semiHidden/>
    <w:rsid w:val="00732ACC"/>
  </w:style>
  <w:style w:type="character" w:styleId="FootnoteReference">
    <w:name w:val="footnote reference"/>
    <w:basedOn w:val="DefaultParagraphFont"/>
    <w:uiPriority w:val="99"/>
    <w:semiHidden/>
    <w:unhideWhenUsed/>
    <w:rsid w:val="00732ACC"/>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3971027">
      <w:bodyDiv w:val="1"/>
      <w:marLeft w:val="0"/>
      <w:marRight w:val="0"/>
      <w:marTop w:val="0"/>
      <w:marBottom w:val="0"/>
      <w:divBdr>
        <w:top w:val="none" w:sz="0" w:space="0" w:color="auto"/>
        <w:left w:val="none" w:sz="0" w:space="0" w:color="auto"/>
        <w:bottom w:val="none" w:sz="0" w:space="0" w:color="auto"/>
        <w:right w:val="none" w:sz="0" w:space="0" w:color="auto"/>
      </w:divBdr>
      <w:divsChild>
        <w:div w:id="81803915">
          <w:marLeft w:val="0"/>
          <w:marRight w:val="0"/>
          <w:marTop w:val="0"/>
          <w:marBottom w:val="0"/>
          <w:divBdr>
            <w:top w:val="none" w:sz="0" w:space="0" w:color="auto"/>
            <w:left w:val="none" w:sz="0" w:space="0" w:color="auto"/>
            <w:bottom w:val="none" w:sz="0" w:space="0" w:color="auto"/>
            <w:right w:val="none" w:sz="0" w:space="0" w:color="auto"/>
          </w:divBdr>
          <w:divsChild>
            <w:div w:id="1674839401">
              <w:marLeft w:val="0"/>
              <w:marRight w:val="0"/>
              <w:marTop w:val="0"/>
              <w:marBottom w:val="0"/>
              <w:divBdr>
                <w:top w:val="none" w:sz="0" w:space="0" w:color="auto"/>
                <w:left w:val="none" w:sz="0" w:space="0" w:color="auto"/>
                <w:bottom w:val="none" w:sz="0" w:space="0" w:color="auto"/>
                <w:right w:val="none" w:sz="0" w:space="0" w:color="auto"/>
              </w:divBdr>
              <w:divsChild>
                <w:div w:id="181654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1458043">
      <w:bodyDiv w:val="1"/>
      <w:marLeft w:val="0"/>
      <w:marRight w:val="0"/>
      <w:marTop w:val="0"/>
      <w:marBottom w:val="0"/>
      <w:divBdr>
        <w:top w:val="none" w:sz="0" w:space="0" w:color="auto"/>
        <w:left w:val="none" w:sz="0" w:space="0" w:color="auto"/>
        <w:bottom w:val="none" w:sz="0" w:space="0" w:color="auto"/>
        <w:right w:val="none" w:sz="0" w:space="0" w:color="auto"/>
      </w:divBdr>
      <w:divsChild>
        <w:div w:id="502671066">
          <w:marLeft w:val="0"/>
          <w:marRight w:val="0"/>
          <w:marTop w:val="0"/>
          <w:marBottom w:val="0"/>
          <w:divBdr>
            <w:top w:val="none" w:sz="0" w:space="0" w:color="auto"/>
            <w:left w:val="none" w:sz="0" w:space="0" w:color="auto"/>
            <w:bottom w:val="none" w:sz="0" w:space="0" w:color="auto"/>
            <w:right w:val="none" w:sz="0" w:space="0" w:color="auto"/>
          </w:divBdr>
          <w:divsChild>
            <w:div w:id="576791702">
              <w:marLeft w:val="0"/>
              <w:marRight w:val="0"/>
              <w:marTop w:val="0"/>
              <w:marBottom w:val="0"/>
              <w:divBdr>
                <w:top w:val="none" w:sz="0" w:space="0" w:color="auto"/>
                <w:left w:val="none" w:sz="0" w:space="0" w:color="auto"/>
                <w:bottom w:val="none" w:sz="0" w:space="0" w:color="auto"/>
                <w:right w:val="none" w:sz="0" w:space="0" w:color="auto"/>
              </w:divBdr>
              <w:divsChild>
                <w:div w:id="11533719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12360552">
      <w:bodyDiv w:val="1"/>
      <w:marLeft w:val="0"/>
      <w:marRight w:val="0"/>
      <w:marTop w:val="0"/>
      <w:marBottom w:val="0"/>
      <w:divBdr>
        <w:top w:val="none" w:sz="0" w:space="0" w:color="auto"/>
        <w:left w:val="none" w:sz="0" w:space="0" w:color="auto"/>
        <w:bottom w:val="none" w:sz="0" w:space="0" w:color="auto"/>
        <w:right w:val="none" w:sz="0" w:space="0" w:color="auto"/>
      </w:divBdr>
      <w:divsChild>
        <w:div w:id="597566724">
          <w:marLeft w:val="0"/>
          <w:marRight w:val="0"/>
          <w:marTop w:val="0"/>
          <w:marBottom w:val="0"/>
          <w:divBdr>
            <w:top w:val="none" w:sz="0" w:space="0" w:color="auto"/>
            <w:left w:val="none" w:sz="0" w:space="0" w:color="auto"/>
            <w:bottom w:val="none" w:sz="0" w:space="0" w:color="auto"/>
            <w:right w:val="none" w:sz="0" w:space="0" w:color="auto"/>
          </w:divBdr>
          <w:divsChild>
            <w:div w:id="1621647998">
              <w:marLeft w:val="0"/>
              <w:marRight w:val="0"/>
              <w:marTop w:val="0"/>
              <w:marBottom w:val="0"/>
              <w:divBdr>
                <w:top w:val="none" w:sz="0" w:space="0" w:color="auto"/>
                <w:left w:val="none" w:sz="0" w:space="0" w:color="auto"/>
                <w:bottom w:val="none" w:sz="0" w:space="0" w:color="auto"/>
                <w:right w:val="none" w:sz="0" w:space="0" w:color="auto"/>
              </w:divBdr>
              <w:divsChild>
                <w:div w:id="848327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56815475">
      <w:bodyDiv w:val="1"/>
      <w:marLeft w:val="0"/>
      <w:marRight w:val="0"/>
      <w:marTop w:val="0"/>
      <w:marBottom w:val="0"/>
      <w:divBdr>
        <w:top w:val="none" w:sz="0" w:space="0" w:color="auto"/>
        <w:left w:val="none" w:sz="0" w:space="0" w:color="auto"/>
        <w:bottom w:val="none" w:sz="0" w:space="0" w:color="auto"/>
        <w:right w:val="none" w:sz="0" w:space="0" w:color="auto"/>
      </w:divBdr>
      <w:divsChild>
        <w:div w:id="1350915466">
          <w:marLeft w:val="0"/>
          <w:marRight w:val="0"/>
          <w:marTop w:val="0"/>
          <w:marBottom w:val="0"/>
          <w:divBdr>
            <w:top w:val="none" w:sz="0" w:space="0" w:color="auto"/>
            <w:left w:val="none" w:sz="0" w:space="0" w:color="auto"/>
            <w:bottom w:val="none" w:sz="0" w:space="0" w:color="auto"/>
            <w:right w:val="none" w:sz="0" w:space="0" w:color="auto"/>
          </w:divBdr>
          <w:divsChild>
            <w:div w:id="1401754674">
              <w:marLeft w:val="0"/>
              <w:marRight w:val="0"/>
              <w:marTop w:val="0"/>
              <w:marBottom w:val="0"/>
              <w:divBdr>
                <w:top w:val="none" w:sz="0" w:space="0" w:color="auto"/>
                <w:left w:val="none" w:sz="0" w:space="0" w:color="auto"/>
                <w:bottom w:val="none" w:sz="0" w:space="0" w:color="auto"/>
                <w:right w:val="none" w:sz="0" w:space="0" w:color="auto"/>
              </w:divBdr>
              <w:divsChild>
                <w:div w:id="699344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92056000">
      <w:bodyDiv w:val="1"/>
      <w:marLeft w:val="0"/>
      <w:marRight w:val="0"/>
      <w:marTop w:val="0"/>
      <w:marBottom w:val="0"/>
      <w:divBdr>
        <w:top w:val="none" w:sz="0" w:space="0" w:color="auto"/>
        <w:left w:val="none" w:sz="0" w:space="0" w:color="auto"/>
        <w:bottom w:val="none" w:sz="0" w:space="0" w:color="auto"/>
        <w:right w:val="none" w:sz="0" w:space="0" w:color="auto"/>
      </w:divBdr>
      <w:divsChild>
        <w:div w:id="620380802">
          <w:marLeft w:val="0"/>
          <w:marRight w:val="0"/>
          <w:marTop w:val="0"/>
          <w:marBottom w:val="0"/>
          <w:divBdr>
            <w:top w:val="none" w:sz="0" w:space="0" w:color="auto"/>
            <w:left w:val="none" w:sz="0" w:space="0" w:color="auto"/>
            <w:bottom w:val="none" w:sz="0" w:space="0" w:color="auto"/>
            <w:right w:val="none" w:sz="0" w:space="0" w:color="auto"/>
          </w:divBdr>
          <w:divsChild>
            <w:div w:id="1412192213">
              <w:marLeft w:val="0"/>
              <w:marRight w:val="0"/>
              <w:marTop w:val="0"/>
              <w:marBottom w:val="0"/>
              <w:divBdr>
                <w:top w:val="none" w:sz="0" w:space="0" w:color="auto"/>
                <w:left w:val="none" w:sz="0" w:space="0" w:color="auto"/>
                <w:bottom w:val="none" w:sz="0" w:space="0" w:color="auto"/>
                <w:right w:val="none" w:sz="0" w:space="0" w:color="auto"/>
              </w:divBdr>
              <w:divsChild>
                <w:div w:id="1835221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87754743">
      <w:bodyDiv w:val="1"/>
      <w:marLeft w:val="0"/>
      <w:marRight w:val="0"/>
      <w:marTop w:val="0"/>
      <w:marBottom w:val="0"/>
      <w:divBdr>
        <w:top w:val="none" w:sz="0" w:space="0" w:color="auto"/>
        <w:left w:val="none" w:sz="0" w:space="0" w:color="auto"/>
        <w:bottom w:val="none" w:sz="0" w:space="0" w:color="auto"/>
        <w:right w:val="none" w:sz="0" w:space="0" w:color="auto"/>
      </w:divBdr>
      <w:divsChild>
        <w:div w:id="1046490680">
          <w:marLeft w:val="0"/>
          <w:marRight w:val="0"/>
          <w:marTop w:val="0"/>
          <w:marBottom w:val="0"/>
          <w:divBdr>
            <w:top w:val="none" w:sz="0" w:space="0" w:color="auto"/>
            <w:left w:val="none" w:sz="0" w:space="0" w:color="auto"/>
            <w:bottom w:val="none" w:sz="0" w:space="0" w:color="auto"/>
            <w:right w:val="none" w:sz="0" w:space="0" w:color="auto"/>
          </w:divBdr>
          <w:divsChild>
            <w:div w:id="561721582">
              <w:marLeft w:val="0"/>
              <w:marRight w:val="0"/>
              <w:marTop w:val="0"/>
              <w:marBottom w:val="0"/>
              <w:divBdr>
                <w:top w:val="none" w:sz="0" w:space="0" w:color="auto"/>
                <w:left w:val="none" w:sz="0" w:space="0" w:color="auto"/>
                <w:bottom w:val="none" w:sz="0" w:space="0" w:color="auto"/>
                <w:right w:val="none" w:sz="0" w:space="0" w:color="auto"/>
              </w:divBdr>
              <w:divsChild>
                <w:div w:id="2872448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86801092">
      <w:bodyDiv w:val="1"/>
      <w:marLeft w:val="0"/>
      <w:marRight w:val="0"/>
      <w:marTop w:val="0"/>
      <w:marBottom w:val="0"/>
      <w:divBdr>
        <w:top w:val="none" w:sz="0" w:space="0" w:color="auto"/>
        <w:left w:val="none" w:sz="0" w:space="0" w:color="auto"/>
        <w:bottom w:val="none" w:sz="0" w:space="0" w:color="auto"/>
        <w:right w:val="none" w:sz="0" w:space="0" w:color="auto"/>
      </w:divBdr>
      <w:divsChild>
        <w:div w:id="1415084776">
          <w:marLeft w:val="0"/>
          <w:marRight w:val="0"/>
          <w:marTop w:val="0"/>
          <w:marBottom w:val="0"/>
          <w:divBdr>
            <w:top w:val="none" w:sz="0" w:space="0" w:color="auto"/>
            <w:left w:val="none" w:sz="0" w:space="0" w:color="auto"/>
            <w:bottom w:val="none" w:sz="0" w:space="0" w:color="auto"/>
            <w:right w:val="none" w:sz="0" w:space="0" w:color="auto"/>
          </w:divBdr>
          <w:divsChild>
            <w:div w:id="265965262">
              <w:marLeft w:val="0"/>
              <w:marRight w:val="0"/>
              <w:marTop w:val="0"/>
              <w:marBottom w:val="0"/>
              <w:divBdr>
                <w:top w:val="none" w:sz="0" w:space="0" w:color="auto"/>
                <w:left w:val="none" w:sz="0" w:space="0" w:color="auto"/>
                <w:bottom w:val="none" w:sz="0" w:space="0" w:color="auto"/>
                <w:right w:val="none" w:sz="0" w:space="0" w:color="auto"/>
              </w:divBdr>
              <w:divsChild>
                <w:div w:id="4604641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46709578">
      <w:bodyDiv w:val="1"/>
      <w:marLeft w:val="0"/>
      <w:marRight w:val="0"/>
      <w:marTop w:val="0"/>
      <w:marBottom w:val="0"/>
      <w:divBdr>
        <w:top w:val="none" w:sz="0" w:space="0" w:color="auto"/>
        <w:left w:val="none" w:sz="0" w:space="0" w:color="auto"/>
        <w:bottom w:val="none" w:sz="0" w:space="0" w:color="auto"/>
        <w:right w:val="none" w:sz="0" w:space="0" w:color="auto"/>
      </w:divBdr>
      <w:divsChild>
        <w:div w:id="1190803212">
          <w:marLeft w:val="0"/>
          <w:marRight w:val="0"/>
          <w:marTop w:val="0"/>
          <w:marBottom w:val="0"/>
          <w:divBdr>
            <w:top w:val="none" w:sz="0" w:space="0" w:color="auto"/>
            <w:left w:val="none" w:sz="0" w:space="0" w:color="auto"/>
            <w:bottom w:val="none" w:sz="0" w:space="0" w:color="auto"/>
            <w:right w:val="none" w:sz="0" w:space="0" w:color="auto"/>
          </w:divBdr>
          <w:divsChild>
            <w:div w:id="1608850139">
              <w:marLeft w:val="0"/>
              <w:marRight w:val="0"/>
              <w:marTop w:val="0"/>
              <w:marBottom w:val="0"/>
              <w:divBdr>
                <w:top w:val="none" w:sz="0" w:space="0" w:color="auto"/>
                <w:left w:val="none" w:sz="0" w:space="0" w:color="auto"/>
                <w:bottom w:val="none" w:sz="0" w:space="0" w:color="auto"/>
                <w:right w:val="none" w:sz="0" w:space="0" w:color="auto"/>
              </w:divBdr>
              <w:divsChild>
                <w:div w:id="5896570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02096602">
      <w:bodyDiv w:val="1"/>
      <w:marLeft w:val="0"/>
      <w:marRight w:val="0"/>
      <w:marTop w:val="0"/>
      <w:marBottom w:val="0"/>
      <w:divBdr>
        <w:top w:val="none" w:sz="0" w:space="0" w:color="auto"/>
        <w:left w:val="none" w:sz="0" w:space="0" w:color="auto"/>
        <w:bottom w:val="none" w:sz="0" w:space="0" w:color="auto"/>
        <w:right w:val="none" w:sz="0" w:space="0" w:color="auto"/>
      </w:divBdr>
      <w:divsChild>
        <w:div w:id="566573185">
          <w:marLeft w:val="0"/>
          <w:marRight w:val="0"/>
          <w:marTop w:val="0"/>
          <w:marBottom w:val="0"/>
          <w:divBdr>
            <w:top w:val="none" w:sz="0" w:space="0" w:color="auto"/>
            <w:left w:val="none" w:sz="0" w:space="0" w:color="auto"/>
            <w:bottom w:val="none" w:sz="0" w:space="0" w:color="auto"/>
            <w:right w:val="none" w:sz="0" w:space="0" w:color="auto"/>
          </w:divBdr>
          <w:divsChild>
            <w:div w:id="111898426">
              <w:marLeft w:val="0"/>
              <w:marRight w:val="0"/>
              <w:marTop w:val="0"/>
              <w:marBottom w:val="0"/>
              <w:divBdr>
                <w:top w:val="none" w:sz="0" w:space="0" w:color="auto"/>
                <w:left w:val="none" w:sz="0" w:space="0" w:color="auto"/>
                <w:bottom w:val="none" w:sz="0" w:space="0" w:color="auto"/>
                <w:right w:val="none" w:sz="0" w:space="0" w:color="auto"/>
              </w:divBdr>
              <w:divsChild>
                <w:div w:id="15474029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79573322">
      <w:bodyDiv w:val="1"/>
      <w:marLeft w:val="0"/>
      <w:marRight w:val="0"/>
      <w:marTop w:val="0"/>
      <w:marBottom w:val="0"/>
      <w:divBdr>
        <w:top w:val="none" w:sz="0" w:space="0" w:color="auto"/>
        <w:left w:val="none" w:sz="0" w:space="0" w:color="auto"/>
        <w:bottom w:val="none" w:sz="0" w:space="0" w:color="auto"/>
        <w:right w:val="none" w:sz="0" w:space="0" w:color="auto"/>
      </w:divBdr>
      <w:divsChild>
        <w:div w:id="2135521351">
          <w:marLeft w:val="0"/>
          <w:marRight w:val="0"/>
          <w:marTop w:val="0"/>
          <w:marBottom w:val="0"/>
          <w:divBdr>
            <w:top w:val="none" w:sz="0" w:space="0" w:color="auto"/>
            <w:left w:val="none" w:sz="0" w:space="0" w:color="auto"/>
            <w:bottom w:val="none" w:sz="0" w:space="0" w:color="auto"/>
            <w:right w:val="none" w:sz="0" w:space="0" w:color="auto"/>
          </w:divBdr>
          <w:divsChild>
            <w:div w:id="484467509">
              <w:marLeft w:val="0"/>
              <w:marRight w:val="0"/>
              <w:marTop w:val="0"/>
              <w:marBottom w:val="0"/>
              <w:divBdr>
                <w:top w:val="none" w:sz="0" w:space="0" w:color="auto"/>
                <w:left w:val="none" w:sz="0" w:space="0" w:color="auto"/>
                <w:bottom w:val="none" w:sz="0" w:space="0" w:color="auto"/>
                <w:right w:val="none" w:sz="0" w:space="0" w:color="auto"/>
              </w:divBdr>
              <w:divsChild>
                <w:div w:id="7520461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57111346">
      <w:bodyDiv w:val="1"/>
      <w:marLeft w:val="0"/>
      <w:marRight w:val="0"/>
      <w:marTop w:val="0"/>
      <w:marBottom w:val="0"/>
      <w:divBdr>
        <w:top w:val="none" w:sz="0" w:space="0" w:color="auto"/>
        <w:left w:val="none" w:sz="0" w:space="0" w:color="auto"/>
        <w:bottom w:val="none" w:sz="0" w:space="0" w:color="auto"/>
        <w:right w:val="none" w:sz="0" w:space="0" w:color="auto"/>
      </w:divBdr>
      <w:divsChild>
        <w:div w:id="69426028">
          <w:marLeft w:val="0"/>
          <w:marRight w:val="0"/>
          <w:marTop w:val="0"/>
          <w:marBottom w:val="0"/>
          <w:divBdr>
            <w:top w:val="none" w:sz="0" w:space="0" w:color="auto"/>
            <w:left w:val="none" w:sz="0" w:space="0" w:color="auto"/>
            <w:bottom w:val="none" w:sz="0" w:space="0" w:color="auto"/>
            <w:right w:val="none" w:sz="0" w:space="0" w:color="auto"/>
          </w:divBdr>
          <w:divsChild>
            <w:div w:id="901524413">
              <w:marLeft w:val="0"/>
              <w:marRight w:val="0"/>
              <w:marTop w:val="0"/>
              <w:marBottom w:val="0"/>
              <w:divBdr>
                <w:top w:val="none" w:sz="0" w:space="0" w:color="auto"/>
                <w:left w:val="none" w:sz="0" w:space="0" w:color="auto"/>
                <w:bottom w:val="none" w:sz="0" w:space="0" w:color="auto"/>
                <w:right w:val="none" w:sz="0" w:space="0" w:color="auto"/>
              </w:divBdr>
              <w:divsChild>
                <w:div w:id="18925692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4.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3.xm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tyles" Target="styles.xml"/><Relationship Id="rId9" Type="http://schemas.openxmlformats.org/officeDocument/2006/relationships/header" Target="header1.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Props1.xml><?xml version="1.0" encoding="utf-8"?>
<ds:datastoreItem xmlns:ds="http://schemas.openxmlformats.org/officeDocument/2006/customXml" ds:itemID="{792B6655-47F3-4FF0-8405-7727DEC7BACF}">
  <ds:schemaRefs>
    <ds:schemaRef ds:uri="http://schemas.openxmlformats.org/officeDocument/2006/bibliography"/>
  </ds:schemaRefs>
</ds:datastoreItem>
</file>

<file path=customXml/itemProps2.xml><?xml version="1.0" encoding="utf-8"?>
<ds:datastoreItem xmlns:ds="http://schemas.openxmlformats.org/officeDocument/2006/customXml" ds:itemID="{B7762263-F207-4B2B-ACA7-468B5A6EE03C}">
  <ds:schemaRefs>
    <ds:schemaRef ds:uri="http://schemas.microsoft.com/office/2006/customDocumentInformationPanel"/>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6</Pages>
  <Words>1430</Words>
  <Characters>7965</Characters>
  <Application>Microsoft Office Word</Application>
  <DocSecurity>0</DocSecurity>
  <Lines>66</Lines>
  <Paragraphs>18</Paragraphs>
  <ScaleCrop>false</ScaleCrop>
  <HeadingPairs>
    <vt:vector size="2" baseType="variant">
      <vt:variant>
        <vt:lpstr>Title</vt:lpstr>
      </vt:variant>
      <vt:variant>
        <vt:i4>1</vt:i4>
      </vt:variant>
    </vt:vector>
  </HeadingPairs>
  <TitlesOfParts>
    <vt:vector size="1" baseType="lpstr">
      <vt:lpstr>asesora - IT</vt:lpstr>
    </vt:vector>
  </TitlesOfParts>
  <Company> </Company>
  <LinksUpToDate>false</LinksUpToDate>
  <CharactersWithSpaces>9377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asesora - IT</dc:title>
  <dc:subject/>
  <dc:creator>Francisco J. Báez</dc:creator>
  <cp:keywords/>
  <cp:lastModifiedBy>Gladys J. Burgos Torres</cp:lastModifiedBy>
  <cp:revision>3</cp:revision>
  <cp:lastPrinted>2025-09-16T00:43:00Z</cp:lastPrinted>
  <dcterms:created xsi:type="dcterms:W3CDTF">2025-10-15T17:20:00Z</dcterms:created>
  <dcterms:modified xsi:type="dcterms:W3CDTF">2025-10-15T19:34:00Z</dcterms:modified>
</cp:coreProperties>
</file>