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579C4738"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r>
      <w:r w:rsidR="00301005">
        <w:rPr>
          <w:rFonts w:ascii="Book Antiqua" w:hAnsi="Book Antiqua"/>
          <w:lang w:val="es-ES_tradnl"/>
        </w:rPr>
        <w:t>2</w:t>
      </w:r>
      <w:r>
        <w:rPr>
          <w:rFonts w:ascii="Book Antiqua" w:hAnsi="Book Antiqua"/>
          <w:lang w:val="es-ES_tradnl"/>
        </w:rPr>
        <w:t xml:space="preserve"> </w:t>
      </w:r>
      <w:r w:rsidR="00301005">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756CBA5D"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93072F">
        <w:rPr>
          <w:rFonts w:ascii="Book Antiqua" w:hAnsi="Book Antiqua"/>
          <w:b/>
          <w:sz w:val="52"/>
          <w:lang w:val="es-ES_tradnl"/>
        </w:rPr>
        <w:t>481</w:t>
      </w:r>
    </w:p>
    <w:p w14:paraId="2CA38D37" w14:textId="77777777" w:rsidR="00561C91" w:rsidRPr="00561C91" w:rsidRDefault="00561C91" w:rsidP="00561C91">
      <w:pPr>
        <w:jc w:val="center"/>
        <w:rPr>
          <w:rFonts w:ascii="Book Antiqua" w:hAnsi="Book Antiqua"/>
          <w:b/>
          <w:szCs w:val="24"/>
          <w:lang w:val="es-ES_tradnl"/>
        </w:rPr>
      </w:pPr>
    </w:p>
    <w:p w14:paraId="0495B464" w14:textId="02510950" w:rsidR="008D4334" w:rsidRDefault="0093072F" w:rsidP="00561C91">
      <w:pPr>
        <w:jc w:val="center"/>
        <w:rPr>
          <w:rFonts w:ascii="Book Antiqua" w:hAnsi="Book Antiqua"/>
          <w:lang w:val="es-ES_tradnl"/>
        </w:rPr>
      </w:pPr>
      <w:r>
        <w:rPr>
          <w:rFonts w:ascii="Book Antiqua" w:hAnsi="Book Antiqua"/>
          <w:lang w:val="es-ES_tradnl"/>
        </w:rPr>
        <w:t xml:space="preserve">16 </w:t>
      </w:r>
      <w:r w:rsidR="003C2DE9">
        <w:rPr>
          <w:rFonts w:ascii="Book Antiqua" w:hAnsi="Book Antiqua"/>
          <w:lang w:val="es-ES_tradnl"/>
        </w:rPr>
        <w:t xml:space="preserve">DE </w:t>
      </w:r>
      <w:r w:rsidR="006E656D">
        <w:rPr>
          <w:rFonts w:ascii="Book Antiqua" w:hAnsi="Book Antiqua"/>
          <w:lang w:val="es-ES_tradnl"/>
        </w:rPr>
        <w:t>OCTUBRE</w:t>
      </w:r>
      <w:r w:rsidR="008D4334">
        <w:rPr>
          <w:rFonts w:ascii="Book Antiqua" w:hAnsi="Book Antiqua"/>
          <w:lang w:val="es-ES_tradnl"/>
        </w:rPr>
        <w:t xml:space="preserve"> DE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726D688C" w:rsidR="0015389A" w:rsidRDefault="003B5A06" w:rsidP="00D27931">
      <w:pPr>
        <w:ind w:left="540" w:hanging="540"/>
        <w:jc w:val="both"/>
        <w:rPr>
          <w:rFonts w:ascii="Book Antiqua" w:hAnsi="Book Antiqua"/>
          <w:lang w:val="es-PR"/>
        </w:rPr>
      </w:pPr>
      <w:r w:rsidRPr="003B5A06">
        <w:rPr>
          <w:rFonts w:ascii="Book Antiqua" w:hAnsi="Book Antiqua"/>
          <w:lang w:val="es-ES_tradnl"/>
        </w:rPr>
        <w:t xml:space="preserve">Para </w:t>
      </w:r>
      <w:bookmarkStart w:id="0" w:name="_Hlk196089212"/>
      <w:bookmarkStart w:id="1" w:name="_Hlk192107557"/>
      <w:bookmarkStart w:id="2" w:name="_Hlk192113111"/>
      <w:r w:rsidR="008B2FF5" w:rsidRPr="008B2FF5">
        <w:rPr>
          <w:rFonts w:ascii="Book Antiqua" w:hAnsi="Book Antiqua"/>
          <w:lang w:val="es-PR"/>
        </w:rPr>
        <w:t>ordenar a la Comisión de Agricultura de la Cámara de Representantes de Puerto Rico realizar una investigación sobre las razones por las cuales no se ha reparado la Villa Pesquera de Maunabo desde el paso del Huracán María en septiembre de 2017; y para otros fines relacionados</w:t>
      </w:r>
      <w:r w:rsidR="00301005">
        <w:rPr>
          <w:rFonts w:ascii="Book Antiqua" w:hAnsi="Book Antiqua"/>
          <w:lang w:val="es-ES_tradnl"/>
        </w:rPr>
        <w:t>.</w:t>
      </w:r>
      <w:bookmarkEnd w:id="0"/>
      <w:bookmarkEnd w:id="1"/>
      <w:bookmarkEnd w:id="2"/>
      <w:r w:rsidR="00AD3F86">
        <w:rPr>
          <w:rFonts w:ascii="Book Antiqua" w:hAnsi="Book Antiqua"/>
          <w:lang w:val="es-PR"/>
        </w:rPr>
        <w:t xml:space="preserve"> </w:t>
      </w:r>
    </w:p>
    <w:p w14:paraId="2AAC2192" w14:textId="77777777" w:rsidR="00F073B8" w:rsidRDefault="00F073B8" w:rsidP="00D27931">
      <w:pPr>
        <w:ind w:left="426" w:hanging="426"/>
        <w:jc w:val="both"/>
        <w:rPr>
          <w:rFonts w:ascii="Book Antiqua" w:hAnsi="Book Antiqua"/>
          <w:lang w:val="es-ES_tradnl"/>
        </w:rPr>
      </w:pPr>
    </w:p>
    <w:p w14:paraId="216D1CAF" w14:textId="2BD6960C" w:rsidR="00F446CC" w:rsidRDefault="008D4334" w:rsidP="00D2793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D27931">
      <w:pPr>
        <w:jc w:val="center"/>
        <w:rPr>
          <w:rFonts w:ascii="Book Antiqua" w:hAnsi="Book Antiqua"/>
          <w:lang w:val="es-ES_tradnl"/>
        </w:rPr>
      </w:pPr>
    </w:p>
    <w:p w14:paraId="7ACD3191" w14:textId="124F7401" w:rsidR="008B2FF5" w:rsidRDefault="008B2FF5" w:rsidP="00D27931">
      <w:pPr>
        <w:ind w:firstLine="720"/>
        <w:jc w:val="both"/>
        <w:rPr>
          <w:rFonts w:ascii="Book Antiqua" w:hAnsi="Book Antiqua"/>
          <w:lang w:val="es-PR"/>
        </w:rPr>
      </w:pPr>
      <w:r w:rsidRPr="008B2FF5">
        <w:rPr>
          <w:rFonts w:ascii="Book Antiqua" w:hAnsi="Book Antiqua"/>
          <w:lang w:val="es-PR"/>
        </w:rPr>
        <w:t>La Villa Pesquera de Maunabo ha sido históricamente un centro vital para la actividad económica, cultural y alimentaria de la región sureste de Puerto Rico. En ella convergen pescadores artesanales, comerciantes locales y familias que dependen de la pesca como sustento y tradición. El paso del Huracán María en septiembre de 2017 causó daños significativos a esta instalación, afectando su infraestructura, equipo y capacidad operativa. A pesar de múltiples promesas de reconstrucción y asignaciones presupuestarias anunciadas en años posteriores, la Villa Pesquera continúa en estado de abandono o deterioro, limitando el desarrollo económico local.</w:t>
      </w:r>
    </w:p>
    <w:p w14:paraId="5EBC4C3C" w14:textId="77777777" w:rsidR="00D27931" w:rsidRPr="008B2FF5" w:rsidRDefault="00D27931" w:rsidP="00D27931">
      <w:pPr>
        <w:ind w:firstLine="720"/>
        <w:jc w:val="both"/>
        <w:rPr>
          <w:rFonts w:ascii="Book Antiqua" w:hAnsi="Book Antiqua"/>
          <w:lang w:val="es-PR"/>
        </w:rPr>
      </w:pPr>
    </w:p>
    <w:p w14:paraId="64A8D1E2" w14:textId="77777777" w:rsidR="008B2FF5" w:rsidRDefault="008B2FF5" w:rsidP="00D27931">
      <w:pPr>
        <w:ind w:firstLine="720"/>
        <w:jc w:val="both"/>
        <w:rPr>
          <w:rFonts w:ascii="Book Antiqua" w:hAnsi="Book Antiqua"/>
          <w:lang w:val="es-PR"/>
        </w:rPr>
      </w:pPr>
      <w:r w:rsidRPr="008B2FF5">
        <w:rPr>
          <w:rFonts w:ascii="Book Antiqua" w:hAnsi="Book Antiqua"/>
          <w:lang w:val="es-PR"/>
        </w:rPr>
        <w:t xml:space="preserve">La falta de acción concreta plantea interrogantes sobre la gestión de fondos federales y estatales, la coordinación entre agencias como el Departamento de Agricultura, la Autoridad para el Financiamiento de la Infraestructura (AFI), y el Programa de Desarrollo de la Pesca Artesanal. También genera preocupación sobre el cumplimiento de los principios de equidad territorial y justicia ambiental, dado que comunidades costeras como Maunabo enfrentan </w:t>
      </w:r>
      <w:r>
        <w:rPr>
          <w:rFonts w:ascii="Book Antiqua" w:hAnsi="Book Antiqua"/>
          <w:lang w:val="es-PR"/>
        </w:rPr>
        <w:t>rezago de parte del Estado en materia de atención de sus necesidades.</w:t>
      </w:r>
    </w:p>
    <w:p w14:paraId="346DAB33" w14:textId="3C140CB5" w:rsidR="00B606AF" w:rsidRDefault="008B2FF5" w:rsidP="00D27931">
      <w:pPr>
        <w:ind w:firstLine="720"/>
        <w:jc w:val="both"/>
        <w:rPr>
          <w:rFonts w:ascii="Book Antiqua" w:hAnsi="Book Antiqua"/>
          <w:lang w:val="es-PR"/>
        </w:rPr>
      </w:pPr>
      <w:r>
        <w:rPr>
          <w:rFonts w:ascii="Book Antiqua" w:hAnsi="Book Antiqua"/>
          <w:lang w:val="es-PR"/>
        </w:rPr>
        <w:lastRenderedPageBreak/>
        <w:t>E</w:t>
      </w:r>
      <w:r w:rsidRPr="008B2FF5">
        <w:rPr>
          <w:rFonts w:ascii="Book Antiqua" w:hAnsi="Book Antiqua"/>
          <w:lang w:val="es-PR"/>
        </w:rPr>
        <w:t xml:space="preserve">sta resolución busca esclarecer las causas del retraso, identificar obstáculos administrativos o presupuestarios, y proponer medidas correctivas que permitan la rehabilitación de la Villa Pesquera </w:t>
      </w:r>
      <w:r>
        <w:rPr>
          <w:rFonts w:ascii="Book Antiqua" w:hAnsi="Book Antiqua"/>
          <w:lang w:val="es-PR"/>
        </w:rPr>
        <w:t xml:space="preserve">de Maunabo </w:t>
      </w:r>
      <w:r w:rsidRPr="008B2FF5">
        <w:rPr>
          <w:rFonts w:ascii="Book Antiqua" w:hAnsi="Book Antiqua"/>
          <w:lang w:val="es-PR"/>
        </w:rPr>
        <w:t>como activo comunitario y económico</w:t>
      </w:r>
      <w:r w:rsidR="006E656D" w:rsidRPr="006E656D">
        <w:rPr>
          <w:rFonts w:ascii="Book Antiqua" w:hAnsi="Book Antiqua"/>
          <w:lang w:val="es-PR"/>
        </w:rPr>
        <w:t>.</w:t>
      </w:r>
    </w:p>
    <w:p w14:paraId="49960A06" w14:textId="77777777" w:rsidR="00D27931" w:rsidRPr="006E656D" w:rsidRDefault="00D27931" w:rsidP="00D27931">
      <w:pPr>
        <w:ind w:firstLine="720"/>
        <w:jc w:val="both"/>
        <w:rPr>
          <w:rFonts w:ascii="Book Antiqua" w:hAnsi="Book Antiqua"/>
          <w:lang w:val="es-PR"/>
        </w:rPr>
      </w:pPr>
    </w:p>
    <w:p w14:paraId="45978958" w14:textId="77777777" w:rsidR="008D4334" w:rsidRDefault="008D4334" w:rsidP="00D27931">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4E6FC60C" w14:textId="77777777" w:rsidR="008B2FF5" w:rsidRPr="008B2FF5" w:rsidRDefault="008D4334" w:rsidP="008B2FF5">
      <w:pPr>
        <w:spacing w:line="480" w:lineRule="auto"/>
        <w:ind w:firstLine="450"/>
        <w:jc w:val="both"/>
        <w:rPr>
          <w:rFonts w:ascii="Book Antiqua" w:hAnsi="Book Antiqua"/>
          <w:lang w:val="es-PR"/>
        </w:rPr>
      </w:pPr>
      <w:r w:rsidRPr="00344203">
        <w:rPr>
          <w:rFonts w:ascii="Book Antiqua" w:hAnsi="Book Antiqua"/>
          <w:lang w:val="es-ES_tradnl"/>
        </w:rPr>
        <w:t>Sección 1.-</w:t>
      </w:r>
      <w:r w:rsidRPr="00344203">
        <w:rPr>
          <w:rFonts w:ascii="Book Antiqua" w:hAnsi="Book Antiqua"/>
          <w:lang w:val="es-PR"/>
        </w:rPr>
        <w:t xml:space="preserve"> </w:t>
      </w:r>
      <w:r w:rsidR="008B2FF5" w:rsidRPr="008B2FF5">
        <w:rPr>
          <w:rFonts w:ascii="Book Antiqua" w:hAnsi="Book Antiqua"/>
          <w:lang w:val="es-PR"/>
        </w:rPr>
        <w:t>Se ordena a la Comisión de Agricultura de la Cámara de Representantes de Puerto Rico realizar una investigación sobre las razones por las cuales no se ha reparado la Villa Pesquera de Maunabo desde el paso del Huracán María.</w:t>
      </w:r>
    </w:p>
    <w:p w14:paraId="310D9A0B" w14:textId="34E51712" w:rsidR="008B2FF5" w:rsidRPr="008B2FF5" w:rsidRDefault="008B2FF5" w:rsidP="008B2FF5">
      <w:pPr>
        <w:spacing w:line="480" w:lineRule="auto"/>
        <w:ind w:firstLine="450"/>
        <w:jc w:val="both"/>
        <w:rPr>
          <w:rFonts w:ascii="Book Antiqua" w:hAnsi="Book Antiqua"/>
          <w:lang w:val="es-PR"/>
        </w:rPr>
      </w:pPr>
      <w:r>
        <w:rPr>
          <w:rFonts w:ascii="Book Antiqua" w:hAnsi="Book Antiqua"/>
          <w:lang w:val="es-PR"/>
        </w:rPr>
        <w:t xml:space="preserve">Sección </w:t>
      </w:r>
      <w:proofErr w:type="gramStart"/>
      <w:r w:rsidRPr="008B2FF5">
        <w:rPr>
          <w:rFonts w:ascii="Book Antiqua" w:hAnsi="Book Antiqua"/>
          <w:lang w:val="es-PR"/>
        </w:rPr>
        <w:t>2.—</w:t>
      </w:r>
      <w:proofErr w:type="gramEnd"/>
      <w:r w:rsidRPr="008B2FF5">
        <w:rPr>
          <w:rFonts w:ascii="Book Antiqua" w:hAnsi="Book Antiqua"/>
          <w:lang w:val="es-PR"/>
        </w:rPr>
        <w:t>La investigación deberá incluir, pero no limitarse a:</w:t>
      </w:r>
    </w:p>
    <w:p w14:paraId="71DB701C" w14:textId="30EF934A" w:rsidR="008B2FF5" w:rsidRPr="008B2FF5" w:rsidRDefault="008B2FF5" w:rsidP="008B2FF5">
      <w:pPr>
        <w:numPr>
          <w:ilvl w:val="0"/>
          <w:numId w:val="5"/>
        </w:numPr>
        <w:spacing w:line="480" w:lineRule="auto"/>
        <w:jc w:val="both"/>
        <w:rPr>
          <w:rFonts w:ascii="Book Antiqua" w:hAnsi="Book Antiqua"/>
          <w:lang w:val="es-PR"/>
        </w:rPr>
      </w:pPr>
      <w:r w:rsidRPr="008B2FF5">
        <w:rPr>
          <w:rFonts w:ascii="Book Antiqua" w:hAnsi="Book Antiqua"/>
          <w:lang w:val="es-PR"/>
        </w:rPr>
        <w:t xml:space="preserve">Revisión de asignaciones presupuestarias estatales y federales destinadas a la reparación de </w:t>
      </w:r>
      <w:r>
        <w:rPr>
          <w:rFonts w:ascii="Book Antiqua" w:hAnsi="Book Antiqua"/>
          <w:lang w:val="es-PR"/>
        </w:rPr>
        <w:t xml:space="preserve">la </w:t>
      </w:r>
      <w:r w:rsidRPr="008B2FF5">
        <w:rPr>
          <w:rFonts w:ascii="Book Antiqua" w:hAnsi="Book Antiqua"/>
          <w:lang w:val="es-PR"/>
        </w:rPr>
        <w:t>villa pesquera</w:t>
      </w:r>
      <w:r>
        <w:rPr>
          <w:rFonts w:ascii="Book Antiqua" w:hAnsi="Book Antiqua"/>
          <w:lang w:val="es-PR"/>
        </w:rPr>
        <w:t>.</w:t>
      </w:r>
    </w:p>
    <w:p w14:paraId="0A68D364" w14:textId="77777777" w:rsidR="008B2FF5" w:rsidRPr="008B2FF5" w:rsidRDefault="008B2FF5" w:rsidP="008B2FF5">
      <w:pPr>
        <w:numPr>
          <w:ilvl w:val="0"/>
          <w:numId w:val="5"/>
        </w:numPr>
        <w:spacing w:line="480" w:lineRule="auto"/>
        <w:jc w:val="both"/>
        <w:rPr>
          <w:rFonts w:ascii="Book Antiqua" w:hAnsi="Book Antiqua"/>
          <w:lang w:val="es-PR"/>
        </w:rPr>
      </w:pPr>
      <w:r w:rsidRPr="008B2FF5">
        <w:rPr>
          <w:rFonts w:ascii="Book Antiqua" w:hAnsi="Book Antiqua"/>
          <w:lang w:val="es-PR"/>
        </w:rPr>
        <w:t>Evaluación de la gestión administrativa de las agencias responsables del proyecto.</w:t>
      </w:r>
    </w:p>
    <w:p w14:paraId="7282687C" w14:textId="77777777" w:rsidR="008B2FF5" w:rsidRPr="008B2FF5" w:rsidRDefault="008B2FF5" w:rsidP="008B2FF5">
      <w:pPr>
        <w:numPr>
          <w:ilvl w:val="0"/>
          <w:numId w:val="5"/>
        </w:numPr>
        <w:spacing w:line="480" w:lineRule="auto"/>
        <w:jc w:val="both"/>
        <w:rPr>
          <w:rFonts w:ascii="Book Antiqua" w:hAnsi="Book Antiqua"/>
          <w:lang w:val="es-PR"/>
        </w:rPr>
      </w:pPr>
      <w:r w:rsidRPr="008B2FF5">
        <w:rPr>
          <w:rFonts w:ascii="Book Antiqua" w:hAnsi="Book Antiqua"/>
          <w:lang w:val="es-PR"/>
        </w:rPr>
        <w:t xml:space="preserve">Identificación de obstáculos legales, técnicos o de </w:t>
      </w:r>
      <w:proofErr w:type="spellStart"/>
      <w:r w:rsidRPr="008B2FF5">
        <w:rPr>
          <w:rFonts w:ascii="Book Antiqua" w:hAnsi="Book Antiqua"/>
          <w:lang w:val="es-PR"/>
        </w:rPr>
        <w:t>permisología</w:t>
      </w:r>
      <w:proofErr w:type="spellEnd"/>
      <w:r w:rsidRPr="008B2FF5">
        <w:rPr>
          <w:rFonts w:ascii="Book Antiqua" w:hAnsi="Book Antiqua"/>
          <w:lang w:val="es-PR"/>
        </w:rPr>
        <w:t xml:space="preserve"> que hayan impedido la ejecución.</w:t>
      </w:r>
    </w:p>
    <w:p w14:paraId="0FEF4FFD" w14:textId="77777777" w:rsidR="008B2FF5" w:rsidRPr="008B2FF5" w:rsidRDefault="008B2FF5" w:rsidP="008B2FF5">
      <w:pPr>
        <w:numPr>
          <w:ilvl w:val="0"/>
          <w:numId w:val="5"/>
        </w:numPr>
        <w:spacing w:line="480" w:lineRule="auto"/>
        <w:jc w:val="both"/>
        <w:rPr>
          <w:rFonts w:ascii="Book Antiqua" w:hAnsi="Book Antiqua"/>
          <w:lang w:val="es-PR"/>
        </w:rPr>
      </w:pPr>
      <w:r w:rsidRPr="008B2FF5">
        <w:rPr>
          <w:rFonts w:ascii="Book Antiqua" w:hAnsi="Book Antiqua"/>
          <w:lang w:val="es-PR"/>
        </w:rPr>
        <w:t>Análisis del impacto económico y social de la inacción sobre la comunidad pesquera de Maunabo.</w:t>
      </w:r>
    </w:p>
    <w:p w14:paraId="6ADC68F6" w14:textId="77777777" w:rsidR="008B2FF5" w:rsidRPr="008B2FF5" w:rsidRDefault="008B2FF5" w:rsidP="008B2FF5">
      <w:pPr>
        <w:numPr>
          <w:ilvl w:val="0"/>
          <w:numId w:val="5"/>
        </w:numPr>
        <w:spacing w:line="480" w:lineRule="auto"/>
        <w:jc w:val="both"/>
        <w:rPr>
          <w:rFonts w:ascii="Book Antiqua" w:hAnsi="Book Antiqua"/>
          <w:lang w:val="es-PR"/>
        </w:rPr>
      </w:pPr>
      <w:r w:rsidRPr="008B2FF5">
        <w:rPr>
          <w:rFonts w:ascii="Book Antiqua" w:hAnsi="Book Antiqua"/>
          <w:lang w:val="es-PR"/>
        </w:rPr>
        <w:t>Recomendaciones para acelerar la rehabilitación y garantizar la participación comunitaria en el proceso.</w:t>
      </w:r>
    </w:p>
    <w:p w14:paraId="24B38D38" w14:textId="6B13C472" w:rsidR="008B2FF5" w:rsidRPr="008B2FF5" w:rsidRDefault="008B2FF5" w:rsidP="008B2FF5">
      <w:pPr>
        <w:spacing w:line="480" w:lineRule="auto"/>
        <w:ind w:firstLine="450"/>
        <w:jc w:val="both"/>
        <w:rPr>
          <w:rFonts w:ascii="Book Antiqua" w:hAnsi="Book Antiqua"/>
          <w:lang w:val="es-PR"/>
        </w:rPr>
      </w:pPr>
      <w:r>
        <w:rPr>
          <w:rFonts w:ascii="Book Antiqua" w:hAnsi="Book Antiqua"/>
          <w:lang w:val="es-PR"/>
        </w:rPr>
        <w:t xml:space="preserve">Sección </w:t>
      </w:r>
      <w:r w:rsidRPr="008B2FF5">
        <w:rPr>
          <w:rFonts w:ascii="Book Antiqua" w:hAnsi="Book Antiqua"/>
          <w:lang w:val="es-PR"/>
        </w:rPr>
        <w:t>3. —</w:t>
      </w:r>
      <w:r>
        <w:rPr>
          <w:rFonts w:ascii="Book Antiqua" w:hAnsi="Book Antiqua"/>
          <w:lang w:val="es-PR"/>
        </w:rPr>
        <w:t>Con el objetivo de cumplir con el mandato legislativo dispuesto en esta Resolución, l</w:t>
      </w:r>
      <w:r w:rsidRPr="008B2FF5">
        <w:rPr>
          <w:rFonts w:ascii="Book Antiqua" w:hAnsi="Book Antiqua"/>
          <w:lang w:val="es-PR"/>
        </w:rPr>
        <w:t>a Comisión podrá celebrar vistas públicas, requerir la comparecencia de funcionarios, pescadores, líderes comunitarios y expertos en infraestructura costera, así como solicitar información a agencias gubernamentales pertinentes.</w:t>
      </w:r>
    </w:p>
    <w:p w14:paraId="173D6DE5" w14:textId="5C633D85" w:rsidR="008B2FF5" w:rsidRPr="008B2FF5" w:rsidRDefault="008B2FF5" w:rsidP="008B2FF5">
      <w:pPr>
        <w:spacing w:line="480" w:lineRule="auto"/>
        <w:ind w:firstLine="450"/>
        <w:jc w:val="both"/>
        <w:rPr>
          <w:rFonts w:ascii="Book Antiqua" w:hAnsi="Book Antiqua"/>
          <w:lang w:val="es-PR"/>
        </w:rPr>
      </w:pPr>
      <w:r>
        <w:rPr>
          <w:rFonts w:ascii="Book Antiqua" w:hAnsi="Book Antiqua"/>
          <w:lang w:val="es-PR"/>
        </w:rPr>
        <w:lastRenderedPageBreak/>
        <w:t>Sección</w:t>
      </w:r>
      <w:r w:rsidRPr="008B2FF5">
        <w:rPr>
          <w:rFonts w:ascii="Book Antiqua" w:hAnsi="Book Antiqua"/>
          <w:lang w:val="es-PR"/>
        </w:rPr>
        <w:t xml:space="preserve"> 4.—La Comisión deberá rendir un informe con sus hallazgos, conclusiones y recomendaciones a esta Cámara en un término no mayor de noventa (90) días a partir de la aprobación de esta Resolución.</w:t>
      </w:r>
    </w:p>
    <w:p w14:paraId="305F6F59" w14:textId="48FEC13D" w:rsidR="006E656D" w:rsidRPr="006E656D" w:rsidRDefault="008B2FF5" w:rsidP="008B2FF5">
      <w:pPr>
        <w:spacing w:line="480" w:lineRule="auto"/>
        <w:ind w:firstLine="450"/>
        <w:jc w:val="both"/>
        <w:rPr>
          <w:rFonts w:ascii="Book Antiqua" w:hAnsi="Book Antiqua"/>
          <w:lang w:val="es-PR"/>
        </w:rPr>
      </w:pPr>
      <w:r>
        <w:rPr>
          <w:rFonts w:ascii="Book Antiqua" w:hAnsi="Book Antiqua"/>
          <w:lang w:val="es-PR"/>
        </w:rPr>
        <w:t xml:space="preserve">Sección </w:t>
      </w:r>
      <w:r w:rsidRPr="008B2FF5">
        <w:rPr>
          <w:rFonts w:ascii="Book Antiqua" w:hAnsi="Book Antiqua"/>
          <w:lang w:val="es-PR"/>
        </w:rPr>
        <w:t>5. —Esta Resolución entrará en vigor inmediatamente después de su aprobación.</w:t>
      </w:r>
    </w:p>
    <w:sectPr w:rsidR="006E656D" w:rsidRPr="006E656D"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5C31E" w14:textId="77777777" w:rsidR="00BF096A" w:rsidRDefault="00BF096A" w:rsidP="008D4334">
      <w:r>
        <w:separator/>
      </w:r>
    </w:p>
  </w:endnote>
  <w:endnote w:type="continuationSeparator" w:id="0">
    <w:p w14:paraId="0F473739" w14:textId="77777777" w:rsidR="00BF096A" w:rsidRDefault="00BF096A"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42495" w14:textId="77777777" w:rsidR="00BF096A" w:rsidRDefault="00BF096A" w:rsidP="008D4334">
      <w:r>
        <w:separator/>
      </w:r>
    </w:p>
  </w:footnote>
  <w:footnote w:type="continuationSeparator" w:id="0">
    <w:p w14:paraId="1D8B77BC" w14:textId="77777777" w:rsidR="00BF096A" w:rsidRDefault="00BF096A"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4A9922F0"/>
    <w:multiLevelType w:val="multilevel"/>
    <w:tmpl w:val="F59A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4"/>
  </w:num>
  <w:num w:numId="5" w16cid:durableId="2548294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0F54CA"/>
    <w:rsid w:val="001428FD"/>
    <w:rsid w:val="0015389A"/>
    <w:rsid w:val="0017052F"/>
    <w:rsid w:val="00184C81"/>
    <w:rsid w:val="001C3503"/>
    <w:rsid w:val="0022652F"/>
    <w:rsid w:val="002B4555"/>
    <w:rsid w:val="002B7E7D"/>
    <w:rsid w:val="00301005"/>
    <w:rsid w:val="00333D1F"/>
    <w:rsid w:val="003570CA"/>
    <w:rsid w:val="003B5A06"/>
    <w:rsid w:val="003C2DE9"/>
    <w:rsid w:val="00436B03"/>
    <w:rsid w:val="004806E0"/>
    <w:rsid w:val="004A5635"/>
    <w:rsid w:val="004D49CA"/>
    <w:rsid w:val="00561C91"/>
    <w:rsid w:val="00580088"/>
    <w:rsid w:val="00596C47"/>
    <w:rsid w:val="005A75B4"/>
    <w:rsid w:val="005D586C"/>
    <w:rsid w:val="006E656D"/>
    <w:rsid w:val="00767533"/>
    <w:rsid w:val="00782477"/>
    <w:rsid w:val="007E51F7"/>
    <w:rsid w:val="0080390B"/>
    <w:rsid w:val="0081323D"/>
    <w:rsid w:val="00893801"/>
    <w:rsid w:val="008B2FF5"/>
    <w:rsid w:val="008D4334"/>
    <w:rsid w:val="0093072F"/>
    <w:rsid w:val="00967B2B"/>
    <w:rsid w:val="009A477D"/>
    <w:rsid w:val="009F3381"/>
    <w:rsid w:val="00A168D5"/>
    <w:rsid w:val="00A32B58"/>
    <w:rsid w:val="00A35350"/>
    <w:rsid w:val="00A56826"/>
    <w:rsid w:val="00AB6A71"/>
    <w:rsid w:val="00AD3F86"/>
    <w:rsid w:val="00B606AF"/>
    <w:rsid w:val="00BA1EBE"/>
    <w:rsid w:val="00BA379B"/>
    <w:rsid w:val="00BB7DD5"/>
    <w:rsid w:val="00BC7AF1"/>
    <w:rsid w:val="00BF096A"/>
    <w:rsid w:val="00C12B7A"/>
    <w:rsid w:val="00C60C57"/>
    <w:rsid w:val="00C9604C"/>
    <w:rsid w:val="00CF3631"/>
    <w:rsid w:val="00D27931"/>
    <w:rsid w:val="00D357EF"/>
    <w:rsid w:val="00D72F1F"/>
    <w:rsid w:val="00D849A2"/>
    <w:rsid w:val="00E74A86"/>
    <w:rsid w:val="00EC54BA"/>
    <w:rsid w:val="00F0013C"/>
    <w:rsid w:val="00F073B8"/>
    <w:rsid w:val="00F35CF1"/>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514</Words>
  <Characters>2932</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Gladys J. Burgos Torres</cp:lastModifiedBy>
  <cp:revision>3</cp:revision>
  <cp:lastPrinted>2025-01-23T16:34:00Z</cp:lastPrinted>
  <dcterms:created xsi:type="dcterms:W3CDTF">2025-10-16T14:42:00Z</dcterms:created>
  <dcterms:modified xsi:type="dcterms:W3CDTF">2025-10-16T15:15:00Z</dcterms:modified>
</cp:coreProperties>
</file>