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71542" w14:textId="36A06775" w:rsidR="008D4334" w:rsidRPr="00B36C37" w:rsidRDefault="008D4334" w:rsidP="00B36C37">
      <w:pPr>
        <w:jc w:val="center"/>
        <w:rPr>
          <w:rFonts w:ascii="Book Antiqua" w:hAnsi="Book Antiqua"/>
          <w:sz w:val="28"/>
          <w:lang w:val="es-ES_tradnl"/>
        </w:rPr>
      </w:pPr>
      <w:r>
        <w:rPr>
          <w:rFonts w:ascii="Book Antiqua" w:hAnsi="Book Antiqua"/>
          <w:sz w:val="28"/>
          <w:lang w:val="es-ES_tradnl"/>
        </w:rPr>
        <w:t>GOBIERNO DE PUERTO RICO</w:t>
      </w:r>
    </w:p>
    <w:p w14:paraId="0A66B4F1" w14:textId="77777777" w:rsidR="00B36C37" w:rsidRDefault="00B36C37" w:rsidP="00B36C37">
      <w:pPr>
        <w:rPr>
          <w:rFonts w:ascii="Book Antiqua" w:hAnsi="Book Antiqua"/>
          <w:bCs/>
          <w:lang w:val="es-PR"/>
        </w:rPr>
      </w:pPr>
    </w:p>
    <w:p w14:paraId="713A30B4" w14:textId="4ED371AD" w:rsidR="00B36C37" w:rsidRPr="00B36C37" w:rsidRDefault="00B36C37" w:rsidP="00B36C37">
      <w:pPr>
        <w:rPr>
          <w:rFonts w:ascii="Book Antiqua" w:hAnsi="Book Antiqua"/>
          <w:lang w:val="es-PR"/>
        </w:rPr>
      </w:pPr>
      <w:r w:rsidRPr="00B36C37">
        <w:rPr>
          <w:rFonts w:ascii="Book Antiqua" w:hAnsi="Book Antiqua"/>
          <w:lang w:val="es-PR"/>
        </w:rPr>
        <w:t xml:space="preserve">20ma. Asamblea                                                                                                   </w:t>
      </w:r>
      <w:r>
        <w:rPr>
          <w:rFonts w:ascii="Book Antiqua" w:hAnsi="Book Antiqua"/>
          <w:lang w:val="es-PR"/>
        </w:rPr>
        <w:t xml:space="preserve"> </w:t>
      </w:r>
      <w:r w:rsidRPr="00B36C37">
        <w:rPr>
          <w:rFonts w:ascii="Book Antiqua" w:hAnsi="Book Antiqua"/>
          <w:lang w:val="es-PR"/>
        </w:rPr>
        <w:t>2da. Sesión</w:t>
      </w:r>
    </w:p>
    <w:p w14:paraId="25EE2724" w14:textId="02C4B153" w:rsidR="00B36C37" w:rsidRDefault="00B36C37" w:rsidP="00B36C37">
      <w:pPr>
        <w:jc w:val="center"/>
        <w:rPr>
          <w:rFonts w:ascii="Book Antiqua" w:hAnsi="Book Antiqua"/>
          <w:lang w:val="es-PR"/>
        </w:rPr>
      </w:pPr>
      <w:r w:rsidRPr="00B36C37">
        <w:rPr>
          <w:rFonts w:ascii="Book Antiqua" w:hAnsi="Book Antiqua"/>
          <w:lang w:val="es-PR"/>
        </w:rPr>
        <w:t xml:space="preserve">           Legislativa                                                                                                          Ordinaria            </w:t>
      </w:r>
    </w:p>
    <w:p w14:paraId="5825A10D" w14:textId="77777777" w:rsidR="00B36C37" w:rsidRDefault="00B36C37" w:rsidP="00B36C37">
      <w:pPr>
        <w:jc w:val="center"/>
        <w:rPr>
          <w:rFonts w:ascii="Book Antiqua" w:hAnsi="Book Antiqua"/>
          <w:lang w:val="es-PR"/>
        </w:rPr>
      </w:pPr>
    </w:p>
    <w:p w14:paraId="2A9381D9" w14:textId="3C605EE7" w:rsidR="008D4334" w:rsidRDefault="008D4334" w:rsidP="00B36C37">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10E6160F"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4806E0">
        <w:rPr>
          <w:rFonts w:ascii="Book Antiqua" w:hAnsi="Book Antiqua"/>
          <w:b/>
          <w:sz w:val="52"/>
          <w:lang w:val="es-ES_tradnl"/>
        </w:rPr>
        <w:t xml:space="preserve"> </w:t>
      </w:r>
      <w:r w:rsidR="00FF5153">
        <w:rPr>
          <w:rFonts w:ascii="Book Antiqua" w:hAnsi="Book Antiqua"/>
          <w:b/>
          <w:sz w:val="52"/>
          <w:lang w:val="es-ES_tradnl"/>
        </w:rPr>
        <w:t>484</w:t>
      </w:r>
    </w:p>
    <w:p w14:paraId="2CA38D37" w14:textId="77777777" w:rsidR="00561C91" w:rsidRPr="00561C91" w:rsidRDefault="00561C91" w:rsidP="00561C91">
      <w:pPr>
        <w:jc w:val="center"/>
        <w:rPr>
          <w:rFonts w:ascii="Book Antiqua" w:hAnsi="Book Antiqua"/>
          <w:b/>
          <w:szCs w:val="24"/>
          <w:lang w:val="es-ES_tradnl"/>
        </w:rPr>
      </w:pPr>
    </w:p>
    <w:p w14:paraId="0495B464" w14:textId="20BCE05B" w:rsidR="008D4334" w:rsidRDefault="00FF5153" w:rsidP="00561C91">
      <w:pPr>
        <w:jc w:val="center"/>
        <w:rPr>
          <w:rFonts w:ascii="Book Antiqua" w:hAnsi="Book Antiqua"/>
          <w:lang w:val="es-ES_tradnl"/>
        </w:rPr>
      </w:pPr>
      <w:r>
        <w:rPr>
          <w:rFonts w:ascii="Book Antiqua" w:hAnsi="Book Antiqua"/>
          <w:lang w:val="es-ES_tradnl"/>
        </w:rPr>
        <w:t>16</w:t>
      </w:r>
      <w:r w:rsidR="003C2DE9">
        <w:rPr>
          <w:rFonts w:ascii="Book Antiqua" w:hAnsi="Book Antiqua"/>
          <w:lang w:val="es-ES_tradnl"/>
        </w:rPr>
        <w:t xml:space="preserve"> DE </w:t>
      </w:r>
      <w:r w:rsidR="006E656D">
        <w:rPr>
          <w:rFonts w:ascii="Book Antiqua" w:hAnsi="Book Antiqua"/>
          <w:lang w:val="es-ES_tradnl"/>
        </w:rPr>
        <w:t>OCTUBRE</w:t>
      </w:r>
      <w:r w:rsidR="008D4334">
        <w:rPr>
          <w:rFonts w:ascii="Book Antiqua" w:hAnsi="Book Antiqua"/>
          <w:lang w:val="es-ES_tradnl"/>
        </w:rPr>
        <w:t xml:space="preserve"> DE 2025 </w:t>
      </w:r>
    </w:p>
    <w:p w14:paraId="50A6D7EB" w14:textId="77777777" w:rsidR="003B5A06" w:rsidRPr="00561C91" w:rsidRDefault="003B5A06" w:rsidP="00561C91">
      <w:pPr>
        <w:jc w:val="center"/>
        <w:rPr>
          <w:rFonts w:ascii="Book Antiqua" w:hAnsi="Book Antiqua"/>
          <w:szCs w:val="24"/>
          <w:lang w:val="es-ES_tradnl"/>
        </w:rPr>
      </w:pPr>
    </w:p>
    <w:p w14:paraId="48E02B2F" w14:textId="55BE457A"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w:t>
      </w:r>
      <w:r w:rsidR="0015389A">
        <w:rPr>
          <w:rFonts w:ascii="Book Antiqua" w:hAnsi="Book Antiqua"/>
          <w:lang w:val="es-ES"/>
        </w:rPr>
        <w:t>a</w:t>
      </w:r>
      <w:r w:rsidR="00BA1EBE" w:rsidRPr="00BA1EBE">
        <w:rPr>
          <w:rFonts w:ascii="Book Antiqua" w:hAnsi="Book Antiqua"/>
          <w:lang w:val="es-ES"/>
        </w:rPr>
        <w:t xml:space="preserve"> representante </w:t>
      </w:r>
      <w:r w:rsidR="00BA1EBE" w:rsidRPr="00BA1EBE">
        <w:rPr>
          <w:rFonts w:ascii="Book Antiqua" w:hAnsi="Book Antiqua"/>
          <w:i/>
          <w:iCs/>
          <w:lang w:val="es-ES"/>
        </w:rPr>
        <w:t>Vargas Laureano</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Default="008D4334" w:rsidP="00561C91">
      <w:pPr>
        <w:jc w:val="both"/>
        <w:rPr>
          <w:rFonts w:ascii="Book Antiqua" w:hAnsi="Book Antiqua"/>
          <w:lang w:val="es-ES_tradnl"/>
        </w:rPr>
      </w:pPr>
    </w:p>
    <w:p w14:paraId="4A8C2CCC" w14:textId="4D67AB2B" w:rsidR="0015389A" w:rsidRDefault="003B5A06" w:rsidP="00B36C37">
      <w:pPr>
        <w:ind w:left="720" w:hanging="720"/>
        <w:jc w:val="both"/>
        <w:rPr>
          <w:rFonts w:ascii="Book Antiqua" w:hAnsi="Book Antiqua"/>
          <w:lang w:val="es-PR"/>
        </w:rPr>
      </w:pPr>
      <w:r w:rsidRPr="003B5A06">
        <w:rPr>
          <w:rFonts w:ascii="Book Antiqua" w:hAnsi="Book Antiqua"/>
          <w:lang w:val="es-ES_tradnl"/>
        </w:rPr>
        <w:t xml:space="preserve">Para </w:t>
      </w:r>
      <w:bookmarkStart w:id="0" w:name="_Hlk196089212"/>
      <w:r w:rsidRPr="003B5A06">
        <w:rPr>
          <w:rFonts w:ascii="Book Antiqua" w:hAnsi="Book Antiqua"/>
          <w:lang w:val="es-ES_tradnl"/>
        </w:rPr>
        <w:t xml:space="preserve">ordenar </w:t>
      </w:r>
      <w:bookmarkStart w:id="1" w:name="_Hlk192107557"/>
      <w:bookmarkStart w:id="2" w:name="_Hlk192113111"/>
      <w:r w:rsidR="0015389A">
        <w:rPr>
          <w:rFonts w:ascii="Book Antiqua" w:hAnsi="Book Antiqua"/>
          <w:lang w:val="es-ES_tradnl"/>
        </w:rPr>
        <w:t>a</w:t>
      </w:r>
      <w:r w:rsidR="00301005">
        <w:rPr>
          <w:rFonts w:ascii="Book Antiqua" w:hAnsi="Book Antiqua"/>
          <w:lang w:val="es-ES_tradnl"/>
        </w:rPr>
        <w:t xml:space="preserve"> la Comisión de </w:t>
      </w:r>
      <w:r w:rsidR="00782477">
        <w:rPr>
          <w:rFonts w:ascii="Book Antiqua" w:hAnsi="Book Antiqua"/>
          <w:lang w:val="es-ES_tradnl"/>
        </w:rPr>
        <w:t>Desarrollo Económico</w:t>
      </w:r>
      <w:r w:rsidR="00301005">
        <w:rPr>
          <w:rFonts w:ascii="Book Antiqua" w:hAnsi="Book Antiqua"/>
          <w:lang w:val="es-ES_tradnl"/>
        </w:rPr>
        <w:t xml:space="preserve"> de la Cámara de Representantes de Puerto Rico realizar una investigación exhaustiva </w:t>
      </w:r>
      <w:r w:rsidR="006E656D" w:rsidRPr="006E656D">
        <w:rPr>
          <w:rFonts w:ascii="Book Antiqua" w:hAnsi="Book Antiqua"/>
          <w:lang w:val="es-PR"/>
        </w:rPr>
        <w:t>sobre la viabilidad técnica, económica y ambiental de integrar proyectos de generación de energía mediante parques de espejos o sistemas de energía solar térmica concentrada (CSP, por sus siglas en inglés) a la red eléctrica de Puerto Rico; y para otros fines relacionados</w:t>
      </w:r>
      <w:r w:rsidR="00301005">
        <w:rPr>
          <w:rFonts w:ascii="Book Antiqua" w:hAnsi="Book Antiqua"/>
          <w:lang w:val="es-ES_tradnl"/>
        </w:rPr>
        <w:t>.</w:t>
      </w:r>
      <w:bookmarkEnd w:id="0"/>
      <w:bookmarkEnd w:id="1"/>
      <w:bookmarkEnd w:id="2"/>
      <w:r w:rsidR="00AD3F86">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Pr="00561C91" w:rsidRDefault="00561C91" w:rsidP="00561C91">
      <w:pPr>
        <w:jc w:val="center"/>
        <w:rPr>
          <w:rFonts w:ascii="Book Antiqua" w:hAnsi="Book Antiqua"/>
          <w:lang w:val="es-ES_tradnl"/>
        </w:rPr>
      </w:pPr>
    </w:p>
    <w:p w14:paraId="31249D20" w14:textId="77777777" w:rsidR="006E656D" w:rsidRDefault="006E656D" w:rsidP="00B36C37">
      <w:pPr>
        <w:ind w:firstLine="720"/>
        <w:jc w:val="both"/>
        <w:rPr>
          <w:rFonts w:ascii="Book Antiqua" w:hAnsi="Book Antiqua"/>
          <w:lang w:val="es-PR"/>
        </w:rPr>
      </w:pPr>
      <w:r w:rsidRPr="006E656D">
        <w:rPr>
          <w:rFonts w:ascii="Book Antiqua" w:hAnsi="Book Antiqua"/>
          <w:lang w:val="es-PR"/>
        </w:rPr>
        <w:t xml:space="preserve">La transformación del sistema energético de Puerto Rico hacia fuentes renovables y resilientes es una prioridad estratégica ante los retos del cambio climático, la vulnerabilidad de la infraestructura eléctrica y el </w:t>
      </w:r>
      <w:r>
        <w:rPr>
          <w:rFonts w:ascii="Book Antiqua" w:hAnsi="Book Antiqua"/>
          <w:lang w:val="es-PR"/>
        </w:rPr>
        <w:t>objetivo</w:t>
      </w:r>
      <w:r w:rsidRPr="006E656D">
        <w:rPr>
          <w:rFonts w:ascii="Book Antiqua" w:hAnsi="Book Antiqua"/>
          <w:lang w:val="es-PR"/>
        </w:rPr>
        <w:t xml:space="preserve"> de alcanzar un 100% de generación renovable. Aunque la energía solar fotovoltaica ha sido el enfoque predominante, existen otras tecnologías solares con potencial significativo, como la energía solar térmica concentrada (CSP), que utiliza espejos para concentrar la radiación solar y generar calor, el cual puede convertirse en electricidad mediante turbinas.</w:t>
      </w:r>
    </w:p>
    <w:p w14:paraId="34B36352" w14:textId="77777777" w:rsidR="00B36C37" w:rsidRDefault="00B36C37" w:rsidP="00B36C37">
      <w:pPr>
        <w:ind w:firstLine="720"/>
        <w:jc w:val="both"/>
        <w:rPr>
          <w:rFonts w:ascii="Book Antiqua" w:hAnsi="Book Antiqua"/>
          <w:lang w:val="es-PR"/>
        </w:rPr>
      </w:pPr>
    </w:p>
    <w:p w14:paraId="346DAB33" w14:textId="726BEB09" w:rsidR="00B606AF" w:rsidRDefault="006E656D" w:rsidP="00B36C37">
      <w:pPr>
        <w:ind w:firstLine="720"/>
        <w:jc w:val="both"/>
        <w:rPr>
          <w:rFonts w:ascii="Book Antiqua" w:hAnsi="Book Antiqua"/>
          <w:lang w:val="es-PR"/>
        </w:rPr>
      </w:pPr>
      <w:r w:rsidRPr="006E656D">
        <w:rPr>
          <w:rFonts w:ascii="Book Antiqua" w:hAnsi="Book Antiqua"/>
          <w:lang w:val="es-PR"/>
        </w:rPr>
        <w:t>Esta tecnología permite el almacenamiento térmico, lo que facilita la generación continua durante horas sin sol, y ha sido implementada exitosamente en regiones con alta irradiación solar como España, Chile, Marruecos y el suroeste de Estados Unidos. Puerto Rico, con su ubicación geográfica privilegiada, podría beneficiarse de estudios rigurosos que evalúen la aplicabilidad local de esta tecnología, considerando factores como disponibilidad de terrenos, impacto ambiental, integración con la red existente, costos de inversión y operación, y posibles alianzas público-privadas.</w:t>
      </w:r>
    </w:p>
    <w:p w14:paraId="655565F7" w14:textId="77777777" w:rsidR="00B36C37" w:rsidRPr="006E656D" w:rsidRDefault="00B36C37" w:rsidP="00B36C37">
      <w:pPr>
        <w:jc w:val="both"/>
        <w:rPr>
          <w:rFonts w:ascii="Book Antiqua" w:hAnsi="Book Antiqua"/>
          <w:lang w:val="es-PR"/>
        </w:rPr>
      </w:pPr>
    </w:p>
    <w:p w14:paraId="45978958" w14:textId="77777777" w:rsidR="008D4334" w:rsidRDefault="008D4334" w:rsidP="00561C91">
      <w:pPr>
        <w:keepNext/>
        <w:keepLines/>
        <w:spacing w:line="480" w:lineRule="auto"/>
        <w:rPr>
          <w:rFonts w:ascii="Book Antiqua" w:hAnsi="Book Antiqua"/>
          <w:i/>
          <w:lang w:val="es-ES_tradnl"/>
        </w:rPr>
      </w:pPr>
      <w:r>
        <w:rPr>
          <w:rFonts w:ascii="Book Antiqua" w:hAnsi="Book Antiqua"/>
          <w:i/>
          <w:lang w:val="es-ES_tradnl"/>
        </w:rPr>
        <w:lastRenderedPageBreak/>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pgSz w:w="12240" w:h="15840" w:code="1"/>
          <w:pgMar w:top="1440" w:right="1440" w:bottom="1440" w:left="1440" w:header="720" w:footer="720" w:gutter="0"/>
          <w:cols w:space="720"/>
          <w:titlePg/>
        </w:sectPr>
      </w:pPr>
    </w:p>
    <w:p w14:paraId="20705882" w14:textId="010768F1" w:rsidR="00C60C57" w:rsidRDefault="008D4334" w:rsidP="00C12B7A">
      <w:pPr>
        <w:spacing w:line="480" w:lineRule="auto"/>
        <w:ind w:firstLine="450"/>
        <w:jc w:val="both"/>
        <w:rPr>
          <w:rFonts w:ascii="Book Antiqua" w:hAnsi="Book Antiqua"/>
          <w:lang w:val="es-PR"/>
        </w:rPr>
      </w:pPr>
      <w:r w:rsidRPr="00344203">
        <w:rPr>
          <w:rFonts w:ascii="Book Antiqua" w:hAnsi="Book Antiqua"/>
          <w:lang w:val="es-ES_tradnl"/>
        </w:rPr>
        <w:t>Sección 1.-</w:t>
      </w:r>
      <w:r w:rsidRPr="00344203">
        <w:rPr>
          <w:rFonts w:ascii="Book Antiqua" w:hAnsi="Book Antiqua"/>
          <w:lang w:val="es-PR"/>
        </w:rPr>
        <w:t xml:space="preserve"> </w:t>
      </w:r>
      <w:r w:rsidR="00436B03" w:rsidRPr="00436B03">
        <w:rPr>
          <w:rFonts w:ascii="Book Antiqua" w:hAnsi="Book Antiqua"/>
          <w:lang w:val="es-PR"/>
        </w:rPr>
        <w:t xml:space="preserve">Se </w:t>
      </w:r>
      <w:r w:rsidR="00AD3F86" w:rsidRPr="00AD3F86">
        <w:rPr>
          <w:rFonts w:ascii="Book Antiqua" w:hAnsi="Book Antiqua"/>
          <w:lang w:val="es-ES_tradnl"/>
        </w:rPr>
        <w:t>ordena a</w:t>
      </w:r>
      <w:r w:rsidR="00301005" w:rsidRPr="00301005">
        <w:rPr>
          <w:rFonts w:ascii="Book Antiqua" w:hAnsi="Book Antiqua"/>
          <w:lang w:val="es-ES_tradnl"/>
        </w:rPr>
        <w:t xml:space="preserve"> la Comisión de </w:t>
      </w:r>
      <w:r w:rsidR="00782477">
        <w:rPr>
          <w:rFonts w:ascii="Book Antiqua" w:hAnsi="Book Antiqua"/>
          <w:lang w:val="es-ES_tradnl"/>
        </w:rPr>
        <w:t>Desarrollo Económico</w:t>
      </w:r>
      <w:r w:rsidR="00301005" w:rsidRPr="00301005">
        <w:rPr>
          <w:rFonts w:ascii="Book Antiqua" w:hAnsi="Book Antiqua"/>
          <w:lang w:val="es-ES_tradnl"/>
        </w:rPr>
        <w:t xml:space="preserve"> de la Cámara de Representantes de Puerto Rico </w:t>
      </w:r>
      <w:r w:rsidR="006E656D" w:rsidRPr="006E656D">
        <w:rPr>
          <w:rFonts w:ascii="Book Antiqua" w:hAnsi="Book Antiqua"/>
          <w:lang w:val="es-PR"/>
        </w:rPr>
        <w:t>realizar una investigación sobre la viabilidad de integrar proyectos de generación de energía mediante parques de espejos o sistemas de energía solar térmica concentrada (CSP) a la red eléctrica de Puerto Rico</w:t>
      </w:r>
      <w:r w:rsidR="00AD3F86">
        <w:rPr>
          <w:rFonts w:ascii="Book Antiqua" w:hAnsi="Book Antiqua"/>
          <w:lang w:val="es-PR"/>
        </w:rPr>
        <w:t>.</w:t>
      </w:r>
    </w:p>
    <w:p w14:paraId="2E1D7E14" w14:textId="48FAECF4" w:rsidR="006E656D" w:rsidRPr="006E656D" w:rsidRDefault="00301005" w:rsidP="006E656D">
      <w:pPr>
        <w:spacing w:line="480" w:lineRule="auto"/>
        <w:ind w:firstLine="540"/>
        <w:jc w:val="both"/>
        <w:rPr>
          <w:rFonts w:ascii="Book Antiqua" w:hAnsi="Book Antiqua"/>
          <w:lang w:val="es-PR"/>
        </w:rPr>
      </w:pPr>
      <w:r w:rsidRPr="00301005">
        <w:rPr>
          <w:rFonts w:ascii="Book Antiqua" w:hAnsi="Book Antiqua"/>
          <w:lang w:val="es-PR"/>
        </w:rPr>
        <w:t>Sección 2.-</w:t>
      </w:r>
      <w:r w:rsidR="006E656D" w:rsidRPr="006E656D">
        <w:rPr>
          <w:rFonts w:ascii="Book Antiqua" w:hAnsi="Book Antiqua"/>
          <w:lang w:val="es-PR"/>
        </w:rPr>
        <w:t>.</w:t>
      </w:r>
      <w:r w:rsidR="006E656D">
        <w:rPr>
          <w:rFonts w:ascii="Book Antiqua" w:hAnsi="Book Antiqua"/>
          <w:lang w:val="es-PR"/>
        </w:rPr>
        <w:t xml:space="preserve"> L</w:t>
      </w:r>
      <w:r w:rsidR="006E656D" w:rsidRPr="006E656D">
        <w:rPr>
          <w:rFonts w:ascii="Book Antiqua" w:hAnsi="Book Antiqua"/>
          <w:lang w:val="es-PR"/>
        </w:rPr>
        <w:t>a investigación deberá incluir, pero no limitarse a:</w:t>
      </w:r>
    </w:p>
    <w:p w14:paraId="3C7A961D" w14:textId="77777777" w:rsidR="006E656D" w:rsidRPr="006E656D" w:rsidRDefault="006E656D" w:rsidP="006E656D">
      <w:pPr>
        <w:numPr>
          <w:ilvl w:val="0"/>
          <w:numId w:val="4"/>
        </w:numPr>
        <w:spacing w:line="480" w:lineRule="auto"/>
        <w:jc w:val="both"/>
        <w:rPr>
          <w:rFonts w:ascii="Book Antiqua" w:hAnsi="Book Antiqua"/>
          <w:lang w:val="es-PR"/>
        </w:rPr>
      </w:pPr>
      <w:r w:rsidRPr="006E656D">
        <w:rPr>
          <w:rFonts w:ascii="Book Antiqua" w:hAnsi="Book Antiqua"/>
          <w:lang w:val="es-PR"/>
        </w:rPr>
        <w:t>Evaluación técnica de la tecnología CSP en el contexto geográfico y climático de Puerto Rico.</w:t>
      </w:r>
    </w:p>
    <w:p w14:paraId="45DDB000" w14:textId="77777777" w:rsidR="006E656D" w:rsidRPr="006E656D" w:rsidRDefault="006E656D" w:rsidP="006E656D">
      <w:pPr>
        <w:numPr>
          <w:ilvl w:val="0"/>
          <w:numId w:val="4"/>
        </w:numPr>
        <w:spacing w:line="480" w:lineRule="auto"/>
        <w:jc w:val="both"/>
        <w:rPr>
          <w:rFonts w:ascii="Book Antiqua" w:hAnsi="Book Antiqua"/>
          <w:lang w:val="es-PR"/>
        </w:rPr>
      </w:pPr>
      <w:r w:rsidRPr="006E656D">
        <w:rPr>
          <w:rFonts w:ascii="Book Antiqua" w:hAnsi="Book Antiqua"/>
          <w:lang w:val="es-PR"/>
        </w:rPr>
        <w:t>Análisis de costos de instalación, operación y mantenimiento.</w:t>
      </w:r>
    </w:p>
    <w:p w14:paraId="64B5C531" w14:textId="77777777" w:rsidR="006E656D" w:rsidRPr="006E656D" w:rsidRDefault="006E656D" w:rsidP="006E656D">
      <w:pPr>
        <w:numPr>
          <w:ilvl w:val="0"/>
          <w:numId w:val="4"/>
        </w:numPr>
        <w:spacing w:line="480" w:lineRule="auto"/>
        <w:jc w:val="both"/>
        <w:rPr>
          <w:rFonts w:ascii="Book Antiqua" w:hAnsi="Book Antiqua"/>
          <w:lang w:val="es-PR"/>
        </w:rPr>
      </w:pPr>
      <w:r w:rsidRPr="006E656D">
        <w:rPr>
          <w:rFonts w:ascii="Book Antiqua" w:hAnsi="Book Antiqua"/>
          <w:lang w:val="es-PR"/>
        </w:rPr>
        <w:t>Estudio de modelos de financiamiento y desarrollo, incluyendo alianzas público-privadas.</w:t>
      </w:r>
    </w:p>
    <w:p w14:paraId="2C5AD6CC" w14:textId="77777777" w:rsidR="006E656D" w:rsidRPr="006E656D" w:rsidRDefault="006E656D" w:rsidP="006E656D">
      <w:pPr>
        <w:numPr>
          <w:ilvl w:val="0"/>
          <w:numId w:val="4"/>
        </w:numPr>
        <w:spacing w:line="480" w:lineRule="auto"/>
        <w:jc w:val="both"/>
        <w:rPr>
          <w:rFonts w:ascii="Book Antiqua" w:hAnsi="Book Antiqua"/>
          <w:lang w:val="es-PR"/>
        </w:rPr>
      </w:pPr>
      <w:r w:rsidRPr="006E656D">
        <w:rPr>
          <w:rFonts w:ascii="Book Antiqua" w:hAnsi="Book Antiqua"/>
          <w:lang w:val="es-PR"/>
        </w:rPr>
        <w:t>Revisión de experiencias internacionales y mejores prácticas.</w:t>
      </w:r>
    </w:p>
    <w:p w14:paraId="33EF1C76" w14:textId="77777777" w:rsidR="006E656D" w:rsidRPr="006E656D" w:rsidRDefault="006E656D" w:rsidP="006E656D">
      <w:pPr>
        <w:numPr>
          <w:ilvl w:val="0"/>
          <w:numId w:val="4"/>
        </w:numPr>
        <w:spacing w:line="480" w:lineRule="auto"/>
        <w:jc w:val="both"/>
        <w:rPr>
          <w:rFonts w:ascii="Book Antiqua" w:hAnsi="Book Antiqua"/>
          <w:lang w:val="es-PR"/>
        </w:rPr>
      </w:pPr>
      <w:r w:rsidRPr="006E656D">
        <w:rPr>
          <w:rFonts w:ascii="Book Antiqua" w:hAnsi="Book Antiqua"/>
          <w:lang w:val="es-PR"/>
        </w:rPr>
        <w:t>Identificación de posibles ubicaciones para proyectos piloto.</w:t>
      </w:r>
    </w:p>
    <w:p w14:paraId="7723B83A" w14:textId="77777777" w:rsidR="006E656D" w:rsidRPr="006E656D" w:rsidRDefault="006E656D" w:rsidP="006E656D">
      <w:pPr>
        <w:numPr>
          <w:ilvl w:val="0"/>
          <w:numId w:val="4"/>
        </w:numPr>
        <w:spacing w:line="480" w:lineRule="auto"/>
        <w:jc w:val="both"/>
        <w:rPr>
          <w:rFonts w:ascii="Book Antiqua" w:hAnsi="Book Antiqua"/>
          <w:lang w:val="es-PR"/>
        </w:rPr>
      </w:pPr>
      <w:r w:rsidRPr="006E656D">
        <w:rPr>
          <w:rFonts w:ascii="Book Antiqua" w:hAnsi="Book Antiqua"/>
          <w:lang w:val="es-PR"/>
        </w:rPr>
        <w:t>Consideraciones ambientales, sociales y regulatorias.</w:t>
      </w:r>
    </w:p>
    <w:p w14:paraId="305F6F59" w14:textId="5086AC60" w:rsidR="006E656D" w:rsidRPr="006E656D" w:rsidRDefault="006E656D" w:rsidP="006E656D">
      <w:pPr>
        <w:spacing w:line="480" w:lineRule="auto"/>
        <w:ind w:firstLine="540"/>
        <w:jc w:val="both"/>
        <w:rPr>
          <w:rFonts w:ascii="Book Antiqua" w:hAnsi="Book Antiqua"/>
          <w:lang w:val="es-PR"/>
        </w:rPr>
      </w:pPr>
      <w:r>
        <w:rPr>
          <w:rFonts w:ascii="Book Antiqua" w:hAnsi="Book Antiqua"/>
          <w:lang w:val="es-PR"/>
        </w:rPr>
        <w:t>Sección</w:t>
      </w:r>
      <w:r w:rsidRPr="006E656D">
        <w:rPr>
          <w:rFonts w:ascii="Book Antiqua" w:hAnsi="Book Antiqua"/>
          <w:lang w:val="es-PR"/>
        </w:rPr>
        <w:t xml:space="preserve"> 3. —</w:t>
      </w:r>
      <w:r>
        <w:rPr>
          <w:rFonts w:ascii="Book Antiqua" w:hAnsi="Book Antiqua"/>
          <w:lang w:val="es-PR"/>
        </w:rPr>
        <w:t>Para cumplir con lo ordenado en esta Resolución, la</w:t>
      </w:r>
      <w:r w:rsidRPr="006E656D">
        <w:rPr>
          <w:rFonts w:ascii="Book Antiqua" w:hAnsi="Book Antiqua"/>
          <w:lang w:val="es-PR"/>
        </w:rPr>
        <w:t xml:space="preserve"> Comisión podrá celebrar vistas públicas, requerir la comparecencia de funcionarios, expertos, académicos y representantes del sector energético, así como solicitar información a agencias gubernamentales, universidades y entidades privadas.</w:t>
      </w:r>
    </w:p>
    <w:p w14:paraId="583F80EC" w14:textId="2516D561" w:rsidR="006E656D" w:rsidRPr="006E656D" w:rsidRDefault="006E656D" w:rsidP="006E656D">
      <w:pPr>
        <w:spacing w:line="480" w:lineRule="auto"/>
        <w:ind w:firstLine="540"/>
        <w:jc w:val="both"/>
        <w:rPr>
          <w:rFonts w:ascii="Book Antiqua" w:hAnsi="Book Antiqua"/>
          <w:lang w:val="es-PR"/>
        </w:rPr>
      </w:pPr>
      <w:r>
        <w:rPr>
          <w:rFonts w:ascii="Book Antiqua" w:hAnsi="Book Antiqua"/>
          <w:lang w:val="es-PR"/>
        </w:rPr>
        <w:t>Sección</w:t>
      </w:r>
      <w:r w:rsidRPr="006E656D">
        <w:rPr>
          <w:rFonts w:ascii="Book Antiqua" w:hAnsi="Book Antiqua"/>
          <w:lang w:val="es-PR"/>
        </w:rPr>
        <w:t xml:space="preserve"> 4.—La Comisión </w:t>
      </w:r>
      <w:r>
        <w:rPr>
          <w:rFonts w:ascii="Book Antiqua" w:hAnsi="Book Antiqua"/>
          <w:lang w:val="es-PR"/>
        </w:rPr>
        <w:t>rendirá</w:t>
      </w:r>
      <w:r w:rsidRPr="006E656D">
        <w:rPr>
          <w:rFonts w:ascii="Book Antiqua" w:hAnsi="Book Antiqua"/>
          <w:lang w:val="es-PR"/>
        </w:rPr>
        <w:t xml:space="preserve"> un informe con sus hallazgos, conclusiones y recomendaciones a esta Cámara en un término no mayor de ciento veinte (120) días a partir de la aprobación de esta Resolución.</w:t>
      </w:r>
    </w:p>
    <w:p w14:paraId="033DE156" w14:textId="2E9295FB" w:rsidR="00301005" w:rsidRPr="00301005" w:rsidRDefault="006E656D" w:rsidP="006E656D">
      <w:pPr>
        <w:spacing w:line="480" w:lineRule="auto"/>
        <w:ind w:firstLine="540"/>
        <w:jc w:val="both"/>
        <w:rPr>
          <w:rFonts w:ascii="Book Antiqua" w:hAnsi="Book Antiqua"/>
          <w:lang w:val="es-PR"/>
        </w:rPr>
      </w:pPr>
      <w:r>
        <w:rPr>
          <w:rFonts w:ascii="Book Antiqua" w:hAnsi="Book Antiqua"/>
          <w:lang w:val="es-PR"/>
        </w:rPr>
        <w:lastRenderedPageBreak/>
        <w:t>Sección</w:t>
      </w:r>
      <w:r w:rsidRPr="006E656D">
        <w:rPr>
          <w:rFonts w:ascii="Book Antiqua" w:hAnsi="Book Antiqua"/>
          <w:lang w:val="es-PR"/>
        </w:rPr>
        <w:t xml:space="preserve"> 5. —Esta Resolución entrará en vigor inmediatamente después de su aprobación.</w:t>
      </w:r>
    </w:p>
    <w:sectPr w:rsidR="00301005" w:rsidRPr="00301005"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17F73" w14:textId="77777777" w:rsidR="00FA3564" w:rsidRDefault="00FA3564" w:rsidP="008D4334">
      <w:r>
        <w:separator/>
      </w:r>
    </w:p>
  </w:endnote>
  <w:endnote w:type="continuationSeparator" w:id="0">
    <w:p w14:paraId="0B74AA5C" w14:textId="77777777" w:rsidR="00FA3564" w:rsidRDefault="00FA3564"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DD80A" w14:textId="77777777" w:rsidR="00FA3564" w:rsidRDefault="00FA3564" w:rsidP="008D4334">
      <w:r>
        <w:separator/>
      </w:r>
    </w:p>
  </w:footnote>
  <w:footnote w:type="continuationSeparator" w:id="0">
    <w:p w14:paraId="767B854C" w14:textId="77777777" w:rsidR="00FA3564" w:rsidRDefault="00FA3564"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3"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2"/>
  </w:num>
  <w:num w:numId="2" w16cid:durableId="1185247403">
    <w:abstractNumId w:val="0"/>
  </w:num>
  <w:num w:numId="3" w16cid:durableId="1717772066">
    <w:abstractNumId w:val="1"/>
  </w:num>
  <w:num w:numId="4" w16cid:durableId="761145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4251C"/>
    <w:rsid w:val="001428FD"/>
    <w:rsid w:val="0015389A"/>
    <w:rsid w:val="0017052F"/>
    <w:rsid w:val="00184C81"/>
    <w:rsid w:val="001C3503"/>
    <w:rsid w:val="0022652F"/>
    <w:rsid w:val="002B4555"/>
    <w:rsid w:val="002B7E7D"/>
    <w:rsid w:val="00301005"/>
    <w:rsid w:val="003570CA"/>
    <w:rsid w:val="003B5A06"/>
    <w:rsid w:val="003C2DE9"/>
    <w:rsid w:val="00436B03"/>
    <w:rsid w:val="004806E0"/>
    <w:rsid w:val="004A5635"/>
    <w:rsid w:val="004D49CA"/>
    <w:rsid w:val="00561C91"/>
    <w:rsid w:val="00580088"/>
    <w:rsid w:val="00596C47"/>
    <w:rsid w:val="005A75B4"/>
    <w:rsid w:val="005D586C"/>
    <w:rsid w:val="006E656D"/>
    <w:rsid w:val="00767533"/>
    <w:rsid w:val="00782477"/>
    <w:rsid w:val="007E51F7"/>
    <w:rsid w:val="0080390B"/>
    <w:rsid w:val="0081323D"/>
    <w:rsid w:val="00893801"/>
    <w:rsid w:val="008D4334"/>
    <w:rsid w:val="00967B2B"/>
    <w:rsid w:val="009A477D"/>
    <w:rsid w:val="009F3381"/>
    <w:rsid w:val="00A168D5"/>
    <w:rsid w:val="00A32B58"/>
    <w:rsid w:val="00A35350"/>
    <w:rsid w:val="00A56826"/>
    <w:rsid w:val="00AB6A71"/>
    <w:rsid w:val="00AD3F86"/>
    <w:rsid w:val="00AD4F0B"/>
    <w:rsid w:val="00B36C37"/>
    <w:rsid w:val="00B606AF"/>
    <w:rsid w:val="00BA1EBE"/>
    <w:rsid w:val="00BA379B"/>
    <w:rsid w:val="00BB7DD5"/>
    <w:rsid w:val="00BC7AF1"/>
    <w:rsid w:val="00C12B7A"/>
    <w:rsid w:val="00C41894"/>
    <w:rsid w:val="00C50784"/>
    <w:rsid w:val="00C60C57"/>
    <w:rsid w:val="00C9604C"/>
    <w:rsid w:val="00CF3631"/>
    <w:rsid w:val="00D357EF"/>
    <w:rsid w:val="00D849A2"/>
    <w:rsid w:val="00E74A86"/>
    <w:rsid w:val="00EC54BA"/>
    <w:rsid w:val="00F0013C"/>
    <w:rsid w:val="00F073B8"/>
    <w:rsid w:val="00F35CF1"/>
    <w:rsid w:val="00F446CC"/>
    <w:rsid w:val="00F63DBD"/>
    <w:rsid w:val="00F971C5"/>
    <w:rsid w:val="00FA3564"/>
    <w:rsid w:val="00FF5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43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D43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D43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D43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D43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D43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D43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D4334"/>
    <w:rPr>
      <w:rFonts w:eastAsiaTheme="majorEastAsia" w:cstheme="majorBidi"/>
      <w:color w:val="272727" w:themeColor="text1" w:themeTint="D8"/>
    </w:rPr>
  </w:style>
  <w:style w:type="paragraph" w:styleId="Ttulo">
    <w:name w:val="Title"/>
    <w:basedOn w:val="Normal"/>
    <w:next w:val="Normal"/>
    <w:link w:val="TtuloC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D43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8D43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8D4334"/>
    <w:rPr>
      <w:i/>
      <w:iCs/>
      <w:color w:val="404040" w:themeColor="text1" w:themeTint="BF"/>
    </w:rPr>
  </w:style>
  <w:style w:type="paragraph" w:styleId="Prrafodelista">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8D4334"/>
    <w:rPr>
      <w:i/>
      <w:iCs/>
      <w:color w:val="0F4761" w:themeColor="accent1" w:themeShade="BF"/>
    </w:rPr>
  </w:style>
  <w:style w:type="paragraph" w:styleId="Citadestacada">
    <w:name w:val="Intense Quote"/>
    <w:basedOn w:val="Normal"/>
    <w:next w:val="Normal"/>
    <w:link w:val="CitadestacadaC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8D4334"/>
    <w:rPr>
      <w:i/>
      <w:iCs/>
      <w:color w:val="0F4761" w:themeColor="accent1" w:themeShade="BF"/>
    </w:rPr>
  </w:style>
  <w:style w:type="character" w:styleId="Referenciaintensa">
    <w:name w:val="Intense Reference"/>
    <w:basedOn w:val="Fuentedeprrafopredeter"/>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Encabezado">
    <w:name w:val="header"/>
    <w:basedOn w:val="Normal"/>
    <w:link w:val="EncabezadoCar"/>
    <w:rsid w:val="008D4334"/>
    <w:pPr>
      <w:tabs>
        <w:tab w:val="center" w:pos="4320"/>
        <w:tab w:val="right" w:pos="8640"/>
      </w:tabs>
    </w:pPr>
  </w:style>
  <w:style w:type="character" w:customStyle="1" w:styleId="EncabezadoCar">
    <w:name w:val="Encabezado Car"/>
    <w:basedOn w:val="Fuentedeprrafopredeter"/>
    <w:link w:val="Encabezado"/>
    <w:rsid w:val="008D4334"/>
    <w:rPr>
      <w:rFonts w:ascii="Times New Roman" w:eastAsia="Times New Roman" w:hAnsi="Times New Roman" w:cs="Times New Roman"/>
      <w:kern w:val="0"/>
      <w:szCs w:val="20"/>
      <w14:ligatures w14:val="none"/>
    </w:rPr>
  </w:style>
  <w:style w:type="character" w:styleId="Nmerodepgina">
    <w:name w:val="page number"/>
    <w:basedOn w:val="Fuentedeprrafopredeter"/>
    <w:rsid w:val="008D4334"/>
  </w:style>
  <w:style w:type="paragraph" w:styleId="Textonotapie">
    <w:name w:val="footnote text"/>
    <w:basedOn w:val="Normal"/>
    <w:link w:val="TextonotapieCar"/>
    <w:uiPriority w:val="99"/>
    <w:semiHidden/>
    <w:unhideWhenUsed/>
    <w:rsid w:val="008D4334"/>
    <w:rPr>
      <w:sz w:val="20"/>
    </w:rPr>
  </w:style>
  <w:style w:type="character" w:customStyle="1" w:styleId="TextonotapieCar">
    <w:name w:val="Texto nota pie Car"/>
    <w:basedOn w:val="Fuentedeprrafopredeter"/>
    <w:link w:val="Textonotapie"/>
    <w:uiPriority w:val="99"/>
    <w:semiHidden/>
    <w:rsid w:val="008D4334"/>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8D4334"/>
    <w:rPr>
      <w:vertAlign w:val="superscript"/>
    </w:rPr>
  </w:style>
  <w:style w:type="character" w:styleId="Nmerodelnea">
    <w:name w:val="line number"/>
    <w:basedOn w:val="Fuentedeprrafopredeter"/>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527</Words>
  <Characters>3010</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Rocío Alayón Morell</cp:lastModifiedBy>
  <cp:revision>3</cp:revision>
  <cp:lastPrinted>2025-01-23T16:34:00Z</cp:lastPrinted>
  <dcterms:created xsi:type="dcterms:W3CDTF">2025-10-16T16:30:00Z</dcterms:created>
  <dcterms:modified xsi:type="dcterms:W3CDTF">2025-10-16T17:42:00Z</dcterms:modified>
</cp:coreProperties>
</file>