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2F339FFC"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3D1498">
        <w:rPr>
          <w:rFonts w:ascii="Book Antiqua" w:hAnsi="Book Antiqua"/>
          <w:szCs w:val="24"/>
          <w:lang w:val="es-ES_tradnl"/>
        </w:rPr>
        <w:t>2d</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18CA821A"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B81FCF">
        <w:rPr>
          <w:rFonts w:ascii="Book Antiqua" w:hAnsi="Book Antiqua" w:cs="Tahoma"/>
          <w:b/>
          <w:sz w:val="52"/>
          <w:szCs w:val="52"/>
          <w:lang w:val="es-ES_tradnl"/>
        </w:rPr>
        <w:t>488</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10644AB2"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9F6D60">
        <w:rPr>
          <w:rFonts w:ascii="Book Antiqua" w:hAnsi="Book Antiqua" w:cs="Tahoma"/>
          <w:lang w:val="es-ES_tradnl"/>
        </w:rPr>
        <w:t xml:space="preserve"> 1</w:t>
      </w:r>
      <w:r w:rsidR="00D658DD">
        <w:rPr>
          <w:rFonts w:ascii="Book Antiqua" w:hAnsi="Book Antiqua" w:cs="Tahoma"/>
          <w:lang w:val="es-ES_tradnl"/>
        </w:rPr>
        <w:t>3 de noviembre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57A7FD66"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9F6D60">
        <w:rPr>
          <w:rFonts w:ascii="Book Antiqua" w:hAnsi="Book Antiqua" w:cs="Tahoma"/>
          <w:lang w:val="es-ES_tradnl"/>
        </w:rPr>
        <w:t xml:space="preserve"> 488</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 xml:space="preserve">tiene a bien someter su informe recomendando la aprobación de la medida con las enmiendas contenidas en el </w:t>
      </w:r>
      <w:proofErr w:type="spellStart"/>
      <w:r w:rsidR="00682883" w:rsidRPr="00506C85">
        <w:rPr>
          <w:rFonts w:ascii="Book Antiqua" w:hAnsi="Book Antiqua" w:cs="Tahoma"/>
          <w:lang w:val="es-ES_tradnl"/>
        </w:rPr>
        <w:t>entirillado</w:t>
      </w:r>
      <w:proofErr w:type="spellEnd"/>
      <w:r w:rsidR="00682883" w:rsidRPr="00506C85">
        <w:rPr>
          <w:rFonts w:ascii="Book Antiqua" w:hAnsi="Book Antiqua" w:cs="Tahoma"/>
          <w:lang w:val="es-ES_tradnl"/>
        </w:rPr>
        <w:t xml:space="preserve">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4CE2494F" w:rsidR="008D4A0A" w:rsidRPr="00DF3E6F" w:rsidRDefault="00BC1CB2" w:rsidP="009F6D60">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9F6D60">
        <w:rPr>
          <w:rFonts w:ascii="Book Antiqua" w:hAnsi="Book Antiqua" w:cs="Tahoma"/>
          <w:lang w:val="es-ES_tradnl"/>
        </w:rPr>
        <w:t>“</w:t>
      </w:r>
      <w:r w:rsidR="00E86FF9" w:rsidRPr="009F6D60">
        <w:rPr>
          <w:rFonts w:ascii="Book Antiqua" w:hAnsi="Book Antiqua"/>
          <w:lang w:val="es-ES_tradnl"/>
        </w:rPr>
        <w:t>Para</w:t>
      </w:r>
      <w:r w:rsidR="00E86FF9" w:rsidRPr="009F6D60">
        <w:rPr>
          <w:lang w:val="es-ES_tradnl"/>
        </w:rPr>
        <w:t xml:space="preserve"> </w:t>
      </w:r>
      <w:bookmarkStart w:id="0" w:name="_Hlk481777822"/>
      <w:bookmarkStart w:id="1" w:name="_Hlk481778563"/>
      <w:bookmarkStart w:id="2" w:name="_Hlk188016072"/>
      <w:r w:rsidR="00272823" w:rsidRPr="009F6D60">
        <w:rPr>
          <w:rFonts w:ascii="Book Antiqua" w:hAnsi="Book Antiqua"/>
          <w:lang w:val="es-PR"/>
        </w:rPr>
        <w:t xml:space="preserve">ordenar </w:t>
      </w:r>
      <w:bookmarkStart w:id="3" w:name="_Hlk481775927"/>
      <w:r w:rsidR="00272823" w:rsidRPr="009F6D60">
        <w:rPr>
          <w:rFonts w:ascii="Book Antiqua" w:hAnsi="Book Antiqua"/>
          <w:lang w:val="es-PR"/>
        </w:rPr>
        <w:t xml:space="preserve">a la Comisión </w:t>
      </w:r>
      <w:bookmarkEnd w:id="0"/>
      <w:bookmarkEnd w:id="3"/>
      <w:bookmarkEnd w:id="1"/>
      <w:bookmarkEnd w:id="2"/>
      <w:r w:rsidR="009F6D60" w:rsidRPr="009F6D60">
        <w:rPr>
          <w:rFonts w:ascii="Book Antiqua" w:hAnsi="Book Antiqua"/>
          <w:lang w:val="es-ES_tradnl"/>
        </w:rPr>
        <w:t xml:space="preserve">de Gobierno de la Cámara de Representantes del Gobierno de Puerto Rico, realizar una investigación sobre capacidad actual de generación de cada planta generatriz en Puerto Rico, así como los estimados y proyecciones de la demanda de energía eléctrica para los próximos cinco (5) años, tomando en consideración el posible impacto del crecimiento de centros de datos vinculados a aplicaciones de inteligencia artificial (IA), y para otros fines relacionados. </w:t>
      </w:r>
      <w:r w:rsidR="00FA5F29" w:rsidRPr="009F6D60">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9F6D60" w:rsidRDefault="00DE02EB" w:rsidP="009852EB">
      <w:pPr>
        <w:jc w:val="center"/>
        <w:outlineLvl w:val="0"/>
        <w:rPr>
          <w:rFonts w:ascii="Book Antiqua" w:hAnsi="Book Antiqua" w:cs="Tahoma"/>
          <w:b/>
          <w:u w:val="single"/>
          <w:lang w:val="es-ES_tradnl"/>
        </w:rPr>
      </w:pPr>
    </w:p>
    <w:p w14:paraId="558945F2" w14:textId="69A8C564" w:rsidR="009F6D60" w:rsidRPr="009F6D60" w:rsidRDefault="00CC4336" w:rsidP="009F6D60">
      <w:pPr>
        <w:jc w:val="both"/>
        <w:rPr>
          <w:rFonts w:ascii="Book Antiqua" w:hAnsi="Book Antiqua"/>
          <w:lang w:val="es-ES_tradnl"/>
        </w:rPr>
      </w:pPr>
      <w:r w:rsidRPr="009F6D60">
        <w:rPr>
          <w:rFonts w:ascii="Book Antiqua" w:eastAsiaTheme="minorHAnsi" w:hAnsi="Book Antiqua"/>
          <w:lang w:val="es-ES_tradnl"/>
        </w:rPr>
        <w:t xml:space="preserve">     </w:t>
      </w:r>
      <w:r w:rsidR="00DE02EB" w:rsidRPr="009F6D60">
        <w:rPr>
          <w:rFonts w:ascii="Book Antiqua" w:hAnsi="Book Antiqua"/>
          <w:lang w:val="es-ES_tradnl"/>
        </w:rPr>
        <w:t>La</w:t>
      </w:r>
      <w:r w:rsidR="00194744" w:rsidRPr="009F6D60">
        <w:rPr>
          <w:rFonts w:ascii="Book Antiqua" w:hAnsi="Book Antiqua"/>
          <w:lang w:val="es-ES_tradnl"/>
        </w:rPr>
        <w:t xml:space="preserve"> Resolución de la Cámara Núm.</w:t>
      </w:r>
      <w:r w:rsidR="009F6D60" w:rsidRPr="009F6D60">
        <w:rPr>
          <w:rFonts w:ascii="Book Antiqua" w:hAnsi="Book Antiqua"/>
          <w:lang w:val="es-ES_tradnl"/>
        </w:rPr>
        <w:t xml:space="preserve"> 488 </w:t>
      </w:r>
      <w:r w:rsidR="00DF3E6F" w:rsidRPr="009F6D60">
        <w:rPr>
          <w:rFonts w:ascii="Book Antiqua" w:hAnsi="Book Antiqua"/>
          <w:lang w:val="es-ES_tradnl"/>
        </w:rPr>
        <w:t>tiene el propósito de realizar una investigación exhaustiva sobre</w:t>
      </w:r>
      <w:r w:rsidR="009F6D60" w:rsidRPr="009F6D60">
        <w:rPr>
          <w:rFonts w:ascii="Book Antiqua" w:hAnsi="Book Antiqua"/>
          <w:lang w:val="es-ES_tradnl"/>
        </w:rPr>
        <w:t xml:space="preserve"> la capacidad de generación eléctrica existente en Puerto Rico, así como las proyecciones de demanda energética para los próximos años. Este análisis integra un elemento emergente en la discusión energética mundial: el aumento considerable en el consumo eléctrico asociado con centros de datos que operan aplicaciones de inteligencia artificial (IA).</w:t>
      </w:r>
    </w:p>
    <w:p w14:paraId="24DE3522" w14:textId="77777777" w:rsidR="009F6D60" w:rsidRPr="009F6D60" w:rsidRDefault="009F6D60" w:rsidP="009F6D60">
      <w:pPr>
        <w:jc w:val="both"/>
        <w:rPr>
          <w:rFonts w:ascii="Book Antiqua" w:hAnsi="Book Antiqua"/>
          <w:lang w:val="es-ES_tradnl"/>
        </w:rPr>
      </w:pPr>
    </w:p>
    <w:p w14:paraId="0E4D3C78" w14:textId="22495111" w:rsidR="009F6D60" w:rsidRPr="009F6D60" w:rsidRDefault="009F6D60" w:rsidP="009F6D60">
      <w:pPr>
        <w:jc w:val="both"/>
        <w:rPr>
          <w:rFonts w:ascii="Book Antiqua" w:hAnsi="Book Antiqua"/>
          <w:lang w:val="es-ES_tradnl"/>
        </w:rPr>
      </w:pPr>
      <w:r w:rsidRPr="009F6D60">
        <w:rPr>
          <w:rFonts w:ascii="Book Antiqua" w:hAnsi="Book Antiqua"/>
          <w:lang w:val="es-ES_tradnl"/>
        </w:rPr>
        <w:t xml:space="preserve">     En la Exposición de Motivos se detalla que Puerto Rico encara retos persistentes en su infraestructura energética, incluyendo averías frecuentes y una alta dependencia de </w:t>
      </w:r>
      <w:r w:rsidRPr="009F6D60">
        <w:rPr>
          <w:rFonts w:ascii="Book Antiqua" w:hAnsi="Book Antiqua"/>
          <w:lang w:val="es-ES_tradnl"/>
        </w:rPr>
        <w:lastRenderedPageBreak/>
        <w:t>combustibles fósiles. A su vez, se explica que el desarrollo acelerado de tecnologías basadas en IA está produciendo un incremento notable en la instalación de centros de datos a nivel global, los cuales consumen grandes volúmenes de energía para operar sistemas computacionales de alto rendimiento y sofisticados mecanismos de enfriamiento.</w:t>
      </w:r>
    </w:p>
    <w:p w14:paraId="2EC35034" w14:textId="77777777" w:rsidR="009F6D60" w:rsidRPr="009F6D60" w:rsidRDefault="009F6D60" w:rsidP="009F6D60">
      <w:pPr>
        <w:jc w:val="both"/>
        <w:rPr>
          <w:rFonts w:ascii="Book Antiqua" w:hAnsi="Book Antiqua"/>
          <w:lang w:val="es-ES_tradnl"/>
        </w:rPr>
      </w:pPr>
    </w:p>
    <w:p w14:paraId="18DAD918" w14:textId="1EC733A1" w:rsidR="009F6D60" w:rsidRPr="009F6D60" w:rsidRDefault="009F6D60" w:rsidP="009F6D60">
      <w:pPr>
        <w:jc w:val="both"/>
        <w:rPr>
          <w:rFonts w:ascii="Book Antiqua" w:hAnsi="Book Antiqua"/>
          <w:lang w:val="es-ES_tradnl"/>
        </w:rPr>
      </w:pPr>
      <w:r w:rsidRPr="009F6D60">
        <w:rPr>
          <w:rFonts w:ascii="Book Antiqua" w:hAnsi="Book Antiqua"/>
          <w:lang w:val="es-ES_tradnl"/>
        </w:rPr>
        <w:t xml:space="preserve">     La Resolución destaca que Puerto Rico tiene potencial para atraer inversiones tecnológicas significativas, lo cual podría impactar de forma adicional la demanda energética. El estudio ordenado permitirá identificar con mayor precisión si la infraestructura actual y prevista será suficiente para manejar este crecimiento, y si las proyecciones de demanda energética están alineadas con los cambios tecnológicos que se vislumbran.</w:t>
      </w:r>
    </w:p>
    <w:p w14:paraId="5B146D05" w14:textId="77777777" w:rsidR="009F6D60" w:rsidRPr="009F6D60" w:rsidRDefault="009F6D60" w:rsidP="009F6D60">
      <w:pPr>
        <w:jc w:val="both"/>
        <w:rPr>
          <w:rFonts w:ascii="Book Antiqua" w:hAnsi="Book Antiqua"/>
          <w:lang w:val="es-ES_tradnl"/>
        </w:rPr>
      </w:pPr>
    </w:p>
    <w:p w14:paraId="05E78832" w14:textId="6C56B347" w:rsidR="00DF3E6F" w:rsidRPr="009F6D60" w:rsidRDefault="009F6D60" w:rsidP="00DF3E6F">
      <w:pPr>
        <w:jc w:val="both"/>
        <w:rPr>
          <w:rFonts w:ascii="Book Antiqua" w:hAnsi="Book Antiqua"/>
          <w:lang w:val="es-ES_tradnl"/>
        </w:rPr>
      </w:pPr>
      <w:r w:rsidRPr="009F6D60">
        <w:rPr>
          <w:rFonts w:ascii="Book Antiqua" w:hAnsi="Book Antiqua"/>
          <w:lang w:val="es-ES_tradnl"/>
        </w:rPr>
        <w:t xml:space="preserve">     Las enmiendas incorporadas en el </w:t>
      </w:r>
      <w:proofErr w:type="spellStart"/>
      <w:r w:rsidRPr="009F6D60">
        <w:rPr>
          <w:rFonts w:ascii="Book Antiqua" w:hAnsi="Book Antiqua"/>
          <w:lang w:val="es-ES_tradnl"/>
        </w:rPr>
        <w:t>entirillado</w:t>
      </w:r>
      <w:proofErr w:type="spellEnd"/>
      <w:r w:rsidRPr="009F6D60">
        <w:rPr>
          <w:rFonts w:ascii="Book Antiqua" w:hAnsi="Book Antiqua"/>
          <w:lang w:val="es-ES_tradnl"/>
        </w:rPr>
        <w:t xml:space="preserve"> electrónico aclaran la redacción del título y de las disposiciones internas de la medida, fortaleciendo la precisión técnica y eliminando redundancias. Estas modificaciones no alteran el objetivo fundamental de la Resolución, sino que contribuyen a delimitar con mayor rigor los elementos que deberá considerar la Comisión de Gobierno al implementar la determinación legislativa.</w:t>
      </w:r>
    </w:p>
    <w:p w14:paraId="7645A4CC" w14:textId="77777777" w:rsidR="006150BB" w:rsidRPr="009F6D60" w:rsidRDefault="006150BB" w:rsidP="006150BB">
      <w:pPr>
        <w:pStyle w:val="NormalWeb"/>
        <w:jc w:val="center"/>
        <w:outlineLvl w:val="0"/>
        <w:rPr>
          <w:rFonts w:ascii="Book Antiqua" w:hAnsi="Book Antiqua"/>
          <w:b/>
          <w:sz w:val="24"/>
          <w:szCs w:val="24"/>
          <w:u w:val="single"/>
          <w:lang w:val="es-ES_tradnl"/>
        </w:rPr>
      </w:pPr>
      <w:r w:rsidRPr="009F6D60">
        <w:rPr>
          <w:rFonts w:ascii="Book Antiqua" w:hAnsi="Book Antiqua"/>
          <w:b/>
          <w:sz w:val="24"/>
          <w:szCs w:val="24"/>
          <w:u w:val="single"/>
          <w:lang w:val="es-ES_tradnl"/>
        </w:rPr>
        <w:t>CONCLUSIÓN Y RECOMENDACIÓN</w:t>
      </w:r>
    </w:p>
    <w:p w14:paraId="11B431CD" w14:textId="2326360F" w:rsidR="001A02E8" w:rsidRPr="009F6D60" w:rsidRDefault="009F6D60" w:rsidP="001A02E8">
      <w:pPr>
        <w:pStyle w:val="NormalWeb"/>
        <w:jc w:val="both"/>
        <w:rPr>
          <w:rFonts w:ascii="Book Antiqua" w:hAnsi="Book Antiqua"/>
          <w:sz w:val="24"/>
          <w:szCs w:val="24"/>
          <w:lang w:val="es-ES_tradnl"/>
        </w:rPr>
      </w:pPr>
      <w:r w:rsidRPr="009F6D60">
        <w:rPr>
          <w:rFonts w:ascii="Book Antiqua" w:hAnsi="Book Antiqua"/>
          <w:sz w:val="24"/>
          <w:szCs w:val="24"/>
          <w:lang w:val="es-ES_tradnl"/>
        </w:rPr>
        <w:t xml:space="preserve">     </w:t>
      </w:r>
      <w:r w:rsidR="001A02E8" w:rsidRPr="009F6D60">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9F6D60">
        <w:rPr>
          <w:rFonts w:ascii="Book Antiqua" w:hAnsi="Book Antiqua"/>
          <w:sz w:val="24"/>
          <w:szCs w:val="24"/>
          <w:lang w:val="es-ES_tradnl"/>
        </w:rPr>
        <w:t>a Resolución de la Cámara 488</w:t>
      </w:r>
      <w:r w:rsidR="001A02E8" w:rsidRPr="009F6D60">
        <w:rPr>
          <w:rFonts w:ascii="Book Antiqua" w:hAnsi="Book Antiqua"/>
          <w:sz w:val="24"/>
          <w:szCs w:val="24"/>
          <w:lang w:val="es-ES_tradnl"/>
        </w:rPr>
        <w:t xml:space="preserve">, con las enmiendas que obran en el </w:t>
      </w:r>
      <w:proofErr w:type="spellStart"/>
      <w:r w:rsidR="001A02E8" w:rsidRPr="009F6D60">
        <w:rPr>
          <w:rFonts w:ascii="Book Antiqua" w:hAnsi="Book Antiqua"/>
          <w:sz w:val="24"/>
          <w:szCs w:val="24"/>
          <w:lang w:val="es-ES_tradnl"/>
        </w:rPr>
        <w:t>entirillado</w:t>
      </w:r>
      <w:proofErr w:type="spellEnd"/>
      <w:r w:rsidR="001A02E8" w:rsidRPr="009F6D60">
        <w:rPr>
          <w:rFonts w:ascii="Book Antiqua" w:hAnsi="Book Antiqua"/>
          <w:sz w:val="24"/>
          <w:szCs w:val="24"/>
          <w:lang w:val="es-ES_tradnl"/>
        </w:rPr>
        <w:t xml:space="preserve"> electrónico que acompaña este informe.</w:t>
      </w:r>
    </w:p>
    <w:p w14:paraId="50FFCE58"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788BD5EC" w14:textId="77777777" w:rsidR="00DF3E6F" w:rsidRPr="00DF3E6F" w:rsidRDefault="00DF3E6F" w:rsidP="00DF3E6F">
      <w:pPr>
        <w:jc w:val="both"/>
        <w:rPr>
          <w:rFonts w:ascii="Book Antiqua" w:hAnsi="Book Antiqua"/>
        </w:rPr>
      </w:pPr>
    </w:p>
    <w:p w14:paraId="3F4BB2E4" w14:textId="591E7D20" w:rsidR="00F27289" w:rsidRPr="005A7E47" w:rsidRDefault="000F1167" w:rsidP="000F1167">
      <w:pPr>
        <w:jc w:val="both"/>
        <w:rPr>
          <w:rFonts w:ascii="Book Antiqua" w:hAnsi="Book Antiqua"/>
          <w:b/>
          <w:u w:val="single"/>
          <w:lang w:val="es-ES_tradnl"/>
        </w:rPr>
      </w:pPr>
      <w:r>
        <w:rPr>
          <w:rFonts w:ascii="Book Antiqua" w:hAnsi="Book Antiqua"/>
        </w:rPr>
        <w:t xml:space="preserve">    </w:t>
      </w:r>
    </w:p>
    <w:p w14:paraId="539E1B06" w14:textId="77777777" w:rsidR="00580E90" w:rsidRPr="005A7E47" w:rsidRDefault="00580E90" w:rsidP="003F3D8D">
      <w:pPr>
        <w:jc w:val="both"/>
        <w:rPr>
          <w:rFonts w:ascii="Book Antiqua" w:hAnsi="Book Antiqua" w:cs="Tahoma"/>
          <w:lang w:val="es-ES_tradnl"/>
        </w:rPr>
      </w:pPr>
    </w:p>
    <w:p w14:paraId="4F07E142" w14:textId="77777777" w:rsidR="003E29B3" w:rsidRPr="005A7E47" w:rsidRDefault="003E29B3" w:rsidP="003F3D8D">
      <w:pPr>
        <w:jc w:val="both"/>
        <w:rPr>
          <w:rFonts w:ascii="Book Antiqua" w:hAnsi="Book Antiqua" w:cs="Tahoma"/>
          <w:lang w:val="es-ES_tradnl"/>
        </w:rPr>
      </w:pP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9F6D60">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8075111">
    <w:abstractNumId w:val="6"/>
  </w:num>
  <w:num w:numId="2" w16cid:durableId="1709261500">
    <w:abstractNumId w:val="12"/>
  </w:num>
  <w:num w:numId="3" w16cid:durableId="249048224">
    <w:abstractNumId w:val="3"/>
  </w:num>
  <w:num w:numId="4" w16cid:durableId="917061441">
    <w:abstractNumId w:val="1"/>
  </w:num>
  <w:num w:numId="5" w16cid:durableId="2034763124">
    <w:abstractNumId w:val="7"/>
  </w:num>
  <w:num w:numId="6" w16cid:durableId="1564175156">
    <w:abstractNumId w:val="4"/>
  </w:num>
  <w:num w:numId="7" w16cid:durableId="2140562267">
    <w:abstractNumId w:val="5"/>
  </w:num>
  <w:num w:numId="8" w16cid:durableId="2014989679">
    <w:abstractNumId w:val="8"/>
  </w:num>
  <w:num w:numId="9" w16cid:durableId="1663503542">
    <w:abstractNumId w:val="9"/>
  </w:num>
  <w:num w:numId="10" w16cid:durableId="2111847369">
    <w:abstractNumId w:val="0"/>
  </w:num>
  <w:num w:numId="11" w16cid:durableId="355734752">
    <w:abstractNumId w:val="2"/>
  </w:num>
  <w:num w:numId="12" w16cid:durableId="1690376361">
    <w:abstractNumId w:val="11"/>
  </w:num>
  <w:num w:numId="13" w16cid:durableId="3768611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53E95"/>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9F6D60"/>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81FCF"/>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658DD"/>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801C6B1F-F43C-4B67-A9AE-3A067739B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3737407">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22323291">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89238688">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2856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Alondra Negrón Rivera</cp:lastModifiedBy>
  <cp:revision>2</cp:revision>
  <cp:lastPrinted>2025-02-17T12:55:00Z</cp:lastPrinted>
  <dcterms:created xsi:type="dcterms:W3CDTF">2025-11-13T13:50:00Z</dcterms:created>
  <dcterms:modified xsi:type="dcterms:W3CDTF">2025-11-13T13:50:00Z</dcterms:modified>
</cp:coreProperties>
</file>