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74771050"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773612">
        <w:rPr>
          <w:rFonts w:ascii="Book Antiqua" w:hAnsi="Book Antiqua"/>
          <w:lang w:val="es-ES_tradnl"/>
        </w:rPr>
        <w:t>3</w:t>
      </w:r>
      <w:r w:rsidR="00773612">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61356919"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68631D">
        <w:rPr>
          <w:rFonts w:ascii="Book Antiqua" w:hAnsi="Book Antiqua"/>
          <w:b/>
          <w:sz w:val="52"/>
          <w:szCs w:val="52"/>
          <w:lang w:val="es-ES_tradnl"/>
        </w:rPr>
        <w:t xml:space="preserve"> </w:t>
      </w:r>
      <w:r w:rsidR="00520E6C">
        <w:rPr>
          <w:rFonts w:ascii="Book Antiqua" w:hAnsi="Book Antiqua"/>
          <w:b/>
          <w:sz w:val="52"/>
          <w:szCs w:val="52"/>
          <w:lang w:val="es-ES_tradnl"/>
        </w:rPr>
        <w:t>787</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4C009AC4" w:rsidR="006705DD" w:rsidRPr="00B95434" w:rsidRDefault="001256D8" w:rsidP="006705DD">
      <w:pPr>
        <w:jc w:val="center"/>
        <w:rPr>
          <w:rFonts w:ascii="Book Antiqua" w:hAnsi="Book Antiqua"/>
          <w:szCs w:val="24"/>
          <w:lang w:val="es-ES_tradnl"/>
        </w:rPr>
      </w:pPr>
      <w:r>
        <w:rPr>
          <w:rFonts w:ascii="Book Antiqua" w:hAnsi="Book Antiqua"/>
          <w:szCs w:val="24"/>
          <w:lang w:val="es-ES_tradnl"/>
        </w:rPr>
        <w:t>24</w:t>
      </w:r>
      <w:r w:rsidR="005665D9">
        <w:rPr>
          <w:rFonts w:ascii="Book Antiqua" w:hAnsi="Book Antiqua"/>
          <w:szCs w:val="24"/>
          <w:lang w:val="es-ES_tradnl"/>
        </w:rPr>
        <w:t xml:space="preserve"> </w:t>
      </w:r>
      <w:r w:rsidR="00FE1B47">
        <w:rPr>
          <w:rFonts w:ascii="Book Antiqua" w:hAnsi="Book Antiqua"/>
          <w:szCs w:val="24"/>
          <w:lang w:val="es-ES_tradnl"/>
        </w:rPr>
        <w:t xml:space="preserve"> de </w:t>
      </w:r>
      <w:r w:rsidR="00BB4B1C">
        <w:rPr>
          <w:rFonts w:ascii="Book Antiqua" w:hAnsi="Book Antiqua"/>
          <w:szCs w:val="24"/>
          <w:lang w:val="es-ES_tradnl"/>
        </w:rPr>
        <w:t>juni</w:t>
      </w:r>
      <w:r w:rsidR="0068631D">
        <w:rPr>
          <w:rFonts w:ascii="Book Antiqua" w:hAnsi="Book Antiqua"/>
          <w:szCs w:val="24"/>
          <w:lang w:val="es-ES_tradnl"/>
        </w:rPr>
        <w:t xml:space="preserve">o </w:t>
      </w:r>
      <w:r w:rsidR="005E345A">
        <w:rPr>
          <w:rFonts w:ascii="Book Antiqua" w:hAnsi="Book Antiqua"/>
          <w:szCs w:val="24"/>
          <w:lang w:val="es-ES_tradnl"/>
        </w:rPr>
        <w:t>de 202</w:t>
      </w:r>
      <w:r w:rsidR="0077361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719FC1AB" w:rsidR="0087700A" w:rsidRDefault="00AC0B45" w:rsidP="00AC0B45">
      <w:pPr>
        <w:jc w:val="both"/>
        <w:rPr>
          <w:rFonts w:ascii="Book Antiqua" w:hAnsi="Book Antiqua" w:cs="Arial"/>
          <w:lang w:val="es-ES"/>
        </w:rPr>
      </w:pPr>
      <w:bookmarkStart w:id="1" w:name="_Hlk203066845"/>
      <w:r w:rsidRPr="00AC0B45">
        <w:rPr>
          <w:rFonts w:ascii="Book Antiqua" w:hAnsi="Book Antiqua" w:cs="Arial"/>
          <w:lang w:val="es-ES"/>
        </w:rPr>
        <w:t xml:space="preserve">La </w:t>
      </w:r>
      <w:r w:rsidR="00885C39"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bookmarkEnd w:id="1"/>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2"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520E6C">
        <w:rPr>
          <w:rFonts w:ascii="Book Antiqua" w:hAnsi="Book Antiqua" w:cs="Arial"/>
          <w:lang w:val="es-ES"/>
        </w:rPr>
        <w:t>787</w:t>
      </w:r>
      <w:r w:rsidR="0087700A">
        <w:rPr>
          <w:rFonts w:ascii="Book Antiqua" w:hAnsi="Book Antiqua" w:cs="Arial"/>
          <w:lang w:val="es-ES"/>
        </w:rPr>
        <w:t xml:space="preserve">, tiene el honor de recomendar a este Alto Cuerpo su </w:t>
      </w:r>
      <w:bookmarkEnd w:id="2"/>
      <w:r w:rsidR="00235D02">
        <w:rPr>
          <w:rFonts w:ascii="Book Antiqua" w:hAnsi="Book Antiqua" w:cs="Arial"/>
          <w:lang w:val="es-ES"/>
        </w:rPr>
        <w:t xml:space="preserve">aprobación, </w:t>
      </w:r>
      <w:r w:rsidR="00235D02" w:rsidRPr="003724E8">
        <w:rPr>
          <w:rFonts w:ascii="Book Antiqua" w:hAnsi="Book Antiqua" w:cs="Arial"/>
          <w:lang w:val="es-ES"/>
        </w:rPr>
        <w:t>con</w:t>
      </w:r>
      <w:r w:rsidR="003724E8" w:rsidRPr="003724E8">
        <w:rPr>
          <w:rFonts w:ascii="Book Antiqua" w:hAnsi="Book Antiqua" w:cs="Arial"/>
          <w:lang w:val="es-ES"/>
        </w:rPr>
        <w:t xml:space="preserve"> las enmiendas que se incluyen en el </w:t>
      </w:r>
      <w:proofErr w:type="spellStart"/>
      <w:r w:rsidR="003724E8" w:rsidRPr="003724E8">
        <w:rPr>
          <w:rFonts w:ascii="Book Antiqua" w:hAnsi="Book Antiqua" w:cs="Arial"/>
          <w:lang w:val="es-ES"/>
        </w:rPr>
        <w:t>entirillado</w:t>
      </w:r>
      <w:proofErr w:type="spellEnd"/>
      <w:r w:rsidR="003724E8" w:rsidRPr="003724E8">
        <w:rPr>
          <w:rFonts w:ascii="Book Antiqua" w:hAnsi="Book Antiqua" w:cs="Arial"/>
          <w:lang w:val="es-ES"/>
        </w:rPr>
        <w:t xml:space="preserve"> electrónico que acompaña este informe. </w:t>
      </w:r>
    </w:p>
    <w:p w14:paraId="7228C599" w14:textId="77777777" w:rsidR="00E24F6A" w:rsidRDefault="00E24F6A" w:rsidP="00694425">
      <w:pPr>
        <w:rPr>
          <w:rFonts w:ascii="Book Antiqua" w:hAnsi="Book Antiqua"/>
          <w:b/>
          <w:i/>
          <w:smallCaps/>
          <w:szCs w:val="24"/>
          <w:lang w:val="es-ES_tradnl"/>
        </w:rPr>
      </w:pPr>
      <w:bookmarkStart w:id="3" w:name="_Hlk189811370"/>
    </w:p>
    <w:p w14:paraId="2458AB3E" w14:textId="095A8EE6"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567C9072" w14:textId="77777777" w:rsidR="005665D9" w:rsidRDefault="005665D9" w:rsidP="0087700A">
      <w:pPr>
        <w:jc w:val="center"/>
        <w:rPr>
          <w:rFonts w:ascii="Book Antiqua" w:hAnsi="Book Antiqua"/>
          <w:b/>
          <w:i/>
          <w:smallCaps/>
          <w:szCs w:val="24"/>
          <w:lang w:val="es-ES_tradnl"/>
        </w:rPr>
      </w:pPr>
    </w:p>
    <w:p w14:paraId="31A74E76" w14:textId="0F2C7785" w:rsidR="0068631D" w:rsidRDefault="0017674B" w:rsidP="000907FB">
      <w:pPr>
        <w:jc w:val="both"/>
        <w:rPr>
          <w:rFonts w:ascii="Book Antiqua" w:hAnsi="Book Antiqua"/>
          <w:lang w:val="es-ES"/>
        </w:rPr>
      </w:pPr>
      <w:r>
        <w:rPr>
          <w:rFonts w:ascii="Book Antiqua" w:hAnsi="Book Antiqua"/>
          <w:lang w:val="es-ES"/>
        </w:rPr>
        <w:t xml:space="preserve"> </w:t>
      </w:r>
      <w:r w:rsidR="005665D9">
        <w:rPr>
          <w:rFonts w:ascii="Book Antiqua" w:hAnsi="Book Antiqua"/>
          <w:lang w:val="es-ES"/>
        </w:rPr>
        <w:t>El P</w:t>
      </w:r>
      <w:bookmarkStart w:id="4" w:name="_Hlk203112873"/>
      <w:r w:rsidR="005665D9">
        <w:rPr>
          <w:rFonts w:ascii="Book Antiqua" w:hAnsi="Book Antiqua"/>
          <w:lang w:val="es-ES"/>
        </w:rPr>
        <w:t xml:space="preserve">. del S. </w:t>
      </w:r>
      <w:r w:rsidR="00520E6C">
        <w:rPr>
          <w:rFonts w:ascii="Book Antiqua" w:hAnsi="Book Antiqua"/>
          <w:lang w:val="es-ES"/>
        </w:rPr>
        <w:t>787</w:t>
      </w:r>
      <w:r w:rsidR="005665D9">
        <w:rPr>
          <w:rFonts w:ascii="Book Antiqua" w:hAnsi="Book Antiqua"/>
          <w:lang w:val="es-ES"/>
        </w:rPr>
        <w:t xml:space="preserve">, </w:t>
      </w:r>
      <w:r w:rsidR="005E20C6">
        <w:rPr>
          <w:rFonts w:ascii="Book Antiqua" w:hAnsi="Book Antiqua"/>
          <w:lang w:val="es-ES"/>
        </w:rPr>
        <w:t>tiene como propósito</w:t>
      </w:r>
      <w:r w:rsidR="00AE3112">
        <w:rPr>
          <w:rFonts w:ascii="Book Antiqua" w:hAnsi="Book Antiqua"/>
          <w:lang w:val="es-ES"/>
        </w:rPr>
        <w:t xml:space="preserve"> </w:t>
      </w:r>
      <w:bookmarkEnd w:id="3"/>
      <w:r w:rsidR="00520E6C" w:rsidRPr="00520E6C">
        <w:rPr>
          <w:rFonts w:ascii="Book Antiqua" w:hAnsi="Book Antiqua"/>
          <w:lang w:val="es-ES"/>
        </w:rPr>
        <w:t xml:space="preserve">añadir un nuevo Capítulo XII al Libro II de la Ley 107-2020, según enmendada, conocida como “Código Municipal de Puerto Rico”, a los fines de disponer que los municipios utilizarán exclusivamente direcciones de correo electrónico oficiales con el dominio oficial del Gobierno de Puerto Rico “.pr.gov”, para sus comunicaciones oficiales e institucionales; prohibir el uso de cuentas de correo electrónico personales o privadas para dichos fines; ordenar al Puerto Rico </w:t>
      </w:r>
      <w:proofErr w:type="spellStart"/>
      <w:r w:rsidR="00520E6C" w:rsidRPr="00520E6C">
        <w:rPr>
          <w:rFonts w:ascii="Book Antiqua" w:hAnsi="Book Antiqua"/>
          <w:lang w:val="es-ES"/>
        </w:rPr>
        <w:t>Innovation</w:t>
      </w:r>
      <w:proofErr w:type="spellEnd"/>
      <w:r w:rsidR="00520E6C" w:rsidRPr="00520E6C">
        <w:rPr>
          <w:rFonts w:ascii="Book Antiqua" w:hAnsi="Book Antiqua"/>
          <w:lang w:val="es-ES"/>
        </w:rPr>
        <w:t xml:space="preserve"> and </w:t>
      </w:r>
      <w:proofErr w:type="spellStart"/>
      <w:r w:rsidR="00520E6C" w:rsidRPr="00520E6C">
        <w:rPr>
          <w:rFonts w:ascii="Book Antiqua" w:hAnsi="Book Antiqua"/>
          <w:lang w:val="es-ES"/>
        </w:rPr>
        <w:t>Technology</w:t>
      </w:r>
      <w:proofErr w:type="spellEnd"/>
      <w:r w:rsidR="00520E6C" w:rsidRPr="00520E6C">
        <w:rPr>
          <w:rFonts w:ascii="Book Antiqua" w:hAnsi="Book Antiqua"/>
          <w:lang w:val="es-ES"/>
        </w:rPr>
        <w:t xml:space="preserve"> Service (PRITS) brindar asistencia técnica a los municipios para la implantación de esta política pública; y para otros fines relacionados.</w:t>
      </w:r>
    </w:p>
    <w:p w14:paraId="6946F54A" w14:textId="77777777" w:rsidR="00A8414C" w:rsidRDefault="00A8414C" w:rsidP="0068631D">
      <w:pPr>
        <w:jc w:val="both"/>
        <w:rPr>
          <w:rFonts w:ascii="Book Antiqua" w:hAnsi="Book Antiqua"/>
          <w:lang w:val="es-ES"/>
        </w:rPr>
      </w:pPr>
    </w:p>
    <w:p w14:paraId="0CE4C808" w14:textId="3B741A56" w:rsidR="00520E6C" w:rsidRPr="00F77B1D" w:rsidRDefault="00A6622D" w:rsidP="00520E6C">
      <w:pPr>
        <w:pStyle w:val="NormalWeb"/>
        <w:spacing w:before="0" w:beforeAutospacing="0" w:after="0" w:afterAutospacing="0"/>
        <w:jc w:val="both"/>
        <w:rPr>
          <w:rFonts w:ascii="Book Antiqua" w:hAnsi="Book Antiqua"/>
          <w:color w:val="000000"/>
        </w:rPr>
      </w:pPr>
      <w:r w:rsidRPr="0068631D">
        <w:rPr>
          <w:rFonts w:ascii="Book Antiqua" w:hAnsi="Book Antiqua"/>
          <w:lang w:val="es-ES"/>
        </w:rPr>
        <w:t xml:space="preserve">De la Exposición de Motivos del proyecto se desprende </w:t>
      </w:r>
      <w:r w:rsidR="00E41A01">
        <w:rPr>
          <w:rFonts w:ascii="Book Antiqua" w:hAnsi="Book Antiqua"/>
          <w:lang w:val="es-ES"/>
        </w:rPr>
        <w:t xml:space="preserve">que </w:t>
      </w:r>
      <w:r w:rsidR="00520E6C">
        <w:rPr>
          <w:rFonts w:ascii="Book Antiqua" w:hAnsi="Book Antiqua"/>
          <w:color w:val="000000"/>
        </w:rPr>
        <w:t>el</w:t>
      </w:r>
      <w:r w:rsidR="00520E6C" w:rsidRPr="00F77B1D">
        <w:rPr>
          <w:rFonts w:ascii="Book Antiqua" w:hAnsi="Book Antiqua"/>
          <w:color w:val="000000"/>
        </w:rPr>
        <w:t xml:space="preserve"> Gobierno de Puerto Rico ha reconocido la importancia de la transformación digital como una herramienta esencial para lograr mayor eficiencia, seguridad y transparencia en la gestión pública.  Cónsono con este propósito, la Ley 107-2020, según enmendada, conocida como “Código Municipal de Puerto Rico”, estableció como política pública el uso de la tecnología y la comunicación electrónica para expandir los servicios de los gobiernos municipales y </w:t>
      </w:r>
      <w:r w:rsidR="00520E6C" w:rsidRPr="00F77B1D">
        <w:rPr>
          <w:rFonts w:ascii="Book Antiqua" w:hAnsi="Book Antiqua"/>
          <w:color w:val="000000"/>
        </w:rPr>
        <w:lastRenderedPageBreak/>
        <w:t>promover una administración moderna, ágil y accesible. Ello se contempla bajo el Artículo 1.003 de dicho estatuto.</w:t>
      </w:r>
    </w:p>
    <w:p w14:paraId="47712EF5" w14:textId="77777777" w:rsidR="00A5669D" w:rsidRDefault="00A5669D" w:rsidP="00A5669D">
      <w:pPr>
        <w:pStyle w:val="NormalWeb"/>
        <w:spacing w:before="0" w:beforeAutospacing="0" w:after="0" w:afterAutospacing="0"/>
        <w:jc w:val="both"/>
        <w:rPr>
          <w:rFonts w:ascii="Book Antiqua" w:hAnsi="Book Antiqua"/>
          <w:color w:val="000000"/>
        </w:rPr>
      </w:pPr>
    </w:p>
    <w:p w14:paraId="3FDA9A98" w14:textId="4A01F06C" w:rsidR="00520E6C" w:rsidRPr="009C79E7" w:rsidRDefault="00520E6C" w:rsidP="00A5669D">
      <w:pPr>
        <w:pStyle w:val="NormalWeb"/>
        <w:spacing w:before="0" w:beforeAutospacing="0" w:after="0" w:afterAutospacing="0"/>
        <w:jc w:val="both"/>
        <w:rPr>
          <w:rFonts w:ascii="Book Antiqua" w:hAnsi="Book Antiqua"/>
          <w:i/>
          <w:iCs/>
          <w:color w:val="000000"/>
          <w:u w:val="single"/>
        </w:rPr>
      </w:pPr>
      <w:r w:rsidRPr="00F77B1D">
        <w:rPr>
          <w:rFonts w:ascii="Book Antiqua" w:hAnsi="Book Antiqua"/>
          <w:color w:val="000000"/>
        </w:rPr>
        <w:t xml:space="preserve">A pesar de este reconocimiento, en la actualidad, aún existen empleados municipales y funcionarios públicos que utilizan correos electrónicos personales o cuentas privadas, como Gmail, </w:t>
      </w:r>
      <w:proofErr w:type="spellStart"/>
      <w:r w:rsidRPr="00F77B1D">
        <w:rPr>
          <w:rFonts w:ascii="Book Antiqua" w:hAnsi="Book Antiqua"/>
          <w:color w:val="000000"/>
        </w:rPr>
        <w:t>Yahoo</w:t>
      </w:r>
      <w:proofErr w:type="spellEnd"/>
      <w:r w:rsidRPr="00F77B1D">
        <w:rPr>
          <w:rFonts w:ascii="Book Antiqua" w:hAnsi="Book Antiqua"/>
          <w:color w:val="000000"/>
        </w:rPr>
        <w:t xml:space="preserve"> o Outlook, para manejar asuntos oficiales. Esta</w:t>
      </w:r>
      <w:r w:rsidRPr="00D94389">
        <w:rPr>
          <w:rFonts w:ascii="Book Antiqua" w:hAnsi="Book Antiqua"/>
          <w:color w:val="000000"/>
        </w:rPr>
        <w:t xml:space="preserve"> práctica representa un riesgo significativo para la seguridad de la información gubernamental, dificulta la trazabilidad de las comunicaciones oficiales y puede menoscabar la transparencia y la confianza pública que debe caracterizar toda gestión gubernamental.</w:t>
      </w:r>
      <w:r>
        <w:rPr>
          <w:rFonts w:ascii="Book Antiqua" w:hAnsi="Book Antiqua"/>
          <w:color w:val="000000"/>
        </w:rPr>
        <w:t xml:space="preserve"> </w:t>
      </w:r>
    </w:p>
    <w:p w14:paraId="1ABFC554" w14:textId="77777777" w:rsidR="00A5669D" w:rsidRDefault="00A5669D" w:rsidP="00A5669D">
      <w:pPr>
        <w:pStyle w:val="NormalWeb"/>
        <w:spacing w:before="0" w:beforeAutospacing="0" w:after="0" w:afterAutospacing="0"/>
        <w:jc w:val="both"/>
        <w:rPr>
          <w:rFonts w:ascii="Book Antiqua" w:hAnsi="Book Antiqua"/>
          <w:color w:val="000000"/>
        </w:rPr>
      </w:pPr>
    </w:p>
    <w:p w14:paraId="2D63D09E" w14:textId="19382A69" w:rsidR="00A5669D" w:rsidRDefault="00520E6C" w:rsidP="00A5669D">
      <w:pPr>
        <w:pStyle w:val="NormalWeb"/>
        <w:spacing w:before="0" w:beforeAutospacing="0" w:after="0" w:afterAutospacing="0"/>
        <w:jc w:val="both"/>
        <w:rPr>
          <w:rFonts w:ascii="Book Antiqua" w:hAnsi="Book Antiqua"/>
          <w:color w:val="000000"/>
        </w:rPr>
      </w:pPr>
      <w:r w:rsidRPr="00F77B1D">
        <w:rPr>
          <w:rFonts w:ascii="Book Antiqua" w:hAnsi="Book Antiqua"/>
          <w:color w:val="000000"/>
        </w:rPr>
        <w:t>El dominio oficial “.</w:t>
      </w:r>
      <w:proofErr w:type="spellStart"/>
      <w:r w:rsidRPr="00F77B1D">
        <w:rPr>
          <w:rFonts w:ascii="Book Antiqua" w:hAnsi="Book Antiqua"/>
          <w:color w:val="000000"/>
        </w:rPr>
        <w:t>gov</w:t>
      </w:r>
      <w:proofErr w:type="spellEnd"/>
      <w:r w:rsidRPr="00F77B1D">
        <w:rPr>
          <w:rFonts w:ascii="Book Antiqua" w:hAnsi="Book Antiqua"/>
          <w:color w:val="000000"/>
        </w:rPr>
        <w:t xml:space="preserve">” es la extensión oficial utilizada por las agencias y entidades gubernamentales de los Estados Unidos y está disponible también para gobiernos estatales, locales, tribunales y territoriales. En el caso de Puerto Rico, el dominio reconocido es </w:t>
      </w:r>
      <w:proofErr w:type="gramStart"/>
      <w:r w:rsidRPr="00F77B1D">
        <w:rPr>
          <w:rFonts w:ascii="Book Antiqua" w:hAnsi="Book Antiqua"/>
          <w:color w:val="000000"/>
        </w:rPr>
        <w:t>“.pr.gov</w:t>
      </w:r>
      <w:proofErr w:type="gramEnd"/>
      <w:r w:rsidRPr="00F77B1D">
        <w:rPr>
          <w:rFonts w:ascii="Book Antiqua" w:hAnsi="Book Antiqua"/>
          <w:color w:val="000000"/>
        </w:rPr>
        <w:t xml:space="preserve">”, administrado por la Puerto Rico </w:t>
      </w:r>
      <w:proofErr w:type="spellStart"/>
      <w:r w:rsidRPr="00F77B1D">
        <w:rPr>
          <w:rFonts w:ascii="Book Antiqua" w:hAnsi="Book Antiqua"/>
          <w:color w:val="000000"/>
        </w:rPr>
        <w:t>Innovation</w:t>
      </w:r>
      <w:proofErr w:type="spellEnd"/>
      <w:r w:rsidRPr="00F77B1D">
        <w:rPr>
          <w:rFonts w:ascii="Book Antiqua" w:hAnsi="Book Antiqua"/>
          <w:color w:val="000000"/>
        </w:rPr>
        <w:t xml:space="preserve"> and </w:t>
      </w:r>
      <w:proofErr w:type="spellStart"/>
      <w:r w:rsidRPr="00F77B1D">
        <w:rPr>
          <w:rFonts w:ascii="Book Antiqua" w:hAnsi="Book Antiqua"/>
          <w:color w:val="000000"/>
        </w:rPr>
        <w:t>Technology</w:t>
      </w:r>
      <w:proofErr w:type="spellEnd"/>
      <w:r w:rsidRPr="00F77B1D">
        <w:rPr>
          <w:rFonts w:ascii="Book Antiqua" w:hAnsi="Book Antiqua"/>
          <w:color w:val="000000"/>
        </w:rPr>
        <w:t xml:space="preserve"> Service (PRITS).  De modo que, su adopción por parte de los municipios fortalecería la confianza ciudadana, promovería la uniformidad institucional y garantizaría que las comunicaciones electrónicas oficiales provengan de fuentes verificables y seguras.</w:t>
      </w:r>
    </w:p>
    <w:p w14:paraId="0F64630A" w14:textId="77777777" w:rsidR="00A5669D" w:rsidRDefault="00A5669D" w:rsidP="00A5669D">
      <w:pPr>
        <w:pStyle w:val="NormalWeb"/>
        <w:spacing w:before="0" w:beforeAutospacing="0" w:after="0" w:afterAutospacing="0"/>
        <w:jc w:val="both"/>
        <w:rPr>
          <w:rFonts w:ascii="Book Antiqua" w:hAnsi="Book Antiqua"/>
          <w:color w:val="000000"/>
        </w:rPr>
      </w:pPr>
    </w:p>
    <w:p w14:paraId="2F801E00" w14:textId="7357EE78" w:rsidR="00520E6C" w:rsidRPr="00F77B1D" w:rsidRDefault="00520E6C" w:rsidP="002974C7">
      <w:pPr>
        <w:pStyle w:val="NormalWeb"/>
        <w:spacing w:before="0" w:beforeAutospacing="0" w:after="0" w:afterAutospacing="0"/>
        <w:jc w:val="both"/>
        <w:rPr>
          <w:rFonts w:ascii="Book Antiqua" w:hAnsi="Book Antiqua"/>
          <w:color w:val="000000"/>
        </w:rPr>
      </w:pPr>
      <w:r w:rsidRPr="00F77B1D">
        <w:rPr>
          <w:rFonts w:ascii="Book Antiqua" w:hAnsi="Book Antiqua"/>
          <w:color w:val="000000"/>
        </w:rPr>
        <w:t xml:space="preserve">Ante ello, es deber del Estado proveer los mecanismos necesarios para que los municipios, como la unidad gubernamental más cercana al ciudadano, adopten las mejores prácticas tecnológicas en beneficio del interés público. A tales fines, </w:t>
      </w:r>
      <w:proofErr w:type="gramStart"/>
      <w:r w:rsidRPr="00F77B1D">
        <w:rPr>
          <w:rFonts w:ascii="Book Antiqua" w:hAnsi="Book Antiqua"/>
          <w:color w:val="000000"/>
        </w:rPr>
        <w:t xml:space="preserve">esta  </w:t>
      </w:r>
      <w:r w:rsidRPr="00520E6C">
        <w:rPr>
          <w:rFonts w:ascii="Book Antiqua" w:hAnsi="Book Antiqua"/>
          <w:color w:val="000000"/>
        </w:rPr>
        <w:t>ley</w:t>
      </w:r>
      <w:proofErr w:type="gramEnd"/>
      <w:r>
        <w:rPr>
          <w:rFonts w:ascii="Book Antiqua" w:hAnsi="Book Antiqua"/>
          <w:i/>
          <w:iCs/>
          <w:color w:val="000000"/>
          <w:u w:val="single"/>
        </w:rPr>
        <w:t xml:space="preserve"> </w:t>
      </w:r>
      <w:r w:rsidRPr="00F77B1D">
        <w:rPr>
          <w:rFonts w:ascii="Book Antiqua" w:hAnsi="Book Antiqua"/>
          <w:color w:val="000000"/>
        </w:rPr>
        <w:t xml:space="preserve">dispone la obligación de utilizar dominios oficiales en las comunicaciones electrónicas municipales y autoriza al </w:t>
      </w:r>
      <w:r w:rsidRPr="00520E6C">
        <w:rPr>
          <w:rFonts w:ascii="Book Antiqua" w:hAnsi="Book Antiqua"/>
          <w:color w:val="000000"/>
        </w:rPr>
        <w:t xml:space="preserve">Puerto Rico </w:t>
      </w:r>
      <w:proofErr w:type="spellStart"/>
      <w:r w:rsidRPr="00520E6C">
        <w:rPr>
          <w:rFonts w:ascii="Book Antiqua" w:hAnsi="Book Antiqua"/>
          <w:color w:val="000000"/>
        </w:rPr>
        <w:t>Innovation</w:t>
      </w:r>
      <w:proofErr w:type="spellEnd"/>
      <w:r w:rsidRPr="00520E6C">
        <w:rPr>
          <w:rFonts w:ascii="Book Antiqua" w:hAnsi="Book Antiqua"/>
          <w:color w:val="000000"/>
        </w:rPr>
        <w:t xml:space="preserve"> and </w:t>
      </w:r>
      <w:proofErr w:type="spellStart"/>
      <w:r w:rsidRPr="00520E6C">
        <w:rPr>
          <w:rFonts w:ascii="Book Antiqua" w:hAnsi="Book Antiqua"/>
          <w:color w:val="000000"/>
        </w:rPr>
        <w:t>Technology</w:t>
      </w:r>
      <w:proofErr w:type="spellEnd"/>
      <w:r w:rsidRPr="00520E6C">
        <w:rPr>
          <w:rFonts w:ascii="Book Antiqua" w:hAnsi="Book Antiqua"/>
          <w:color w:val="000000"/>
        </w:rPr>
        <w:t xml:space="preserve"> Service (PRITS) </w:t>
      </w:r>
      <w:r w:rsidRPr="00D94389">
        <w:rPr>
          <w:rFonts w:ascii="Book Antiqua" w:hAnsi="Book Antiqua"/>
          <w:color w:val="000000"/>
        </w:rPr>
        <w:t xml:space="preserve">a ofrecer la asistencia técnica </w:t>
      </w:r>
      <w:r w:rsidRPr="00F77B1D">
        <w:rPr>
          <w:rFonts w:ascii="Book Antiqua" w:hAnsi="Book Antiqua"/>
          <w:color w:val="000000"/>
        </w:rPr>
        <w:t xml:space="preserve">y apoyo necesarios para su implantación. De este modo, mediante el uso del dominio oficial del Gobierno de Puerto Rico, los gobiernos municipales asegurarán la validez, procedencia, seguridad y protección de </w:t>
      </w:r>
      <w:r w:rsidRPr="002974C7">
        <w:rPr>
          <w:rFonts w:ascii="Book Antiqua" w:hAnsi="Book Antiqua"/>
          <w:color w:val="000000"/>
        </w:rPr>
        <w:t xml:space="preserve">toda </w:t>
      </w:r>
      <w:r w:rsidRPr="00F77B1D">
        <w:rPr>
          <w:rFonts w:ascii="Book Antiqua" w:hAnsi="Book Antiqua"/>
          <w:color w:val="000000"/>
        </w:rPr>
        <w:t>información pública y gubernamental gestionada por sus empleados y funcionarios, delimitándose así el ámbito de las gestiones institucionales.</w:t>
      </w:r>
    </w:p>
    <w:p w14:paraId="52EE019C" w14:textId="77777777" w:rsidR="002974C7" w:rsidRDefault="001B751A" w:rsidP="002974C7">
      <w:pPr>
        <w:suppressLineNumbers/>
        <w:jc w:val="both"/>
        <w:rPr>
          <w:rFonts w:ascii="Book Antiqua" w:hAnsi="Book Antiqua"/>
          <w:szCs w:val="24"/>
          <w:lang w:val="es-PR"/>
        </w:rPr>
      </w:pPr>
      <w:r w:rsidRPr="001B751A">
        <w:rPr>
          <w:rFonts w:ascii="Book Antiqua" w:hAnsi="Book Antiqua"/>
          <w:szCs w:val="24"/>
          <w:lang w:val="es-PR"/>
        </w:rPr>
        <w:t xml:space="preserve"> </w:t>
      </w:r>
      <w:bookmarkStart w:id="5" w:name="_Hlk193349736"/>
    </w:p>
    <w:p w14:paraId="4736C1DA" w14:textId="0C20BEF9" w:rsidR="001269D9" w:rsidRPr="001269D9" w:rsidRDefault="001269D9" w:rsidP="002974C7">
      <w:pPr>
        <w:suppressLineNumbers/>
        <w:jc w:val="center"/>
        <w:rPr>
          <w:rFonts w:ascii="Book Antiqua" w:eastAsia="Times New Roman" w:hAnsi="Book Antiqua"/>
          <w:b/>
          <w:bCs/>
          <w:i/>
          <w:iCs/>
          <w:szCs w:val="24"/>
          <w:lang w:val="es-DO"/>
        </w:rPr>
      </w:pPr>
      <w:r w:rsidRPr="001269D9">
        <w:rPr>
          <w:rFonts w:ascii="Book Antiqua" w:eastAsia="Times New Roman" w:hAnsi="Book Antiqua"/>
          <w:b/>
          <w:bCs/>
          <w:i/>
          <w:iCs/>
          <w:szCs w:val="24"/>
          <w:lang w:val="es-DO"/>
        </w:rPr>
        <w:t xml:space="preserve">Citaciones </w:t>
      </w:r>
      <w:proofErr w:type="gramStart"/>
      <w:r w:rsidRPr="001269D9">
        <w:rPr>
          <w:rFonts w:ascii="Book Antiqua" w:eastAsia="Times New Roman" w:hAnsi="Book Antiqua"/>
          <w:b/>
          <w:bCs/>
          <w:i/>
          <w:iCs/>
          <w:szCs w:val="24"/>
          <w:lang w:val="es-DO"/>
        </w:rPr>
        <w:t xml:space="preserve">y </w:t>
      </w:r>
      <w:r w:rsidR="00063B34">
        <w:rPr>
          <w:rFonts w:ascii="Book Antiqua" w:eastAsia="Times New Roman" w:hAnsi="Book Antiqua"/>
          <w:b/>
          <w:bCs/>
          <w:i/>
          <w:iCs/>
          <w:szCs w:val="24"/>
          <w:lang w:val="es-DO"/>
        </w:rPr>
        <w:t xml:space="preserve"> </w:t>
      </w:r>
      <w:r w:rsidR="00AC6864">
        <w:rPr>
          <w:rFonts w:ascii="Book Antiqua" w:eastAsia="Times New Roman" w:hAnsi="Book Antiqua"/>
          <w:b/>
          <w:bCs/>
          <w:i/>
          <w:iCs/>
          <w:szCs w:val="24"/>
          <w:lang w:val="es-DO"/>
        </w:rPr>
        <w:t>Trámite</w:t>
      </w:r>
      <w:proofErr w:type="gramEnd"/>
      <w:r w:rsidR="00063B34">
        <w:rPr>
          <w:rFonts w:ascii="Book Antiqua" w:eastAsia="Times New Roman" w:hAnsi="Book Antiqua"/>
          <w:b/>
          <w:bCs/>
          <w:i/>
          <w:iCs/>
          <w:szCs w:val="24"/>
          <w:lang w:val="es-DO"/>
        </w:rPr>
        <w:t xml:space="preserve"> Legislativo</w:t>
      </w:r>
    </w:p>
    <w:p w14:paraId="3FFDF159" w14:textId="77777777" w:rsidR="002974C7" w:rsidRDefault="002974C7" w:rsidP="00AC6864">
      <w:pPr>
        <w:pStyle w:val="NormalWeb"/>
        <w:spacing w:before="0" w:beforeAutospacing="0" w:after="0" w:afterAutospacing="0"/>
        <w:contextualSpacing/>
        <w:jc w:val="both"/>
        <w:rPr>
          <w:rFonts w:ascii="Book Antiqua" w:hAnsi="Book Antiqua"/>
          <w:lang w:val="es-DO"/>
        </w:rPr>
      </w:pPr>
    </w:p>
    <w:p w14:paraId="14056E45" w14:textId="6788F020" w:rsidR="00DB3634" w:rsidRDefault="00530FD5" w:rsidP="00AC6864">
      <w:pPr>
        <w:pStyle w:val="NormalWeb"/>
        <w:spacing w:before="0" w:beforeAutospacing="0" w:after="0" w:afterAutospacing="0"/>
        <w:contextualSpacing/>
        <w:jc w:val="both"/>
        <w:rPr>
          <w:rFonts w:ascii="Book Antiqua" w:hAnsi="Book Antiqua"/>
          <w:lang w:val="es-DO"/>
        </w:rPr>
      </w:pPr>
      <w:r>
        <w:rPr>
          <w:rFonts w:ascii="Book Antiqua" w:hAnsi="Book Antiqua"/>
          <w:lang w:val="es-DO"/>
        </w:rPr>
        <w:t xml:space="preserve">El Proyecto del Senado </w:t>
      </w:r>
      <w:r w:rsidR="00520E6C">
        <w:rPr>
          <w:rFonts w:ascii="Book Antiqua" w:hAnsi="Book Antiqua"/>
          <w:lang w:val="es-DO"/>
        </w:rPr>
        <w:t>787</w:t>
      </w:r>
      <w:r>
        <w:rPr>
          <w:rFonts w:ascii="Book Antiqua" w:hAnsi="Book Antiqua"/>
          <w:lang w:val="es-DO"/>
        </w:rPr>
        <w:t xml:space="preserve">, </w:t>
      </w:r>
      <w:r w:rsidR="002974C7">
        <w:rPr>
          <w:rFonts w:ascii="Book Antiqua" w:hAnsi="Book Antiqua"/>
          <w:lang w:val="es-DO"/>
        </w:rPr>
        <w:t>fue</w:t>
      </w:r>
      <w:r>
        <w:rPr>
          <w:rFonts w:ascii="Book Antiqua" w:hAnsi="Book Antiqua"/>
          <w:lang w:val="es-DO"/>
        </w:rPr>
        <w:t xml:space="preserve"> presentado </w:t>
      </w:r>
      <w:r w:rsidR="00520E6C">
        <w:rPr>
          <w:rFonts w:ascii="Book Antiqua" w:hAnsi="Book Antiqua"/>
          <w:lang w:val="es-DO"/>
        </w:rPr>
        <w:t>por el Senador Wilmer Reyes Berrios el pasado 15 de octubre de 2025</w:t>
      </w:r>
      <w:r>
        <w:rPr>
          <w:rFonts w:ascii="Book Antiqua" w:hAnsi="Book Antiqua"/>
          <w:lang w:val="es-DO"/>
        </w:rPr>
        <w:t xml:space="preserve">. </w:t>
      </w:r>
      <w:r w:rsidR="00063B34" w:rsidRPr="007E1295">
        <w:rPr>
          <w:rFonts w:ascii="Book Antiqua" w:hAnsi="Book Antiqua"/>
          <w:lang w:val="es-DO"/>
        </w:rPr>
        <w:t>Asimismo, debe destacarse que</w:t>
      </w:r>
      <w:r w:rsidR="00726664">
        <w:rPr>
          <w:rFonts w:ascii="Book Antiqua" w:hAnsi="Book Antiqua"/>
          <w:lang w:val="es-DO"/>
        </w:rPr>
        <w:t xml:space="preserve"> la medida bajo </w:t>
      </w:r>
      <w:r w:rsidR="00BE1117">
        <w:rPr>
          <w:rFonts w:ascii="Book Antiqua" w:hAnsi="Book Antiqua"/>
          <w:lang w:val="es-DO"/>
        </w:rPr>
        <w:t>estudio</w:t>
      </w:r>
      <w:r w:rsidR="00063B34" w:rsidRPr="007E1295">
        <w:rPr>
          <w:rStyle w:val="Strong"/>
          <w:rFonts w:ascii="Book Antiqua" w:hAnsi="Book Antiqua"/>
          <w:lang w:val="es-DO"/>
        </w:rPr>
        <w:t xml:space="preserve"> fue aprobad</w:t>
      </w:r>
      <w:r w:rsidR="00726664">
        <w:rPr>
          <w:rStyle w:val="Strong"/>
          <w:rFonts w:ascii="Book Antiqua" w:hAnsi="Book Antiqua"/>
          <w:lang w:val="es-DO"/>
        </w:rPr>
        <w:t>a</w:t>
      </w:r>
      <w:r w:rsidR="00063B34" w:rsidRPr="007E1295">
        <w:rPr>
          <w:rStyle w:val="Strong"/>
          <w:rFonts w:ascii="Book Antiqua" w:hAnsi="Book Antiqua"/>
          <w:lang w:val="es-DO"/>
        </w:rPr>
        <w:t xml:space="preserve"> por el Senado de Puerto Rico en votación final </w:t>
      </w:r>
      <w:r w:rsidR="00DB3634">
        <w:rPr>
          <w:rStyle w:val="Strong"/>
          <w:rFonts w:ascii="Book Antiqua" w:hAnsi="Book Antiqua"/>
          <w:lang w:val="es-DO"/>
        </w:rPr>
        <w:t>e</w:t>
      </w:r>
      <w:r w:rsidR="00063B34" w:rsidRPr="007E1295">
        <w:rPr>
          <w:rStyle w:val="Strong"/>
          <w:rFonts w:ascii="Book Antiqua" w:hAnsi="Book Antiqua"/>
          <w:lang w:val="es-DO"/>
        </w:rPr>
        <w:t xml:space="preserve">l </w:t>
      </w:r>
      <w:r w:rsidR="00520E6C">
        <w:rPr>
          <w:rStyle w:val="Strong"/>
          <w:rFonts w:ascii="Book Antiqua" w:hAnsi="Book Antiqua"/>
          <w:lang w:val="es-DO"/>
        </w:rPr>
        <w:t>20</w:t>
      </w:r>
      <w:r w:rsidR="00B82490">
        <w:rPr>
          <w:rStyle w:val="Strong"/>
          <w:rFonts w:ascii="Book Antiqua" w:hAnsi="Book Antiqua"/>
          <w:lang w:val="es-DO"/>
        </w:rPr>
        <w:t xml:space="preserve"> de </w:t>
      </w:r>
      <w:r w:rsidR="00520E6C">
        <w:rPr>
          <w:rStyle w:val="Strong"/>
          <w:rFonts w:ascii="Book Antiqua" w:hAnsi="Book Antiqua"/>
          <w:lang w:val="es-DO"/>
        </w:rPr>
        <w:t>enero</w:t>
      </w:r>
      <w:r w:rsidR="00B82490">
        <w:rPr>
          <w:rStyle w:val="Strong"/>
          <w:rFonts w:ascii="Book Antiqua" w:hAnsi="Book Antiqua"/>
          <w:lang w:val="es-DO"/>
        </w:rPr>
        <w:t xml:space="preserve"> de 2026</w:t>
      </w:r>
      <w:r w:rsidR="00063B34" w:rsidRPr="00B82490">
        <w:rPr>
          <w:rFonts w:ascii="Book Antiqua" w:hAnsi="Book Antiqua"/>
          <w:b/>
          <w:bCs/>
          <w:lang w:val="es-DO"/>
        </w:rPr>
        <w:t xml:space="preserve">, </w:t>
      </w:r>
      <w:r w:rsidR="00AC6864" w:rsidRPr="00B82490">
        <w:rPr>
          <w:rFonts w:ascii="Book Antiqua" w:hAnsi="Book Antiqua"/>
          <w:b/>
          <w:bCs/>
          <w:lang w:val="es-DO"/>
        </w:rPr>
        <w:t xml:space="preserve">con </w:t>
      </w:r>
      <w:r w:rsidR="00520E6C">
        <w:rPr>
          <w:rFonts w:ascii="Book Antiqua" w:hAnsi="Book Antiqua"/>
          <w:b/>
          <w:bCs/>
          <w:lang w:val="es-DO"/>
        </w:rPr>
        <w:t>veintisiete (</w:t>
      </w:r>
      <w:r w:rsidR="00B82490" w:rsidRPr="00B82490">
        <w:rPr>
          <w:rFonts w:ascii="Book Antiqua" w:hAnsi="Book Antiqua"/>
          <w:b/>
          <w:bCs/>
          <w:lang w:val="es-DO"/>
        </w:rPr>
        <w:t>2</w:t>
      </w:r>
      <w:r w:rsidR="00520E6C">
        <w:rPr>
          <w:rFonts w:ascii="Book Antiqua" w:hAnsi="Book Antiqua"/>
          <w:b/>
          <w:bCs/>
          <w:lang w:val="es-DO"/>
        </w:rPr>
        <w:t>7)</w:t>
      </w:r>
      <w:r w:rsidR="00B82490" w:rsidRPr="00B82490">
        <w:rPr>
          <w:rFonts w:ascii="Book Antiqua" w:hAnsi="Book Antiqua"/>
          <w:b/>
          <w:bCs/>
          <w:lang w:val="es-DO"/>
        </w:rPr>
        <w:t xml:space="preserve"> votos a favor</w:t>
      </w:r>
      <w:r w:rsidR="00520E6C">
        <w:rPr>
          <w:rFonts w:ascii="Book Antiqua" w:hAnsi="Book Antiqua"/>
          <w:b/>
          <w:bCs/>
          <w:lang w:val="es-DO"/>
        </w:rPr>
        <w:t xml:space="preserve"> y uno (1) en contra</w:t>
      </w:r>
      <w:r w:rsidR="00063B34" w:rsidRPr="007E1295">
        <w:rPr>
          <w:rStyle w:val="Emphasis"/>
          <w:rFonts w:ascii="Book Antiqua" w:eastAsia="Batang" w:hAnsi="Book Antiqua"/>
          <w:lang w:val="es-DO"/>
        </w:rPr>
        <w:t>.</w:t>
      </w:r>
      <w:r w:rsidR="00063B34" w:rsidRPr="007E1295">
        <w:rPr>
          <w:rFonts w:ascii="Book Antiqua" w:hAnsi="Book Antiqua"/>
          <w:lang w:val="es-DO"/>
        </w:rPr>
        <w:t xml:space="preserve"> Este resultado refleja un respaldo </w:t>
      </w:r>
      <w:proofErr w:type="gramStart"/>
      <w:r w:rsidR="00B82490">
        <w:rPr>
          <w:rFonts w:ascii="Book Antiqua" w:hAnsi="Book Antiqua"/>
          <w:lang w:val="es-DO"/>
        </w:rPr>
        <w:t xml:space="preserve">unánime </w:t>
      </w:r>
      <w:r w:rsidR="00063B34" w:rsidRPr="007E1295">
        <w:rPr>
          <w:rFonts w:ascii="Book Antiqua" w:hAnsi="Book Antiqua"/>
          <w:lang w:val="es-DO"/>
        </w:rPr>
        <w:t xml:space="preserve"> en</w:t>
      </w:r>
      <w:proofErr w:type="gramEnd"/>
      <w:r w:rsidR="00063B34" w:rsidRPr="007E1295">
        <w:rPr>
          <w:rFonts w:ascii="Book Antiqua" w:hAnsi="Book Antiqua"/>
          <w:lang w:val="es-DO"/>
        </w:rPr>
        <w:t xml:space="preserve"> el Alto Cuerpo legislativo.</w:t>
      </w:r>
      <w:r w:rsidR="008D7F3D">
        <w:rPr>
          <w:rFonts w:ascii="Book Antiqua" w:hAnsi="Book Antiqua"/>
          <w:lang w:val="es-DO"/>
        </w:rPr>
        <w:t xml:space="preserve"> </w:t>
      </w:r>
      <w:r w:rsidR="00DB3634">
        <w:rPr>
          <w:rFonts w:ascii="Book Antiqua" w:hAnsi="Book Antiqua"/>
          <w:lang w:val="es-DO"/>
        </w:rPr>
        <w:t xml:space="preserve">Durante el </w:t>
      </w:r>
      <w:r w:rsidR="008D7F3D">
        <w:rPr>
          <w:rFonts w:ascii="Book Antiqua" w:hAnsi="Book Antiqua"/>
          <w:lang w:val="es-DO"/>
        </w:rPr>
        <w:t>análisis de la medida, no se realizaron vistas públicas, y se utilizó la posición</w:t>
      </w:r>
      <w:r w:rsidR="00DB3634">
        <w:rPr>
          <w:rFonts w:ascii="Book Antiqua" w:hAnsi="Book Antiqua"/>
          <w:lang w:val="es-DO"/>
        </w:rPr>
        <w:t xml:space="preserve"> de las agencias e instrumentalidades por memorial</w:t>
      </w:r>
      <w:r w:rsidR="002974C7">
        <w:rPr>
          <w:rFonts w:ascii="Book Antiqua" w:hAnsi="Book Antiqua"/>
          <w:lang w:val="es-DO"/>
        </w:rPr>
        <w:t xml:space="preserve"> explicativo</w:t>
      </w:r>
      <w:r w:rsidR="00DB3634">
        <w:rPr>
          <w:rFonts w:ascii="Book Antiqua" w:hAnsi="Book Antiqua"/>
          <w:lang w:val="es-DO"/>
        </w:rPr>
        <w:t xml:space="preserve">. </w:t>
      </w:r>
    </w:p>
    <w:p w14:paraId="19BC8D70" w14:textId="77777777" w:rsidR="00DA48CC" w:rsidRDefault="00DA48CC" w:rsidP="00AC6864">
      <w:pPr>
        <w:pStyle w:val="NormalWeb"/>
        <w:spacing w:before="0" w:beforeAutospacing="0" w:after="0" w:afterAutospacing="0"/>
        <w:contextualSpacing/>
        <w:jc w:val="both"/>
        <w:rPr>
          <w:rFonts w:ascii="Book Antiqua" w:hAnsi="Book Antiqua"/>
          <w:lang w:val="es-DO"/>
        </w:rPr>
      </w:pPr>
    </w:p>
    <w:p w14:paraId="1289E735" w14:textId="3A6FAE16" w:rsidR="00E349F9" w:rsidRDefault="00DA48CC" w:rsidP="00AC6864">
      <w:pPr>
        <w:pStyle w:val="NormalWeb"/>
        <w:spacing w:before="0" w:beforeAutospacing="0" w:after="0" w:afterAutospacing="0"/>
        <w:contextualSpacing/>
        <w:jc w:val="both"/>
        <w:rPr>
          <w:rFonts w:ascii="Book Antiqua" w:hAnsi="Book Antiqua"/>
          <w:lang w:val="es-DO"/>
        </w:rPr>
      </w:pPr>
      <w:r>
        <w:rPr>
          <w:rFonts w:ascii="Book Antiqua" w:hAnsi="Book Antiqua"/>
          <w:lang w:val="es-DO"/>
        </w:rPr>
        <w:t xml:space="preserve"> </w:t>
      </w:r>
      <w:r w:rsidR="000907FB">
        <w:rPr>
          <w:rFonts w:ascii="Book Antiqua" w:hAnsi="Book Antiqua"/>
          <w:lang w:val="es-DO"/>
        </w:rPr>
        <w:t>L</w:t>
      </w:r>
      <w:r>
        <w:rPr>
          <w:rFonts w:ascii="Book Antiqua" w:hAnsi="Book Antiqua"/>
          <w:lang w:val="es-DO"/>
        </w:rPr>
        <w:t>a Comisión de Asuntos Municipales, solicitó</w:t>
      </w:r>
      <w:r w:rsidR="00520E6C">
        <w:rPr>
          <w:rFonts w:ascii="Book Antiqua" w:hAnsi="Book Antiqua"/>
          <w:lang w:val="es-DO"/>
        </w:rPr>
        <w:t xml:space="preserve"> el 27 de enero de 2026,</w:t>
      </w:r>
      <w:r>
        <w:rPr>
          <w:rFonts w:ascii="Book Antiqua" w:hAnsi="Book Antiqua"/>
          <w:lang w:val="es-DO"/>
        </w:rPr>
        <w:t xml:space="preserve"> comentarios a las siguientes agencias:</w:t>
      </w:r>
    </w:p>
    <w:p w14:paraId="3E6F8D1D" w14:textId="77777777" w:rsidR="00E349F9" w:rsidRDefault="00E349F9" w:rsidP="00E349F9">
      <w:pPr>
        <w:pStyle w:val="NormalWeb"/>
        <w:spacing w:before="0" w:beforeAutospacing="0" w:after="0" w:afterAutospacing="0"/>
        <w:contextualSpacing/>
        <w:jc w:val="both"/>
        <w:rPr>
          <w:rFonts w:ascii="Book Antiqua" w:hAnsi="Book Antiqua"/>
          <w:lang w:val="es-DO"/>
        </w:rPr>
      </w:pPr>
    </w:p>
    <w:p w14:paraId="58856095" w14:textId="16330617" w:rsidR="00E349F9" w:rsidRDefault="00E349F9"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lastRenderedPageBreak/>
        <w:t xml:space="preserve">Asociación de </w:t>
      </w:r>
      <w:proofErr w:type="gramStart"/>
      <w:r>
        <w:rPr>
          <w:rFonts w:ascii="Book Antiqua" w:hAnsi="Book Antiqua"/>
          <w:lang w:val="es-DO"/>
        </w:rPr>
        <w:t>Alcaldes</w:t>
      </w:r>
      <w:proofErr w:type="gramEnd"/>
      <w:r>
        <w:rPr>
          <w:rFonts w:ascii="Book Antiqua" w:hAnsi="Book Antiqua"/>
          <w:lang w:val="es-DO"/>
        </w:rPr>
        <w:t xml:space="preserve"> de Puerto Rico</w:t>
      </w:r>
      <w:r w:rsidR="002974C7">
        <w:rPr>
          <w:rFonts w:ascii="Book Antiqua" w:hAnsi="Book Antiqua"/>
          <w:lang w:val="es-DO"/>
        </w:rPr>
        <w:t xml:space="preserve"> (AAPR)</w:t>
      </w:r>
    </w:p>
    <w:p w14:paraId="56A91D24" w14:textId="45FDC498" w:rsidR="00520E6C" w:rsidRDefault="00520E6C"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Departamento de Justicia</w:t>
      </w:r>
      <w:r w:rsidR="002974C7">
        <w:rPr>
          <w:rFonts w:ascii="Book Antiqua" w:hAnsi="Book Antiqua"/>
          <w:lang w:val="es-DO"/>
        </w:rPr>
        <w:t xml:space="preserve"> (DJ)</w:t>
      </w:r>
    </w:p>
    <w:p w14:paraId="7DB11848" w14:textId="0648231B" w:rsidR="000907FB" w:rsidRPr="00520E6C" w:rsidRDefault="00E349F9" w:rsidP="00520E6C">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 xml:space="preserve">Federación de </w:t>
      </w:r>
      <w:proofErr w:type="gramStart"/>
      <w:r>
        <w:rPr>
          <w:rFonts w:ascii="Book Antiqua" w:hAnsi="Book Antiqua"/>
          <w:lang w:val="es-DO"/>
        </w:rPr>
        <w:t>Alcaldes</w:t>
      </w:r>
      <w:proofErr w:type="gramEnd"/>
      <w:r>
        <w:rPr>
          <w:rFonts w:ascii="Book Antiqua" w:hAnsi="Book Antiqua"/>
          <w:lang w:val="es-DO"/>
        </w:rPr>
        <w:t xml:space="preserve"> </w:t>
      </w:r>
      <w:r w:rsidR="002974C7">
        <w:rPr>
          <w:rFonts w:ascii="Book Antiqua" w:hAnsi="Book Antiqua"/>
          <w:lang w:val="es-DO"/>
        </w:rPr>
        <w:t>de Puerto Rico (FAPR)</w:t>
      </w:r>
    </w:p>
    <w:p w14:paraId="3989ADB9" w14:textId="7FD04C47" w:rsidR="000907FB" w:rsidRDefault="000907FB"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Oficina de Gerencia y Presupuesto</w:t>
      </w:r>
      <w:r w:rsidR="002974C7">
        <w:rPr>
          <w:rFonts w:ascii="Book Antiqua" w:hAnsi="Book Antiqua"/>
          <w:lang w:val="es-DO"/>
        </w:rPr>
        <w:t xml:space="preserve"> (OGP)</w:t>
      </w:r>
    </w:p>
    <w:p w14:paraId="48E0E625" w14:textId="24C51574" w:rsidR="00520E6C" w:rsidRPr="002974C7" w:rsidRDefault="00520E6C" w:rsidP="00E349F9">
      <w:pPr>
        <w:pStyle w:val="NormalWeb"/>
        <w:numPr>
          <w:ilvl w:val="0"/>
          <w:numId w:val="33"/>
        </w:numPr>
        <w:spacing w:before="0" w:beforeAutospacing="0" w:after="0" w:afterAutospacing="0"/>
        <w:contextualSpacing/>
        <w:jc w:val="both"/>
        <w:rPr>
          <w:rFonts w:ascii="Book Antiqua" w:hAnsi="Book Antiqua"/>
          <w:lang w:val="en-US"/>
        </w:rPr>
      </w:pPr>
      <w:r w:rsidRPr="002974C7">
        <w:rPr>
          <w:rFonts w:ascii="Book Antiqua" w:hAnsi="Book Antiqua"/>
          <w:lang w:val="en-US"/>
        </w:rPr>
        <w:t>Puerto Rico Innovation and Technology Service (PRITS)</w:t>
      </w:r>
    </w:p>
    <w:p w14:paraId="235BC819" w14:textId="4C9A2043" w:rsidR="00DD1DC0" w:rsidRDefault="002974C7" w:rsidP="00DD1DC0">
      <w:pPr>
        <w:spacing w:before="100" w:beforeAutospacing="1" w:after="100" w:afterAutospacing="1"/>
        <w:contextualSpacing/>
        <w:jc w:val="center"/>
        <w:rPr>
          <w:rFonts w:ascii="Book Antiqua" w:hAnsi="Book Antiqua"/>
          <w:b/>
          <w:i/>
          <w:smallCaps/>
          <w:sz w:val="22"/>
          <w:szCs w:val="22"/>
          <w:lang w:val="es-ES_tradnl"/>
        </w:rPr>
      </w:pPr>
      <w:r w:rsidRPr="000907FB">
        <w:rPr>
          <w:rFonts w:ascii="Book Antiqua" w:hAnsi="Book Antiqua"/>
          <w:b/>
          <w:i/>
          <w:smallCaps/>
          <w:sz w:val="22"/>
          <w:szCs w:val="22"/>
          <w:lang w:val="es-ES_tradnl"/>
        </w:rPr>
        <w:t>COMPARECENCIAS Y</w:t>
      </w:r>
      <w:r w:rsidR="000E66EE" w:rsidRPr="000907FB">
        <w:rPr>
          <w:rFonts w:ascii="Book Antiqua" w:hAnsi="Book Antiqua"/>
          <w:b/>
          <w:i/>
          <w:smallCaps/>
          <w:sz w:val="22"/>
          <w:szCs w:val="22"/>
          <w:lang w:val="es-ES_tradnl"/>
        </w:rPr>
        <w:t xml:space="preserve"> MEMORIALES</w:t>
      </w:r>
      <w:bookmarkEnd w:id="5"/>
    </w:p>
    <w:p w14:paraId="7ECE6434" w14:textId="77777777" w:rsidR="000907FB" w:rsidRDefault="000907FB" w:rsidP="000907FB">
      <w:pPr>
        <w:spacing w:before="100" w:beforeAutospacing="1" w:after="100" w:afterAutospacing="1"/>
        <w:contextualSpacing/>
        <w:rPr>
          <w:rFonts w:ascii="Book Antiqua" w:hAnsi="Book Antiqua"/>
          <w:b/>
          <w:i/>
          <w:smallCaps/>
          <w:sz w:val="22"/>
          <w:szCs w:val="22"/>
          <w:lang w:val="es-ES_tradnl"/>
        </w:rPr>
      </w:pPr>
    </w:p>
    <w:bookmarkEnd w:id="4"/>
    <w:p w14:paraId="46F4BACA" w14:textId="1E1DCB7D" w:rsidR="00A5669D" w:rsidRPr="00A5669D" w:rsidRDefault="00520E6C" w:rsidP="00A5669D">
      <w:pPr>
        <w:spacing w:after="240"/>
        <w:jc w:val="both"/>
        <w:rPr>
          <w:rFonts w:ascii="Book Antiqua" w:hAnsi="Book Antiqua"/>
          <w:lang w:val="es-ES_tradnl"/>
        </w:rPr>
      </w:pPr>
      <w:r>
        <w:rPr>
          <w:rFonts w:ascii="Book Antiqua" w:hAnsi="Book Antiqua"/>
          <w:lang w:val="es-ES_tradnl"/>
        </w:rPr>
        <w:t xml:space="preserve">La </w:t>
      </w:r>
      <w:r w:rsidR="00A5669D" w:rsidRPr="00A5669D">
        <w:rPr>
          <w:rFonts w:ascii="Book Antiqua" w:hAnsi="Book Antiqua"/>
          <w:b/>
          <w:bCs/>
          <w:i/>
          <w:iCs/>
          <w:lang w:val="es-ES_tradnl"/>
        </w:rPr>
        <w:t xml:space="preserve">Asociación de </w:t>
      </w:r>
      <w:proofErr w:type="gramStart"/>
      <w:r w:rsidR="00A5669D" w:rsidRPr="00A5669D">
        <w:rPr>
          <w:rFonts w:ascii="Book Antiqua" w:hAnsi="Book Antiqua"/>
          <w:b/>
          <w:bCs/>
          <w:i/>
          <w:iCs/>
          <w:lang w:val="es-ES_tradnl"/>
        </w:rPr>
        <w:t>Alcaldes</w:t>
      </w:r>
      <w:proofErr w:type="gramEnd"/>
      <w:r w:rsidR="00A5669D" w:rsidRPr="00A5669D">
        <w:rPr>
          <w:rFonts w:ascii="Book Antiqua" w:hAnsi="Book Antiqua"/>
          <w:b/>
          <w:bCs/>
          <w:i/>
          <w:iCs/>
          <w:lang w:val="es-ES_tradnl"/>
        </w:rPr>
        <w:t xml:space="preserve"> de Puerto Rico</w:t>
      </w:r>
      <w:r w:rsidR="002974C7">
        <w:rPr>
          <w:rFonts w:ascii="Book Antiqua" w:hAnsi="Book Antiqua"/>
          <w:b/>
          <w:bCs/>
          <w:i/>
          <w:iCs/>
          <w:lang w:val="es-ES_tradnl"/>
        </w:rPr>
        <w:t xml:space="preserve"> (AAPR)</w:t>
      </w:r>
      <w:r w:rsidR="00A5669D" w:rsidRPr="00A5669D">
        <w:rPr>
          <w:rFonts w:ascii="Book Antiqua" w:hAnsi="Book Antiqua"/>
          <w:b/>
          <w:bCs/>
          <w:i/>
          <w:iCs/>
          <w:lang w:val="es-ES_tradnl"/>
        </w:rPr>
        <w:t>,</w:t>
      </w:r>
      <w:r w:rsidR="00A5669D" w:rsidRPr="00A5669D">
        <w:rPr>
          <w:rFonts w:ascii="Book Antiqua" w:hAnsi="Book Antiqua"/>
          <w:lang w:val="es-ES_tradnl"/>
        </w:rPr>
        <w:t xml:space="preserve"> </w:t>
      </w:r>
      <w:r w:rsidR="00A5669D">
        <w:rPr>
          <w:rFonts w:ascii="Book Antiqua" w:hAnsi="Book Antiqua"/>
          <w:lang w:val="es-ES_tradnl"/>
        </w:rPr>
        <w:t xml:space="preserve">compareció ante el Senado, en memorial suscrito por su </w:t>
      </w:r>
      <w:r>
        <w:rPr>
          <w:rFonts w:ascii="Book Antiqua" w:hAnsi="Book Antiqua"/>
          <w:lang w:val="es-ES_tradnl"/>
        </w:rPr>
        <w:t xml:space="preserve">directora ejecutiva de la Verónica Rodríguez Irizarry, </w:t>
      </w:r>
      <w:r w:rsidR="00A5669D">
        <w:rPr>
          <w:rFonts w:ascii="Book Antiqua" w:hAnsi="Book Antiqua"/>
          <w:lang w:val="es-ES_tradnl"/>
        </w:rPr>
        <w:t xml:space="preserve">con fecha del 29 de octubre de 2026, y expresó </w:t>
      </w:r>
      <w:r w:rsidRPr="00656686">
        <w:rPr>
          <w:rFonts w:ascii="Book Antiqua" w:hAnsi="Book Antiqua"/>
          <w:b/>
          <w:bCs/>
          <w:lang w:val="es-ES_tradnl"/>
        </w:rPr>
        <w:t>no endosa la aprobación del P. del S. 787</w:t>
      </w:r>
      <w:r>
        <w:rPr>
          <w:rFonts w:ascii="Book Antiqua" w:hAnsi="Book Antiqua"/>
          <w:lang w:val="es-ES_tradnl"/>
        </w:rPr>
        <w:t>. A su juicio, “[e]l Proyecto no permite que los municipios puedan elaborar sus propias páginas de internet y correos electrónicos de sus empleados conforme a sus necesidades”.</w:t>
      </w:r>
      <w:r>
        <w:rPr>
          <w:rStyle w:val="FootnoteReference"/>
          <w:rFonts w:ascii="Book Antiqua" w:hAnsi="Book Antiqua"/>
          <w:lang w:val="es-ES_tradnl"/>
        </w:rPr>
        <w:footnoteReference w:id="1"/>
      </w:r>
      <w:r>
        <w:rPr>
          <w:rFonts w:ascii="Book Antiqua" w:hAnsi="Book Antiqua"/>
          <w:lang w:val="es-ES_tradnl"/>
        </w:rPr>
        <w:t xml:space="preserve"> Esto, según alegó, es contrario a la autonomía municipal. Por otro lado, esbozó que la medida usurpa los poderes otorgados a los gobiernos municipales, en virtud de la política pública declarada en el Artículo 1.003 del Código Municipal. Igualmente, aludió que el Artículo 1.008(n) y (q) del referido estatuto dispone que los municipios pueden establecer acuerdos colaborativos con el Gobierno Federal, las agencias, departamentos y demás instrumentalidades del Gobierno de Puerto Rico, incluyendo con el PRITS. No obstante, puntualizó que ello dependerá del interés de cada gobierno municipal.</w:t>
      </w:r>
    </w:p>
    <w:p w14:paraId="72268453" w14:textId="0B70F4F0" w:rsidR="00520E6C" w:rsidRDefault="00520E6C" w:rsidP="00A5669D">
      <w:pPr>
        <w:pStyle w:val="NormalWeb"/>
        <w:spacing w:before="0" w:beforeAutospacing="0" w:after="0" w:afterAutospacing="0"/>
        <w:contextualSpacing/>
        <w:jc w:val="both"/>
        <w:rPr>
          <w:rFonts w:ascii="Book Antiqua" w:hAnsi="Book Antiqua"/>
          <w:lang w:val="es-ES"/>
        </w:rPr>
      </w:pPr>
      <w:r w:rsidRPr="00BA3503">
        <w:rPr>
          <w:rFonts w:ascii="Book Antiqua" w:hAnsi="Book Antiqua"/>
          <w:lang w:val="es-ES"/>
        </w:rPr>
        <w:t xml:space="preserve">Por conducto </w:t>
      </w:r>
      <w:r>
        <w:rPr>
          <w:rFonts w:ascii="Book Antiqua" w:hAnsi="Book Antiqua"/>
          <w:lang w:val="es-ES"/>
        </w:rPr>
        <w:t>de su</w:t>
      </w:r>
      <w:r w:rsidRPr="00BA3503">
        <w:rPr>
          <w:rFonts w:ascii="Book Antiqua" w:hAnsi="Book Antiqua"/>
          <w:lang w:val="es-ES"/>
        </w:rPr>
        <w:t xml:space="preserve"> director ejecutivo</w:t>
      </w:r>
      <w:r>
        <w:rPr>
          <w:rFonts w:ascii="Book Antiqua" w:hAnsi="Book Antiqua"/>
          <w:lang w:val="es-ES"/>
        </w:rPr>
        <w:t>, Poincaré Díaz Peña, el</w:t>
      </w:r>
      <w:r w:rsidR="00A5669D">
        <w:rPr>
          <w:rFonts w:ascii="Book Antiqua" w:hAnsi="Book Antiqua"/>
          <w:lang w:val="es-ES"/>
        </w:rPr>
        <w:t xml:space="preserve"> </w:t>
      </w:r>
      <w:r w:rsidR="00A5669D" w:rsidRPr="00A5669D">
        <w:rPr>
          <w:rFonts w:ascii="Book Antiqua" w:hAnsi="Book Antiqua"/>
          <w:b/>
          <w:bCs/>
          <w:i/>
          <w:iCs/>
          <w:lang w:val="es-DO"/>
        </w:rPr>
        <w:t xml:space="preserve">Puerto Rico </w:t>
      </w:r>
      <w:proofErr w:type="spellStart"/>
      <w:r w:rsidR="00A5669D" w:rsidRPr="00A5669D">
        <w:rPr>
          <w:rFonts w:ascii="Book Antiqua" w:hAnsi="Book Antiqua"/>
          <w:b/>
          <w:bCs/>
          <w:i/>
          <w:iCs/>
          <w:lang w:val="es-DO"/>
        </w:rPr>
        <w:t>Innovation</w:t>
      </w:r>
      <w:proofErr w:type="spellEnd"/>
      <w:r w:rsidR="00A5669D" w:rsidRPr="00A5669D">
        <w:rPr>
          <w:rFonts w:ascii="Book Antiqua" w:hAnsi="Book Antiqua"/>
          <w:b/>
          <w:bCs/>
          <w:i/>
          <w:iCs/>
          <w:lang w:val="es-DO"/>
        </w:rPr>
        <w:t xml:space="preserve"> and </w:t>
      </w:r>
      <w:proofErr w:type="spellStart"/>
      <w:r w:rsidR="00A5669D" w:rsidRPr="00A5669D">
        <w:rPr>
          <w:rFonts w:ascii="Book Antiqua" w:hAnsi="Book Antiqua"/>
          <w:b/>
          <w:bCs/>
          <w:i/>
          <w:iCs/>
          <w:lang w:val="es-DO"/>
        </w:rPr>
        <w:t>Technology</w:t>
      </w:r>
      <w:proofErr w:type="spellEnd"/>
      <w:r w:rsidR="00A5669D" w:rsidRPr="00A5669D">
        <w:rPr>
          <w:rFonts w:ascii="Book Antiqua" w:hAnsi="Book Antiqua"/>
          <w:b/>
          <w:bCs/>
          <w:i/>
          <w:iCs/>
          <w:lang w:val="es-DO"/>
        </w:rPr>
        <w:t xml:space="preserve"> Service (PRITS</w:t>
      </w:r>
      <w:r w:rsidR="00A5669D">
        <w:rPr>
          <w:rFonts w:ascii="Book Antiqua" w:hAnsi="Book Antiqua"/>
          <w:lang w:val="es-DO"/>
        </w:rPr>
        <w:t>)</w:t>
      </w:r>
      <w:r w:rsidR="00A5669D">
        <w:rPr>
          <w:rFonts w:ascii="Book Antiqua" w:hAnsi="Book Antiqua"/>
          <w:lang w:val="es-ES"/>
        </w:rPr>
        <w:t xml:space="preserve">, presentó un memorial ante el Senado de Puerto Rico, con fecha </w:t>
      </w:r>
      <w:proofErr w:type="gramStart"/>
      <w:r w:rsidR="00A5669D">
        <w:rPr>
          <w:rFonts w:ascii="Book Antiqua" w:hAnsi="Book Antiqua"/>
          <w:lang w:val="es-ES"/>
        </w:rPr>
        <w:t xml:space="preserve">del </w:t>
      </w:r>
      <w:r>
        <w:rPr>
          <w:rFonts w:ascii="Book Antiqua" w:hAnsi="Book Antiqua"/>
          <w:lang w:val="es-ES"/>
        </w:rPr>
        <w:t xml:space="preserve"> </w:t>
      </w:r>
      <w:r w:rsidR="00A5669D">
        <w:rPr>
          <w:rFonts w:ascii="Book Antiqua" w:hAnsi="Book Antiqua"/>
          <w:lang w:val="es-ES"/>
        </w:rPr>
        <w:t>29</w:t>
      </w:r>
      <w:proofErr w:type="gramEnd"/>
      <w:r w:rsidR="00A5669D">
        <w:rPr>
          <w:rFonts w:ascii="Book Antiqua" w:hAnsi="Book Antiqua"/>
          <w:lang w:val="es-ES"/>
        </w:rPr>
        <w:t xml:space="preserve"> de octubre de 2026. En dicha comunicación </w:t>
      </w:r>
      <w:r w:rsidRPr="00CD72B4">
        <w:rPr>
          <w:rFonts w:ascii="Book Antiqua" w:hAnsi="Book Antiqua"/>
          <w:b/>
          <w:bCs/>
          <w:lang w:val="es-ES"/>
        </w:rPr>
        <w:t>respalda la aprobación del P. del S. 787</w:t>
      </w:r>
      <w:r>
        <w:rPr>
          <w:rFonts w:ascii="Book Antiqua" w:hAnsi="Book Antiqua"/>
          <w:lang w:val="es-ES"/>
        </w:rPr>
        <w:t xml:space="preserve">. De entrada, expresó que, conforme </w:t>
      </w:r>
      <w:r w:rsidR="00A5669D">
        <w:rPr>
          <w:rFonts w:ascii="Book Antiqua" w:hAnsi="Book Antiqua"/>
          <w:lang w:val="es-ES"/>
        </w:rPr>
        <w:t xml:space="preserve">a </w:t>
      </w:r>
      <w:r>
        <w:rPr>
          <w:rFonts w:ascii="Book Antiqua" w:hAnsi="Book Antiqua"/>
          <w:lang w:val="es-ES"/>
        </w:rPr>
        <w:t xml:space="preserve">lo dispuesto en el Artículo 6(e) de la Ley 75, </w:t>
      </w:r>
      <w:r w:rsidRPr="00BA3503">
        <w:rPr>
          <w:rFonts w:ascii="Book Antiqua" w:hAnsi="Book Antiqua"/>
          <w:i/>
          <w:iCs/>
          <w:lang w:val="es-ES"/>
        </w:rPr>
        <w:t>supra</w:t>
      </w:r>
      <w:r>
        <w:rPr>
          <w:rFonts w:ascii="Book Antiqua" w:hAnsi="Book Antiqua"/>
          <w:lang w:val="es-ES"/>
        </w:rPr>
        <w:t>, dicha entidad dirige el mejoramiento y modernización del proyecto conocido como “</w:t>
      </w:r>
      <w:proofErr w:type="spellStart"/>
      <w:r>
        <w:rPr>
          <w:rFonts w:ascii="Book Antiqua" w:hAnsi="Book Antiqua"/>
          <w:lang w:val="es-ES"/>
        </w:rPr>
        <w:t>Upgrade</w:t>
      </w:r>
      <w:proofErr w:type="spellEnd"/>
      <w:r>
        <w:rPr>
          <w:rFonts w:ascii="Book Antiqua" w:hAnsi="Book Antiqua"/>
          <w:lang w:val="es-ES"/>
        </w:rPr>
        <w:t xml:space="preserve"> pr.gov”. Asimismo, la ley impone la obligación de desarrollar los portales del Gobierno de Puerto Rico y de velar por la ciberseguridad de estos.</w:t>
      </w:r>
    </w:p>
    <w:p w14:paraId="3BE0303A" w14:textId="77777777" w:rsidR="002974C7" w:rsidRPr="00A5669D" w:rsidRDefault="002974C7" w:rsidP="00A5669D">
      <w:pPr>
        <w:pStyle w:val="NormalWeb"/>
        <w:spacing w:before="0" w:beforeAutospacing="0" w:after="0" w:afterAutospacing="0"/>
        <w:contextualSpacing/>
        <w:jc w:val="both"/>
        <w:rPr>
          <w:rFonts w:ascii="Book Antiqua" w:hAnsi="Book Antiqua"/>
          <w:lang w:val="es-DO"/>
        </w:rPr>
      </w:pPr>
    </w:p>
    <w:p w14:paraId="4AAF55E5" w14:textId="07715197" w:rsidR="00520E6C" w:rsidRDefault="00520E6C" w:rsidP="00520E6C">
      <w:pPr>
        <w:spacing w:after="240"/>
        <w:jc w:val="both"/>
        <w:rPr>
          <w:rFonts w:ascii="Book Antiqua" w:hAnsi="Book Antiqua"/>
          <w:lang w:val="es-ES"/>
        </w:rPr>
      </w:pPr>
      <w:r>
        <w:rPr>
          <w:rFonts w:ascii="Book Antiqua" w:hAnsi="Book Antiqua"/>
          <w:lang w:val="es-ES"/>
        </w:rPr>
        <w:t>En lo pertinente, el director destacó que la mayor parte de las dependencias gubernamentales del Gobierno Federal de los Estados Unidos de América, así como sus estados, utilizan el dominio “.</w:t>
      </w:r>
      <w:proofErr w:type="spellStart"/>
      <w:r>
        <w:rPr>
          <w:rFonts w:ascii="Book Antiqua" w:hAnsi="Book Antiqua"/>
          <w:lang w:val="es-ES"/>
        </w:rPr>
        <w:t>gov</w:t>
      </w:r>
      <w:proofErr w:type="spellEnd"/>
      <w:r>
        <w:rPr>
          <w:rFonts w:ascii="Book Antiqua" w:hAnsi="Book Antiqua"/>
          <w:lang w:val="es-ES"/>
        </w:rPr>
        <w:t>”. De modo que “[e]</w:t>
      </w:r>
      <w:proofErr w:type="spellStart"/>
      <w:r>
        <w:rPr>
          <w:rFonts w:ascii="Book Antiqua" w:hAnsi="Book Antiqua"/>
          <w:lang w:val="es-ES"/>
        </w:rPr>
        <w:t>sta</w:t>
      </w:r>
      <w:proofErr w:type="spellEnd"/>
      <w:r>
        <w:rPr>
          <w:rFonts w:ascii="Book Antiqua" w:hAnsi="Book Antiqua"/>
          <w:lang w:val="es-ES"/>
        </w:rPr>
        <w:t xml:space="preserve"> </w:t>
      </w:r>
      <w:r w:rsidRPr="00B9577F">
        <w:rPr>
          <w:rFonts w:ascii="Book Antiqua" w:hAnsi="Book Antiqua"/>
          <w:lang w:val="es-ES"/>
        </w:rPr>
        <w:t>exclusividad no solo garantiza legitimidad a los portales de gobierno, sino que también fortalece la confianza ciudadana al permitir que los usuarios identifiquen de manera inequívoca que la información proviene de una fuente oficial y segura</w:t>
      </w:r>
      <w:r>
        <w:rPr>
          <w:rFonts w:ascii="Book Antiqua" w:hAnsi="Book Antiqua"/>
          <w:lang w:val="es-ES"/>
        </w:rPr>
        <w:t>”.</w:t>
      </w:r>
      <w:r>
        <w:rPr>
          <w:rStyle w:val="FootnoteReference"/>
          <w:rFonts w:ascii="Book Antiqua" w:hAnsi="Book Antiqua"/>
          <w:lang w:val="es-ES"/>
        </w:rPr>
        <w:footnoteReference w:id="2"/>
      </w:r>
      <w:r>
        <w:rPr>
          <w:rFonts w:ascii="Book Antiqua" w:hAnsi="Book Antiqua"/>
          <w:lang w:val="es-ES"/>
        </w:rPr>
        <w:t xml:space="preserve"> En la actualidad, dicho dominio es administrado por la </w:t>
      </w:r>
      <w:r w:rsidRPr="00094D8D">
        <w:rPr>
          <w:rFonts w:ascii="Book Antiqua" w:hAnsi="Book Antiqua"/>
          <w:lang w:val="es-ES"/>
        </w:rPr>
        <w:t>Administración de Servicios Generales de los Estados Unidos (GSA)</w:t>
      </w:r>
      <w:r>
        <w:rPr>
          <w:rFonts w:ascii="Book Antiqua" w:hAnsi="Book Antiqua"/>
          <w:lang w:val="es-ES"/>
        </w:rPr>
        <w:t xml:space="preserve">, en coordinación con </w:t>
      </w:r>
      <w:r w:rsidRPr="00094D8D">
        <w:rPr>
          <w:rFonts w:ascii="Book Antiqua" w:hAnsi="Book Antiqua"/>
          <w:lang w:val="es-ES"/>
        </w:rPr>
        <w:t xml:space="preserve">la </w:t>
      </w:r>
      <w:proofErr w:type="spellStart"/>
      <w:r w:rsidRPr="003E1897">
        <w:rPr>
          <w:rFonts w:ascii="Book Antiqua" w:hAnsi="Book Antiqua"/>
          <w:i/>
          <w:iCs/>
          <w:lang w:val="es-PR"/>
        </w:rPr>
        <w:t>Cybersecurity</w:t>
      </w:r>
      <w:proofErr w:type="spellEnd"/>
      <w:r w:rsidRPr="003E1897">
        <w:rPr>
          <w:rFonts w:ascii="Book Antiqua" w:hAnsi="Book Antiqua"/>
          <w:i/>
          <w:iCs/>
          <w:lang w:val="es-PR"/>
        </w:rPr>
        <w:t xml:space="preserve"> and </w:t>
      </w:r>
      <w:proofErr w:type="spellStart"/>
      <w:r w:rsidRPr="003E1897">
        <w:rPr>
          <w:rFonts w:ascii="Book Antiqua" w:hAnsi="Book Antiqua"/>
          <w:i/>
          <w:iCs/>
          <w:lang w:val="es-PR"/>
        </w:rPr>
        <w:t>Infrastructure</w:t>
      </w:r>
      <w:proofErr w:type="spellEnd"/>
      <w:r w:rsidRPr="003E1897">
        <w:rPr>
          <w:rFonts w:ascii="Book Antiqua" w:hAnsi="Book Antiqua"/>
          <w:i/>
          <w:iCs/>
          <w:lang w:val="es-PR"/>
        </w:rPr>
        <w:t xml:space="preserve"> Security Agency</w:t>
      </w:r>
      <w:r w:rsidRPr="00094D8D">
        <w:rPr>
          <w:rFonts w:ascii="Book Antiqua" w:hAnsi="Book Antiqua"/>
          <w:lang w:val="es-ES"/>
        </w:rPr>
        <w:t xml:space="preserve"> (CISA)</w:t>
      </w:r>
      <w:r>
        <w:rPr>
          <w:rFonts w:ascii="Book Antiqua" w:hAnsi="Book Antiqua"/>
          <w:lang w:val="es-ES"/>
        </w:rPr>
        <w:t>.</w:t>
      </w:r>
    </w:p>
    <w:p w14:paraId="437F01D7" w14:textId="77777777" w:rsidR="00520E6C" w:rsidRPr="000443F2" w:rsidRDefault="00520E6C" w:rsidP="00520E6C">
      <w:pPr>
        <w:spacing w:after="240"/>
        <w:jc w:val="both"/>
        <w:rPr>
          <w:rFonts w:ascii="Book Antiqua" w:hAnsi="Book Antiqua"/>
          <w:lang w:val="es-ES"/>
        </w:rPr>
      </w:pPr>
      <w:r w:rsidRPr="000443F2">
        <w:rPr>
          <w:rFonts w:ascii="Book Antiqua" w:hAnsi="Book Antiqua"/>
          <w:lang w:val="es-ES"/>
        </w:rPr>
        <w:lastRenderedPageBreak/>
        <w:t xml:space="preserve">En el caso de Puerto Rico, el dominio </w:t>
      </w:r>
      <w:proofErr w:type="gramStart"/>
      <w:r w:rsidRPr="000443F2">
        <w:rPr>
          <w:rFonts w:ascii="Book Antiqua" w:hAnsi="Book Antiqua"/>
          <w:lang w:val="es-ES"/>
        </w:rPr>
        <w:t>“.pr.gov</w:t>
      </w:r>
      <w:proofErr w:type="gramEnd"/>
      <w:r w:rsidRPr="000443F2">
        <w:rPr>
          <w:rFonts w:ascii="Book Antiqua" w:hAnsi="Book Antiqua"/>
          <w:lang w:val="es-ES"/>
        </w:rPr>
        <w:t xml:space="preserve">” es administrado por el PRITS. Sobre su rol y peritaje, </w:t>
      </w:r>
      <w:r>
        <w:rPr>
          <w:rFonts w:ascii="Book Antiqua" w:hAnsi="Book Antiqua"/>
          <w:lang w:val="es-ES"/>
        </w:rPr>
        <w:t xml:space="preserve">se </w:t>
      </w:r>
      <w:r w:rsidRPr="000443F2">
        <w:rPr>
          <w:rFonts w:ascii="Book Antiqua" w:hAnsi="Book Antiqua"/>
          <w:lang w:val="es-ES"/>
        </w:rPr>
        <w:t>señaló lo siguiente:</w:t>
      </w:r>
    </w:p>
    <w:p w14:paraId="7A76722A" w14:textId="77777777" w:rsidR="00520E6C" w:rsidRPr="00601F7D" w:rsidRDefault="00520E6C" w:rsidP="00520E6C">
      <w:pPr>
        <w:spacing w:after="240"/>
        <w:ind w:left="720" w:right="720"/>
        <w:jc w:val="both"/>
        <w:rPr>
          <w:rFonts w:ascii="Book Antiqua" w:hAnsi="Book Antiqua"/>
          <w:lang w:val="es-ES"/>
        </w:rPr>
      </w:pPr>
      <w:r w:rsidRPr="000443F2">
        <w:rPr>
          <w:rFonts w:ascii="Book Antiqua" w:hAnsi="Book Antiqua"/>
          <w:lang w:val="es-ES"/>
        </w:rPr>
        <w:t xml:space="preserve">PRITS no puede garantizar la seguridad de la información ni </w:t>
      </w:r>
      <w:r w:rsidRPr="000443F2">
        <w:rPr>
          <w:rFonts w:ascii="Book Antiqua" w:hAnsi="Book Antiqua"/>
          <w:b/>
          <w:bCs/>
          <w:lang w:val="es-ES"/>
        </w:rPr>
        <w:t xml:space="preserve">de las transacciones que se manejen fuera del dominio </w:t>
      </w:r>
      <w:proofErr w:type="gramStart"/>
      <w:r w:rsidRPr="000443F2">
        <w:rPr>
          <w:rFonts w:ascii="Book Antiqua" w:hAnsi="Book Antiqua"/>
          <w:b/>
          <w:bCs/>
          <w:lang w:val="es-ES"/>
        </w:rPr>
        <w:t>“.pr.gov</w:t>
      </w:r>
      <w:proofErr w:type="gramEnd"/>
      <w:r w:rsidRPr="000443F2">
        <w:rPr>
          <w:rFonts w:ascii="Book Antiqua" w:hAnsi="Book Antiqua"/>
          <w:b/>
          <w:bCs/>
          <w:lang w:val="es-ES"/>
        </w:rPr>
        <w:t>”</w:t>
      </w:r>
      <w:r w:rsidRPr="000443F2">
        <w:rPr>
          <w:rFonts w:ascii="Book Antiqua" w:hAnsi="Book Antiqua"/>
          <w:lang w:val="es-ES"/>
        </w:rPr>
        <w:t>, por encontrarse fuera de su ámbito de supervisión y control. Los portales o servicios externos no necesariamente cumplen con las políticas de seguridad, configuraciones técnicas o certificados requeridos por las leyes y reglamentos</w:t>
      </w:r>
      <w:r>
        <w:rPr>
          <w:rFonts w:ascii="Book Antiqua" w:hAnsi="Book Antiqua"/>
          <w:lang w:val="es-ES"/>
        </w:rPr>
        <w:t xml:space="preserve">. </w:t>
      </w:r>
      <w:r w:rsidRPr="00601F7D">
        <w:rPr>
          <w:rFonts w:ascii="Book Antiqua" w:hAnsi="Book Antiqua"/>
          <w:lang w:val="es-ES"/>
        </w:rPr>
        <w:t>En caso de un ataque cibernético, la capacidad de prevención o mitigación de daños se vería limitada, lo que podría comprometer la integridad de los datos gubernamentales y la continuidad de los servicios públicos.</w:t>
      </w:r>
      <w:r>
        <w:rPr>
          <w:rStyle w:val="FootnoteReference"/>
          <w:rFonts w:ascii="Book Antiqua" w:hAnsi="Book Antiqua"/>
          <w:lang w:val="es-ES"/>
        </w:rPr>
        <w:footnoteReference w:id="3"/>
      </w:r>
    </w:p>
    <w:p w14:paraId="2D06A607" w14:textId="77777777" w:rsidR="00520E6C" w:rsidRDefault="00520E6C" w:rsidP="00520E6C">
      <w:pPr>
        <w:spacing w:after="240"/>
        <w:jc w:val="both"/>
        <w:rPr>
          <w:rFonts w:ascii="Book Antiqua" w:hAnsi="Book Antiqua"/>
          <w:lang w:val="es-ES"/>
        </w:rPr>
      </w:pPr>
      <w:r w:rsidRPr="00C60D83">
        <w:rPr>
          <w:rFonts w:ascii="Book Antiqua" w:hAnsi="Book Antiqua"/>
          <w:lang w:val="es-ES"/>
        </w:rPr>
        <w:t>Ante ello, el PRITS expone que la implementación del dominio oficial del Gobierno de Puerto Rico en los municipios “</w:t>
      </w:r>
      <w:r w:rsidRPr="001C3400">
        <w:rPr>
          <w:rFonts w:ascii="Book Antiqua" w:hAnsi="Book Antiqua"/>
          <w:b/>
          <w:bCs/>
          <w:lang w:val="es-ES"/>
        </w:rPr>
        <w:t>constituye una medida directamente vinculada a la seguridad pública y operacional</w:t>
      </w:r>
      <w:r w:rsidRPr="00C60D83">
        <w:rPr>
          <w:rFonts w:ascii="Book Antiqua" w:hAnsi="Book Antiqua"/>
          <w:lang w:val="es-ES"/>
        </w:rPr>
        <w:t>”.</w:t>
      </w:r>
      <w:r w:rsidRPr="00C60D83">
        <w:rPr>
          <w:rStyle w:val="FootnoteReference"/>
          <w:rFonts w:ascii="Book Antiqua" w:hAnsi="Book Antiqua"/>
          <w:lang w:val="es-ES"/>
        </w:rPr>
        <w:footnoteReference w:id="4"/>
      </w:r>
      <w:r w:rsidRPr="00C60D83">
        <w:rPr>
          <w:rFonts w:ascii="Book Antiqua" w:hAnsi="Book Antiqua"/>
          <w:lang w:val="es-ES"/>
        </w:rPr>
        <w:t xml:space="preserve"> </w:t>
      </w:r>
      <w:r>
        <w:rPr>
          <w:rFonts w:ascii="Book Antiqua" w:hAnsi="Book Antiqua"/>
          <w:lang w:val="es-ES"/>
        </w:rPr>
        <w:t>Ello, mediante el empleo de políticas uniformes de autenticación, brindaría mayor seguridad al uso de correos electrónicos, credenciales y otras herramientas oficiales, ante los frecuentes intentos de acceso no autorizado, suplantación y “hacking” por actores externos a la gestión gubernamental. De este modo, se subrayó que “</w:t>
      </w:r>
      <w:r w:rsidRPr="002A7396">
        <w:rPr>
          <w:rFonts w:ascii="Book Antiqua" w:hAnsi="Book Antiqua"/>
          <w:b/>
          <w:bCs/>
          <w:lang w:val="es-ES"/>
        </w:rPr>
        <w:t>[e]l uso de cuentas personales o dominios privados limita la capacidad del Gobierno para detectar, prevenir o responder a incidentes de seguridad, y aumenta el riesgo de exposición de información confidencial o sensible</w:t>
      </w:r>
      <w:r>
        <w:rPr>
          <w:rFonts w:ascii="Book Antiqua" w:hAnsi="Book Antiqua"/>
          <w:lang w:val="es-ES"/>
        </w:rPr>
        <w:t>”.</w:t>
      </w:r>
      <w:r>
        <w:rPr>
          <w:rStyle w:val="FootnoteReference"/>
          <w:rFonts w:ascii="Book Antiqua" w:hAnsi="Book Antiqua"/>
          <w:lang w:val="es-ES"/>
        </w:rPr>
        <w:footnoteReference w:id="5"/>
      </w:r>
      <w:r>
        <w:rPr>
          <w:rFonts w:ascii="Book Antiqua" w:hAnsi="Book Antiqua"/>
          <w:lang w:val="es-ES"/>
        </w:rPr>
        <w:t xml:space="preserve"> Por otro lado, PRITS levantó preocupaciones sobre el uso de cuentas personales para gestiones no oficiales en los procesos eleccionarios y de transición de los gobiernos municipales. Esto es, porque provoca la pérdida de correos, expedientes, información financiera y tantos otros documentos importantes.</w:t>
      </w:r>
    </w:p>
    <w:p w14:paraId="731C1C41" w14:textId="77777777" w:rsidR="00520E6C" w:rsidRDefault="00520E6C" w:rsidP="00520E6C">
      <w:pPr>
        <w:spacing w:after="240"/>
        <w:jc w:val="both"/>
        <w:rPr>
          <w:rFonts w:ascii="Book Antiqua" w:hAnsi="Book Antiqua"/>
          <w:lang w:val="es-ES"/>
        </w:rPr>
      </w:pPr>
      <w:r>
        <w:rPr>
          <w:rFonts w:ascii="Book Antiqua" w:hAnsi="Book Antiqua"/>
          <w:lang w:val="es-ES"/>
        </w:rPr>
        <w:t>No obstante, se sostuvo que el PRITS puede proveer esta herramienta sin costo alguno a los gobiernos municipales. En tal sentido, se expresó lo siguiente:</w:t>
      </w:r>
    </w:p>
    <w:p w14:paraId="1874CEEB" w14:textId="77777777" w:rsidR="00520E6C" w:rsidRDefault="00520E6C" w:rsidP="00520E6C">
      <w:pPr>
        <w:spacing w:after="240"/>
        <w:ind w:left="720" w:right="720"/>
        <w:jc w:val="both"/>
        <w:rPr>
          <w:rFonts w:ascii="Book Antiqua" w:hAnsi="Book Antiqua"/>
          <w:lang w:val="es-ES"/>
        </w:rPr>
      </w:pPr>
      <w:r w:rsidRPr="00FC4422">
        <w:rPr>
          <w:rFonts w:ascii="Book Antiqua" w:hAnsi="Book Antiqua"/>
          <w:lang w:val="es-ES"/>
        </w:rPr>
        <w:t xml:space="preserve">Como parte de su política de apoyo a la infraestructura tecnológica del Gobierno de Puerto Rico, </w:t>
      </w:r>
      <w:r w:rsidRPr="002A7396">
        <w:rPr>
          <w:rFonts w:ascii="Book Antiqua" w:hAnsi="Book Antiqua"/>
          <w:b/>
          <w:bCs/>
          <w:lang w:val="es-ES"/>
        </w:rPr>
        <w:t>PRITS provee el dominio sin costo alguno para los municipios. Además, ofrece herramientas adicionales de fortalecimiento cibernético bajo el Plan de Ciberseguridad de Puerto Rico</w:t>
      </w:r>
      <w:r w:rsidRPr="00FC4422">
        <w:rPr>
          <w:rFonts w:ascii="Book Antiqua" w:hAnsi="Book Antiqua"/>
          <w:lang w:val="es-ES"/>
        </w:rPr>
        <w:t>, las cuales incluyen la implementación de políticas de seguridad, programas de capacitación, ejercicios de respuesta y asistencia técnica en coordinación con agencias estatales y federales</w:t>
      </w:r>
      <w:r>
        <w:rPr>
          <w:rFonts w:ascii="Book Antiqua" w:hAnsi="Book Antiqua"/>
          <w:lang w:val="es-ES"/>
        </w:rPr>
        <w:t>.</w:t>
      </w:r>
    </w:p>
    <w:p w14:paraId="5432D706" w14:textId="77777777" w:rsidR="00520E6C" w:rsidRDefault="00520E6C" w:rsidP="00520E6C">
      <w:pPr>
        <w:spacing w:after="240"/>
        <w:ind w:left="720" w:right="720"/>
        <w:jc w:val="both"/>
        <w:rPr>
          <w:rFonts w:ascii="Book Antiqua" w:hAnsi="Book Antiqua"/>
          <w:lang w:val="es-ES"/>
        </w:rPr>
      </w:pPr>
      <w:r w:rsidRPr="00105CF5">
        <w:rPr>
          <w:rFonts w:ascii="Book Antiqua" w:hAnsi="Book Antiqua"/>
          <w:lang w:val="es-ES"/>
        </w:rPr>
        <w:t xml:space="preserve">Esta colaboración permite a los municipios elevar sus capacidades tecnológicas y adoptar prácticas uniformes de ciberseguridad alineadas con </w:t>
      </w:r>
      <w:r w:rsidRPr="00105CF5">
        <w:rPr>
          <w:rFonts w:ascii="Book Antiqua" w:hAnsi="Book Antiqua"/>
          <w:lang w:val="es-ES"/>
        </w:rPr>
        <w:lastRenderedPageBreak/>
        <w:t xml:space="preserve">los estándares del Gobierno de Puerto Rico. En conjunto, </w:t>
      </w:r>
      <w:r w:rsidRPr="00105CF5">
        <w:rPr>
          <w:rFonts w:ascii="Book Antiqua" w:hAnsi="Book Antiqua"/>
          <w:b/>
          <w:bCs/>
          <w:lang w:val="es-ES"/>
        </w:rPr>
        <w:t>estas iniciativas contribuyen a establecer una base sólida para la modernización digital del nivel municipal y la protección de los datos públicos</w:t>
      </w:r>
      <w:r>
        <w:rPr>
          <w:rFonts w:ascii="Book Antiqua" w:hAnsi="Book Antiqua"/>
          <w:lang w:val="es-ES"/>
        </w:rPr>
        <w:t>.</w:t>
      </w:r>
      <w:r>
        <w:rPr>
          <w:rStyle w:val="FootnoteReference"/>
          <w:rFonts w:ascii="Book Antiqua" w:hAnsi="Book Antiqua"/>
          <w:lang w:val="es-ES"/>
        </w:rPr>
        <w:footnoteReference w:id="6"/>
      </w:r>
    </w:p>
    <w:p w14:paraId="49BC0F06" w14:textId="225F1EAE" w:rsidR="00D72342" w:rsidRPr="00D72342" w:rsidRDefault="00D72342" w:rsidP="00D72342">
      <w:pPr>
        <w:pStyle w:val="isselectedend"/>
        <w:jc w:val="both"/>
        <w:rPr>
          <w:rFonts w:ascii="Book Antiqua" w:hAnsi="Book Antiqua"/>
          <w:lang w:val="es-DO"/>
        </w:rPr>
      </w:pPr>
      <w:r>
        <w:rPr>
          <w:rFonts w:ascii="Book Antiqua" w:hAnsi="Book Antiqua"/>
          <w:lang w:val="es-DO"/>
        </w:rPr>
        <w:t xml:space="preserve">La </w:t>
      </w:r>
      <w:r w:rsidRPr="002974C7">
        <w:rPr>
          <w:rFonts w:ascii="Book Antiqua" w:hAnsi="Book Antiqua"/>
          <w:b/>
          <w:bCs/>
          <w:i/>
          <w:iCs/>
          <w:lang w:val="es-DO"/>
        </w:rPr>
        <w:t>F</w:t>
      </w:r>
      <w:r w:rsidR="002974C7" w:rsidRPr="002974C7">
        <w:rPr>
          <w:rFonts w:ascii="Book Antiqua" w:hAnsi="Book Antiqua"/>
          <w:b/>
          <w:bCs/>
          <w:i/>
          <w:iCs/>
          <w:lang w:val="es-DO"/>
        </w:rPr>
        <w:t xml:space="preserve">ederación de </w:t>
      </w:r>
      <w:proofErr w:type="gramStart"/>
      <w:r w:rsidR="002974C7" w:rsidRPr="002974C7">
        <w:rPr>
          <w:rFonts w:ascii="Book Antiqua" w:hAnsi="Book Antiqua"/>
          <w:b/>
          <w:bCs/>
          <w:i/>
          <w:iCs/>
          <w:lang w:val="es-DO"/>
        </w:rPr>
        <w:t>Alcaldes</w:t>
      </w:r>
      <w:proofErr w:type="gramEnd"/>
      <w:r w:rsidR="002974C7" w:rsidRPr="002974C7">
        <w:rPr>
          <w:rFonts w:ascii="Book Antiqua" w:hAnsi="Book Antiqua"/>
          <w:b/>
          <w:bCs/>
          <w:i/>
          <w:iCs/>
          <w:lang w:val="es-DO"/>
        </w:rPr>
        <w:t xml:space="preserve"> de Puerto Rico (FAPR),</w:t>
      </w:r>
      <w:r w:rsidR="002974C7">
        <w:rPr>
          <w:rFonts w:ascii="Book Antiqua" w:hAnsi="Book Antiqua"/>
          <w:lang w:val="es-DO"/>
        </w:rPr>
        <w:t xml:space="preserve"> a través de su director ejecutivo el       Sr. Ángel M. Morales,</w:t>
      </w:r>
      <w:r w:rsidRPr="00D72342">
        <w:rPr>
          <w:rFonts w:ascii="Book Antiqua" w:hAnsi="Book Antiqua"/>
          <w:lang w:val="es-DO"/>
        </w:rPr>
        <w:t xml:space="preserve"> expresó su respaldo al Proyecto del Senado 787 por entender que la medida adelanta objetivos legítimos de ciberseguridad, modernización gubernamental y fortalecimiento de las comunicaciones electrónicas oficiales de los municipios. Según expuso la entidad, la utilización del dominio oficial </w:t>
      </w:r>
      <w:proofErr w:type="gramStart"/>
      <w:r w:rsidRPr="00D72342">
        <w:rPr>
          <w:rFonts w:ascii="Book Antiqua" w:hAnsi="Book Antiqua"/>
          <w:lang w:val="es-DO"/>
        </w:rPr>
        <w:t>“.pr.gov</w:t>
      </w:r>
      <w:proofErr w:type="gramEnd"/>
      <w:r w:rsidRPr="00D72342">
        <w:rPr>
          <w:rFonts w:ascii="Book Antiqua" w:hAnsi="Book Antiqua"/>
          <w:lang w:val="es-DO"/>
        </w:rPr>
        <w:t>” contribuirá a aumentar la confiabilidad, uniformidad y seguridad de las comunicaciones gubernamentales, promoviendo una administración pública más eficiente y transparente.</w:t>
      </w:r>
    </w:p>
    <w:p w14:paraId="4E993EDB" w14:textId="302548A6" w:rsidR="00D72342" w:rsidRPr="00D72342" w:rsidRDefault="00D72342" w:rsidP="00D72342">
      <w:pPr>
        <w:pStyle w:val="isselectedend"/>
        <w:jc w:val="both"/>
        <w:rPr>
          <w:rFonts w:ascii="Book Antiqua" w:hAnsi="Book Antiqua"/>
          <w:lang w:val="es-DO"/>
        </w:rPr>
      </w:pPr>
      <w:r w:rsidRPr="00D72342">
        <w:rPr>
          <w:rFonts w:ascii="Book Antiqua" w:hAnsi="Book Antiqua"/>
          <w:lang w:val="es-DO"/>
        </w:rPr>
        <w:t>No obstante, la F</w:t>
      </w:r>
      <w:r w:rsidR="002974C7">
        <w:rPr>
          <w:rFonts w:ascii="Book Antiqua" w:hAnsi="Book Antiqua"/>
          <w:lang w:val="es-DO"/>
        </w:rPr>
        <w:t>APR</w:t>
      </w:r>
      <w:r w:rsidRPr="00D72342">
        <w:rPr>
          <w:rFonts w:ascii="Book Antiqua" w:hAnsi="Book Antiqua"/>
          <w:lang w:val="es-DO"/>
        </w:rPr>
        <w:t xml:space="preserve"> condicionó su apoyo a que la implementación de la medida no represente una carga fiscal o económica adicional para los municipios. A esos efectos, respaldó expresamente la inclusión de un mecanismo mediante el cual aquellos municipios que no cuenten con los recursos económicos necesarios para sufragar los costos asociados a la adquisición, mantenimiento o renovación de las licencias requeridas puedan recibir asistencia del PRITS, previa certificación de insuficiencia de recursos por parte del alcalde o alcaldesa y de la </w:t>
      </w:r>
      <w:r w:rsidR="002974C7">
        <w:rPr>
          <w:rFonts w:ascii="Book Antiqua" w:hAnsi="Book Antiqua"/>
          <w:lang w:val="es-DO"/>
        </w:rPr>
        <w:t>L</w:t>
      </w:r>
      <w:r w:rsidRPr="00D72342">
        <w:rPr>
          <w:rFonts w:ascii="Book Antiqua" w:hAnsi="Book Antiqua"/>
          <w:lang w:val="es-DO"/>
        </w:rPr>
        <w:t>egislatura Municipal.</w:t>
      </w:r>
    </w:p>
    <w:p w14:paraId="16508E4D" w14:textId="4F85D604" w:rsidR="00973450" w:rsidRPr="00973450" w:rsidRDefault="00D72342" w:rsidP="00973450">
      <w:pPr>
        <w:pStyle w:val="isselectedend"/>
        <w:jc w:val="both"/>
        <w:rPr>
          <w:rFonts w:ascii="Book Antiqua" w:hAnsi="Book Antiqua"/>
          <w:lang w:val="es-DO"/>
        </w:rPr>
      </w:pPr>
      <w:r w:rsidRPr="00D72342">
        <w:rPr>
          <w:rFonts w:ascii="Book Antiqua" w:hAnsi="Book Antiqua"/>
          <w:lang w:val="es-DO"/>
        </w:rPr>
        <w:t>La F</w:t>
      </w:r>
      <w:r w:rsidR="002974C7">
        <w:rPr>
          <w:rFonts w:ascii="Book Antiqua" w:hAnsi="Book Antiqua"/>
          <w:lang w:val="es-DO"/>
        </w:rPr>
        <w:t>APR</w:t>
      </w:r>
      <w:r w:rsidRPr="00D72342">
        <w:rPr>
          <w:rFonts w:ascii="Book Antiqua" w:hAnsi="Book Antiqua"/>
          <w:lang w:val="es-DO"/>
        </w:rPr>
        <w:t xml:space="preserve"> sostuvo que esta alternativa permite alcanzar los propósitos de la medida sin menoscabar la autonomía fiscal municipal ni imponer obligaciones no financiadas a los gobiernos locales. A su juicio, la enmienda garantiza que todos los municipios puedan beneficiarse de las herramientas de seguridad tecnológica contempladas en el proyecto, independientemente de su capacidad económica, promoviendo así una implantación uniforme y efectiva de la política pública propuesta. Finalmente, reiteró su disposición de colaborar en el perfeccionamiento de la legislación y favoreció su aprobación sujeta a la incorporación de dichas garantías.</w:t>
      </w:r>
    </w:p>
    <w:p w14:paraId="0AB48E5E" w14:textId="4BC66DC9" w:rsidR="00900DCD" w:rsidRDefault="00900DCD" w:rsidP="00900DCD">
      <w:pPr>
        <w:jc w:val="center"/>
        <w:rPr>
          <w:rFonts w:ascii="Book Antiqua" w:hAnsi="Book Antiqua"/>
          <w:b/>
          <w:i/>
          <w:smallCaps/>
          <w:szCs w:val="24"/>
          <w:lang w:val="es-ES_tradnl"/>
        </w:rPr>
      </w:pPr>
      <w:r>
        <w:rPr>
          <w:rFonts w:ascii="Book Antiqua" w:hAnsi="Book Antiqua"/>
          <w:b/>
          <w:i/>
          <w:smallCaps/>
          <w:szCs w:val="24"/>
          <w:lang w:val="es-ES_tradnl"/>
        </w:rPr>
        <w:t>Enmiendas Realizadas</w:t>
      </w:r>
    </w:p>
    <w:p w14:paraId="211AC3C5" w14:textId="77777777" w:rsidR="00A5669D" w:rsidRPr="00A5669D" w:rsidRDefault="00A5669D" w:rsidP="00A5669D">
      <w:pPr>
        <w:pStyle w:val="isselectedend"/>
        <w:jc w:val="both"/>
        <w:rPr>
          <w:rFonts w:ascii="Book Antiqua" w:hAnsi="Book Antiqua"/>
          <w:lang w:val="es-DO"/>
        </w:rPr>
      </w:pPr>
      <w:r w:rsidRPr="00A5669D">
        <w:rPr>
          <w:rFonts w:ascii="Book Antiqua" w:hAnsi="Book Antiqua"/>
          <w:lang w:val="es-DO"/>
        </w:rPr>
        <w:t>Como parte del proceso de evaluación de la medida, se realizaron varias enmiendas de técnica legislativa y de carácter gramatical dirigidas a mejorar la claridad, precisión y aplicación práctica de sus disposiciones. Estas modificaciones no alteran el propósito fundamental del proyecto, sino que fortalecen su implantación y facilitan su interpretación.</w:t>
      </w:r>
    </w:p>
    <w:p w14:paraId="1AD53044" w14:textId="77777777" w:rsidR="00A5669D" w:rsidRPr="00A5669D" w:rsidRDefault="00A5669D" w:rsidP="00A5669D">
      <w:pPr>
        <w:pStyle w:val="isselectedend"/>
        <w:jc w:val="both"/>
        <w:rPr>
          <w:rFonts w:ascii="Book Antiqua" w:hAnsi="Book Antiqua"/>
          <w:lang w:val="es-DO"/>
        </w:rPr>
      </w:pPr>
      <w:r w:rsidRPr="00A5669D">
        <w:rPr>
          <w:rFonts w:ascii="Book Antiqua" w:hAnsi="Book Antiqua"/>
          <w:lang w:val="es-DO"/>
        </w:rPr>
        <w:t xml:space="preserve">En el título de la medida se eliminó la frase “oficiales e institucionales; prohibir el uso de cuentas de correo electrónico personales o privadas para dichos fines”, por entenderse que dicho lenguaje resultaba repetitivo respecto al contenido sustantivo del proyecto. La </w:t>
      </w:r>
      <w:r w:rsidRPr="00A5669D">
        <w:rPr>
          <w:rFonts w:ascii="Book Antiqua" w:hAnsi="Book Antiqua"/>
          <w:lang w:val="es-DO"/>
        </w:rPr>
        <w:lastRenderedPageBreak/>
        <w:t>enmienda persigue simplificar la redacción del título, haciéndolo más conciso y directo, sin afectar el alcance de la política pública propuesta.</w:t>
      </w:r>
    </w:p>
    <w:p w14:paraId="7FA9500E" w14:textId="2FAC8802" w:rsidR="00A5669D" w:rsidRPr="00A5669D" w:rsidRDefault="00A5669D" w:rsidP="00A5669D">
      <w:pPr>
        <w:pStyle w:val="isselectedend"/>
        <w:jc w:val="both"/>
        <w:rPr>
          <w:rFonts w:ascii="Book Antiqua" w:hAnsi="Book Antiqua"/>
          <w:lang w:val="es-DO"/>
        </w:rPr>
      </w:pPr>
      <w:r w:rsidRPr="00A5669D">
        <w:rPr>
          <w:rFonts w:ascii="Book Antiqua" w:hAnsi="Book Antiqua"/>
          <w:lang w:val="es-DO"/>
        </w:rPr>
        <w:t xml:space="preserve">Asimismo, en el </w:t>
      </w:r>
      <w:proofErr w:type="spellStart"/>
      <w:r w:rsidRPr="00A5669D">
        <w:rPr>
          <w:rFonts w:ascii="Book Antiqua" w:hAnsi="Book Antiqua"/>
          <w:lang w:val="es-DO"/>
        </w:rPr>
        <w:t>Decrétase</w:t>
      </w:r>
      <w:proofErr w:type="spellEnd"/>
      <w:r w:rsidRPr="00A5669D">
        <w:rPr>
          <w:rFonts w:ascii="Book Antiqua" w:hAnsi="Book Antiqua"/>
          <w:lang w:val="es-DO"/>
        </w:rPr>
        <w:t xml:space="preserve"> se añadió un nuevo inciso (e) para atender una preocupación planteada por representantes de la Federación de </w:t>
      </w:r>
      <w:proofErr w:type="gramStart"/>
      <w:r w:rsidRPr="00A5669D">
        <w:rPr>
          <w:rFonts w:ascii="Book Antiqua" w:hAnsi="Book Antiqua"/>
          <w:lang w:val="es-DO"/>
        </w:rPr>
        <w:t>Alcaldes</w:t>
      </w:r>
      <w:proofErr w:type="gramEnd"/>
      <w:r w:rsidRPr="00A5669D">
        <w:rPr>
          <w:rFonts w:ascii="Book Antiqua" w:hAnsi="Book Antiqua"/>
          <w:lang w:val="es-DO"/>
        </w:rPr>
        <w:t xml:space="preserve"> de Puerto Rico relacionada con el impacto económico que la implantación de la medida pudiera tener sobre municipios con recursos fiscales limitados. A esos efectos, se dispuso que, en aquellos casos en que un municipio certifique, mediante determinación del alcalde y de la Legislatura Municipal, que no cuenta con los recursos necesarios para sufragar las licencias asociadas al dominio “pr.gov”, el PRITS deberá identificar alternativas o recursos que permitan hacer disponibles dichas licencias. La Comisión entiende que esta enmienda promueve una implantación más equitativa de la medida, evitando que limitaciones presupuestarias impidan a determinados municipios beneficiarse de las herramientas de ciberseguridad y confianza digital que persigue la legislación.</w:t>
      </w:r>
    </w:p>
    <w:p w14:paraId="09E4E0E9" w14:textId="457B18D3" w:rsidR="00FF0C5C" w:rsidRDefault="00DD1FCB" w:rsidP="00FF0C5C">
      <w:pPr>
        <w:jc w:val="center"/>
        <w:rPr>
          <w:rFonts w:ascii="Book Antiqua" w:hAnsi="Book Antiqua"/>
          <w:b/>
          <w:i/>
          <w:smallCaps/>
          <w:szCs w:val="24"/>
          <w:lang w:val="es-ES_tradnl"/>
        </w:rPr>
      </w:pPr>
      <w:r w:rsidRPr="00EE6540">
        <w:rPr>
          <w:rFonts w:ascii="Book Antiqua" w:hAnsi="Book Antiqua"/>
          <w:b/>
          <w:i/>
          <w:smallCaps/>
          <w:szCs w:val="24"/>
          <w:lang w:val="es-ES_tradnl"/>
        </w:rPr>
        <w:t xml:space="preserve">Análisis </w:t>
      </w:r>
      <w:r w:rsidR="00E359DB">
        <w:rPr>
          <w:rFonts w:ascii="Book Antiqua" w:hAnsi="Book Antiqua"/>
          <w:b/>
          <w:i/>
          <w:smallCaps/>
          <w:szCs w:val="24"/>
          <w:lang w:val="es-ES_tradnl"/>
        </w:rPr>
        <w:t>De la Medida</w:t>
      </w:r>
    </w:p>
    <w:p w14:paraId="75019DB1" w14:textId="4A8A48E3" w:rsidR="00D27F51" w:rsidRPr="00D27F51" w:rsidRDefault="00D27F51" w:rsidP="00D27F51">
      <w:pPr>
        <w:pStyle w:val="isselectedend"/>
        <w:jc w:val="both"/>
        <w:rPr>
          <w:rFonts w:ascii="Book Antiqua" w:hAnsi="Book Antiqua"/>
          <w:lang w:val="es-DO"/>
        </w:rPr>
      </w:pPr>
      <w:r w:rsidRPr="00D27F51">
        <w:rPr>
          <w:rFonts w:ascii="Book Antiqua" w:hAnsi="Book Antiqua"/>
          <w:lang w:val="es-DO"/>
        </w:rPr>
        <w:t xml:space="preserve">La medida bajo consideración responde a la creciente necesidad de fortalecer la seguridad de las comunicaciones electrónicas gubernamentales y uniformar las herramientas tecnológicas utilizadas por los municipios. En una época donde las amenazas cibernéticas, </w:t>
      </w:r>
      <w:r>
        <w:rPr>
          <w:rFonts w:ascii="Book Antiqua" w:hAnsi="Book Antiqua"/>
          <w:lang w:val="es-DO"/>
        </w:rPr>
        <w:t xml:space="preserve">el robo </w:t>
      </w:r>
      <w:r w:rsidRPr="00D27F51">
        <w:rPr>
          <w:rFonts w:ascii="Book Antiqua" w:hAnsi="Book Antiqua"/>
          <w:lang w:val="es-DO"/>
        </w:rPr>
        <w:t>de identidad y los intentos de acceso</w:t>
      </w:r>
      <w:r>
        <w:rPr>
          <w:rFonts w:ascii="Book Antiqua" w:hAnsi="Book Antiqua"/>
          <w:lang w:val="es-DO"/>
        </w:rPr>
        <w:t xml:space="preserve"> a información</w:t>
      </w:r>
      <w:r w:rsidRPr="00D27F51">
        <w:rPr>
          <w:rFonts w:ascii="Book Antiqua" w:hAnsi="Book Antiqua"/>
          <w:lang w:val="es-DO"/>
        </w:rPr>
        <w:t xml:space="preserve"> no autorizado son cada vez más frecuentes, resulta razonable requerir que las comunicaciones oficiales municipales se realicen mediante dominios institucionales seguros y verificables. El uso del dominio oficial “pr.gov” permite garantizar la autenticidad de las comunicaciones gubernamentales, proteger información sensible y fortalecer la confianza de la ciudadanía en los servicios digitales ofrecidos por los municipios.</w:t>
      </w:r>
    </w:p>
    <w:p w14:paraId="5A0B8BC1" w14:textId="1D0C86EC" w:rsidR="00D27F51" w:rsidRPr="00D27F51" w:rsidRDefault="00D27F51" w:rsidP="00D27F51">
      <w:pPr>
        <w:pStyle w:val="isselectedend"/>
        <w:jc w:val="both"/>
        <w:rPr>
          <w:rFonts w:ascii="Book Antiqua" w:hAnsi="Book Antiqua"/>
          <w:lang w:val="es-DO"/>
        </w:rPr>
      </w:pPr>
      <w:r w:rsidRPr="00D27F51">
        <w:rPr>
          <w:rFonts w:ascii="Book Antiqua" w:hAnsi="Book Antiqua"/>
          <w:lang w:val="es-DO"/>
        </w:rPr>
        <w:t>Durante el proceso de evaluación legislativa, la Comisión recibió el insumo de las entidades con mayor peritaje en la materia. Particularmente, e</w:t>
      </w:r>
      <w:r>
        <w:rPr>
          <w:rFonts w:ascii="Book Antiqua" w:hAnsi="Book Antiqua"/>
          <w:lang w:val="es-DO"/>
        </w:rPr>
        <w:t xml:space="preserve">l </w:t>
      </w:r>
      <w:r w:rsidRPr="00D27F51">
        <w:rPr>
          <w:rFonts w:ascii="Book Antiqua" w:hAnsi="Book Antiqua"/>
          <w:lang w:val="es-DO"/>
        </w:rPr>
        <w:t xml:space="preserve">PRITS, organismo responsable de la política pública tecnológica del Gobierno de Puerto Rico y administrador del dominio “pr.gov”, expresó su respaldo a la medida y destacó los beneficios que esta representa para la protección de datos, la continuidad operacional y la prevención de incidentes de seguridad cibernética. Asimismo, aunque la Asociación de </w:t>
      </w:r>
      <w:proofErr w:type="gramStart"/>
      <w:r w:rsidRPr="00D27F51">
        <w:rPr>
          <w:rFonts w:ascii="Book Antiqua" w:hAnsi="Book Antiqua"/>
          <w:lang w:val="es-DO"/>
        </w:rPr>
        <w:t>Alcaldes</w:t>
      </w:r>
      <w:proofErr w:type="gramEnd"/>
      <w:r w:rsidRPr="00D27F51">
        <w:rPr>
          <w:rFonts w:ascii="Book Antiqua" w:hAnsi="Book Antiqua"/>
          <w:lang w:val="es-DO"/>
        </w:rPr>
        <w:t xml:space="preserve"> manifestó reservas relacionadas con la autonomía municipal, tanto la Federación de </w:t>
      </w:r>
      <w:proofErr w:type="gramStart"/>
      <w:r>
        <w:rPr>
          <w:rFonts w:ascii="Book Antiqua" w:hAnsi="Book Antiqua"/>
          <w:lang w:val="es-DO"/>
        </w:rPr>
        <w:t>Alcaldes</w:t>
      </w:r>
      <w:proofErr w:type="gramEnd"/>
      <w:r w:rsidRPr="00D27F51">
        <w:rPr>
          <w:rFonts w:ascii="Book Antiqua" w:hAnsi="Book Antiqua"/>
          <w:lang w:val="es-DO"/>
        </w:rPr>
        <w:t xml:space="preserve"> </w:t>
      </w:r>
      <w:r>
        <w:rPr>
          <w:rFonts w:ascii="Book Antiqua" w:hAnsi="Book Antiqua"/>
          <w:lang w:val="es-DO"/>
        </w:rPr>
        <w:t>reconoció</w:t>
      </w:r>
      <w:r w:rsidRPr="00D27F51">
        <w:rPr>
          <w:rFonts w:ascii="Book Antiqua" w:hAnsi="Book Antiqua"/>
          <w:lang w:val="es-DO"/>
        </w:rPr>
        <w:t xml:space="preserve"> los beneficios que la medida representa para la seguridad y confiabilidad de las comunicaciones electrónicas municipales.</w:t>
      </w:r>
    </w:p>
    <w:p w14:paraId="07FD6015" w14:textId="77777777" w:rsidR="00D27F51" w:rsidRPr="00D27F51" w:rsidRDefault="00D27F51" w:rsidP="00D27F51">
      <w:pPr>
        <w:pStyle w:val="NormalWeb"/>
        <w:jc w:val="both"/>
        <w:rPr>
          <w:rFonts w:ascii="Book Antiqua" w:hAnsi="Book Antiqua"/>
          <w:lang w:val="es-DO"/>
        </w:rPr>
      </w:pPr>
      <w:r w:rsidRPr="00D27F51">
        <w:rPr>
          <w:rFonts w:ascii="Book Antiqua" w:hAnsi="Book Antiqua"/>
          <w:lang w:val="es-DO"/>
        </w:rPr>
        <w:t xml:space="preserve">La Comisión entiende que las enmiendas incorporadas durante el trámite legislativo atienden adecuadamente las preocupaciones planteadas por los municipios, particularmente aquellas relacionadas con los costos de implementación. Al proveerse mecanismos de apoyo y asistencia técnica por parte de PRITS para los municipios con limitaciones fiscales, la medida logra un balance adecuado entre la necesidad de fortalecer la ciberseguridad gubernamental y la realidad operacional de los gobiernos </w:t>
      </w:r>
      <w:r w:rsidRPr="00D27F51">
        <w:rPr>
          <w:rFonts w:ascii="Book Antiqua" w:hAnsi="Book Antiqua"/>
          <w:lang w:val="es-DO"/>
        </w:rPr>
        <w:lastRenderedPageBreak/>
        <w:t>municipales. En consecuencia, la aprobación de esta legislación contribuirá a modernizar la infraestructura digital municipal, proteger mejor la información pública y promover estándares uniformes de seguridad en beneficio de todos los ciudadanos de Puerto Rico.</w:t>
      </w:r>
    </w:p>
    <w:p w14:paraId="6C410F04" w14:textId="0F04F354"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494E251A" w14:textId="77777777" w:rsidR="00973450" w:rsidRDefault="00973450" w:rsidP="00973450">
      <w:pPr>
        <w:rPr>
          <w:rFonts w:ascii="Book Antiqua" w:hAnsi="Book Antiqua"/>
          <w:b/>
          <w:i/>
          <w:smallCaps/>
          <w:szCs w:val="24"/>
          <w:lang w:val="es-ES_tradnl"/>
        </w:rPr>
      </w:pPr>
    </w:p>
    <w:p w14:paraId="55F234C7" w14:textId="438E6728" w:rsidR="00973450" w:rsidRPr="00F04A9A" w:rsidRDefault="00973450" w:rsidP="00973450">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7012</w:t>
      </w:r>
      <w:proofErr w:type="gramStart"/>
      <w:r w:rsidRPr="001D0ABB">
        <w:rPr>
          <w:rFonts w:ascii="Book Antiqua" w:hAnsi="Book Antiqua"/>
          <w:lang w:val="es-ES_tradnl"/>
        </w:rPr>
        <w:t xml:space="preserve">) </w:t>
      </w:r>
      <w:r w:rsidRPr="00F04A9A">
        <w:rPr>
          <w:rFonts w:ascii="Book Antiqua" w:hAnsi="Book Antiqua"/>
          <w:lang w:val="es-ES_tradnl"/>
        </w:rPr>
        <w:t xml:space="preserve"> supra</w:t>
      </w:r>
      <w:proofErr w:type="gramEnd"/>
      <w:r w:rsidRPr="00F04A9A">
        <w:rPr>
          <w:rFonts w:ascii="Book Antiqua" w:hAnsi="Book Antiqua"/>
          <w:lang w:val="es-ES_tradnl"/>
        </w:rPr>
        <w:t xml:space="preserve">, conocida como “Código Municipal de Puerto Rico, la Comisión de Asuntos Municipales certifica que la pieza legislativa bajo </w:t>
      </w:r>
      <w:r>
        <w:rPr>
          <w:rFonts w:ascii="Book Antiqua" w:hAnsi="Book Antiqua"/>
          <w:lang w:val="es-ES_tradnl"/>
        </w:rPr>
        <w:t>análisis</w:t>
      </w:r>
      <w:r w:rsidRPr="00F04A9A">
        <w:rPr>
          <w:rFonts w:ascii="Book Antiqua" w:hAnsi="Book Antiqua"/>
          <w:lang w:val="es-ES_tradnl"/>
        </w:rPr>
        <w:t xml:space="preserve"> no impone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p>
    <w:p w14:paraId="538D04B4" w14:textId="77777777" w:rsidR="00DB74EB" w:rsidRDefault="00DB74EB" w:rsidP="004621D2">
      <w:pPr>
        <w:rPr>
          <w:rFonts w:ascii="Book Antiqua" w:hAnsi="Book Antiqua"/>
          <w:b/>
          <w:i/>
          <w:smallCaps/>
          <w:szCs w:val="24"/>
          <w:lang w:val="es-ES_tradnl"/>
        </w:rPr>
      </w:pPr>
    </w:p>
    <w:p w14:paraId="29E36C37" w14:textId="7EF1CD1F" w:rsidR="000E1B5B" w:rsidRPr="004621D2" w:rsidRDefault="004000AE" w:rsidP="004621D2">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65CC4ECF" w14:textId="77777777" w:rsidR="001920A3" w:rsidRDefault="001920A3" w:rsidP="004000AE">
      <w:pPr>
        <w:jc w:val="both"/>
        <w:rPr>
          <w:rFonts w:ascii="Book Antiqua" w:hAnsi="Book Antiqua" w:cs="Arial"/>
          <w:lang w:val="es-ES"/>
        </w:rPr>
      </w:pPr>
    </w:p>
    <w:p w14:paraId="2D3414A2" w14:textId="1A35FDF0" w:rsidR="0076466B" w:rsidRPr="00801D43"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w:t>
      </w:r>
      <w:r w:rsidR="00285860" w:rsidRPr="00285860">
        <w:rPr>
          <w:rFonts w:ascii="Book Antiqua" w:hAnsi="Book Antiqua" w:cs="Arial"/>
          <w:lang w:val="es-ES"/>
        </w:rPr>
        <w:t xml:space="preserve">a </w:t>
      </w:r>
      <w:r w:rsidR="00773612">
        <w:rPr>
          <w:rFonts w:ascii="Book Antiqua" w:hAnsi="Book Antiqua" w:cs="Arial"/>
          <w:lang w:val="es-ES"/>
        </w:rPr>
        <w:t xml:space="preserve">Comisión de Asuntos Municipales de la Cámara de Representantes recomienda a este Alto Cuerpo la aprobación del Proyecto del Senado </w:t>
      </w:r>
      <w:r w:rsidR="00520E6C">
        <w:rPr>
          <w:rFonts w:ascii="Book Antiqua" w:hAnsi="Book Antiqua" w:cs="Arial"/>
          <w:lang w:val="es-ES"/>
        </w:rPr>
        <w:t>787</w:t>
      </w:r>
      <w:r w:rsidR="00773612">
        <w:rPr>
          <w:rFonts w:ascii="Book Antiqua" w:hAnsi="Book Antiqua" w:cs="Arial"/>
          <w:lang w:val="es-ES"/>
        </w:rPr>
        <w:t>,</w:t>
      </w:r>
      <w:r w:rsidR="003724E8" w:rsidRPr="003724E8">
        <w:rPr>
          <w:rFonts w:ascii="Book Antiqua" w:hAnsi="Book Antiqua" w:cs="Arial"/>
          <w:lang w:val="es-ES"/>
        </w:rPr>
        <w:t xml:space="preserve"> con las enmiendas que se incluyen en el </w:t>
      </w:r>
      <w:proofErr w:type="spellStart"/>
      <w:r w:rsidR="003724E8" w:rsidRPr="003724E8">
        <w:rPr>
          <w:rFonts w:ascii="Book Antiqua" w:hAnsi="Book Antiqua" w:cs="Arial"/>
          <w:lang w:val="es-ES"/>
        </w:rPr>
        <w:t>entirillado</w:t>
      </w:r>
      <w:proofErr w:type="spellEnd"/>
      <w:r w:rsidR="003724E8" w:rsidRPr="003724E8">
        <w:rPr>
          <w:rFonts w:ascii="Book Antiqua" w:hAnsi="Book Antiqua" w:cs="Arial"/>
          <w:lang w:val="es-ES"/>
        </w:rPr>
        <w:t xml:space="preserve"> electrónico que acompaña este informe. </w:t>
      </w:r>
    </w:p>
    <w:p w14:paraId="02383D25" w14:textId="77777777" w:rsidR="003724E8" w:rsidRDefault="003724E8" w:rsidP="00AC0B45">
      <w:pPr>
        <w:jc w:val="both"/>
        <w:rPr>
          <w:rFonts w:ascii="Book Antiqua" w:hAnsi="Book Antiqua" w:cs="Arial"/>
          <w:lang w:val="es-ES"/>
        </w:rPr>
      </w:pPr>
    </w:p>
    <w:p w14:paraId="0636930C" w14:textId="3387F7C0"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0CB7F7EC"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592C9347" w14:textId="7B0BBF54" w:rsidR="00285860" w:rsidRDefault="00AC0B45" w:rsidP="005E345A">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FE1B47" w:rsidRPr="00801D43">
        <w:rPr>
          <w:rFonts w:ascii="Book Antiqua" w:hAnsi="Book Antiqua" w:cs="Arial"/>
          <w:lang w:val="es-ES"/>
        </w:rPr>
        <w:tab/>
      </w:r>
    </w:p>
    <w:p w14:paraId="3D9F1629" w14:textId="25BA66F0" w:rsidR="00AC0B45" w:rsidRPr="002F2243" w:rsidRDefault="00AC0B45" w:rsidP="005E345A">
      <w:pPr>
        <w:jc w:val="both"/>
        <w:rPr>
          <w:rFonts w:ascii="Book Antiqua" w:hAnsi="Book Antiqua" w:cs="Arial"/>
          <w:lang w:val="es-ES"/>
        </w:rPr>
      </w:pPr>
      <w:r w:rsidRPr="00801D43">
        <w:rPr>
          <w:rFonts w:ascii="Book Antiqua" w:hAnsi="Book Antiqua" w:cs="Arial"/>
          <w:lang w:val="es-ES"/>
        </w:rPr>
        <w:t>Comisión de Asuntos Municipales</w:t>
      </w:r>
      <w:r w:rsidR="00285860">
        <w:rPr>
          <w:rFonts w:ascii="Book Antiqua" w:hAnsi="Book Antiqua" w:cs="Arial"/>
          <w:lang w:val="es-ES"/>
        </w:rPr>
        <w:tab/>
      </w:r>
      <w:r w:rsidR="00285860">
        <w:rPr>
          <w:rFonts w:ascii="Book Antiqua" w:hAnsi="Book Antiqua" w:cs="Arial"/>
          <w:lang w:val="es-ES"/>
        </w:rPr>
        <w:tab/>
      </w:r>
    </w:p>
    <w:sectPr w:rsidR="00AC0B45" w:rsidRPr="002F2243"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A69D0" w14:textId="77777777" w:rsidR="00756A0F" w:rsidRDefault="00756A0F" w:rsidP="006705DD">
      <w:r>
        <w:separator/>
      </w:r>
    </w:p>
  </w:endnote>
  <w:endnote w:type="continuationSeparator" w:id="0">
    <w:p w14:paraId="46215F05" w14:textId="77777777" w:rsidR="00756A0F" w:rsidRDefault="00756A0F"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43ADF4A"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7302B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2FB9E" w14:textId="77777777" w:rsidR="00756A0F" w:rsidRDefault="00756A0F" w:rsidP="006705DD">
      <w:r>
        <w:separator/>
      </w:r>
    </w:p>
  </w:footnote>
  <w:footnote w:type="continuationSeparator" w:id="0">
    <w:p w14:paraId="0003582D" w14:textId="77777777" w:rsidR="00756A0F" w:rsidRDefault="00756A0F" w:rsidP="006705DD">
      <w:r>
        <w:continuationSeparator/>
      </w:r>
    </w:p>
  </w:footnote>
  <w:footnote w:id="1">
    <w:p w14:paraId="3D6FF039" w14:textId="77777777" w:rsidR="00520E6C" w:rsidRPr="00A5669D" w:rsidRDefault="00520E6C" w:rsidP="00520E6C">
      <w:pPr>
        <w:pStyle w:val="FootnoteText"/>
        <w:jc w:val="both"/>
        <w:rPr>
          <w:rFonts w:ascii="Book Antiqua" w:hAnsi="Book Antiqua"/>
          <w:sz w:val="20"/>
          <w:szCs w:val="20"/>
          <w:lang w:val="es-ES"/>
        </w:rPr>
      </w:pPr>
      <w:r w:rsidRPr="00A5669D">
        <w:rPr>
          <w:rStyle w:val="FootnoteReference"/>
          <w:rFonts w:ascii="Book Antiqua" w:hAnsi="Book Antiqua"/>
          <w:sz w:val="20"/>
          <w:szCs w:val="20"/>
        </w:rPr>
        <w:footnoteRef/>
      </w:r>
      <w:r w:rsidRPr="00A5669D">
        <w:rPr>
          <w:rFonts w:ascii="Book Antiqua" w:hAnsi="Book Antiqua"/>
          <w:sz w:val="20"/>
          <w:szCs w:val="20"/>
          <w:lang w:val="es-ES"/>
        </w:rPr>
        <w:t xml:space="preserve"> </w:t>
      </w:r>
      <w:r w:rsidRPr="00A5669D">
        <w:rPr>
          <w:rFonts w:ascii="Book Antiqua" w:hAnsi="Book Antiqua"/>
          <w:smallCaps/>
          <w:sz w:val="20"/>
          <w:szCs w:val="20"/>
          <w:lang w:val="es-ES"/>
        </w:rPr>
        <w:t>Asociación de Alcaldes de Puerto Rico, Memorial Explicativo en torno al P. del S. 787</w:t>
      </w:r>
      <w:r w:rsidRPr="00A5669D">
        <w:rPr>
          <w:rFonts w:ascii="Book Antiqua" w:hAnsi="Book Antiqua"/>
          <w:sz w:val="20"/>
          <w:szCs w:val="20"/>
          <w:lang w:val="es-ES"/>
        </w:rPr>
        <w:t>, en la pág. 2 (2025).</w:t>
      </w:r>
    </w:p>
  </w:footnote>
  <w:footnote w:id="2">
    <w:p w14:paraId="0A5F9BE5" w14:textId="77777777" w:rsidR="00520E6C" w:rsidRPr="004569DD" w:rsidRDefault="00520E6C" w:rsidP="00520E6C">
      <w:pPr>
        <w:pStyle w:val="FootnoteText"/>
        <w:rPr>
          <w:lang w:val="es-ES"/>
        </w:rPr>
      </w:pPr>
      <w:r w:rsidRPr="00A5669D">
        <w:rPr>
          <w:rStyle w:val="FootnoteReference"/>
          <w:rFonts w:ascii="Book Antiqua" w:hAnsi="Book Antiqua"/>
          <w:sz w:val="20"/>
          <w:szCs w:val="20"/>
        </w:rPr>
        <w:footnoteRef/>
      </w:r>
      <w:r w:rsidRPr="00A5669D">
        <w:rPr>
          <w:rFonts w:ascii="Book Antiqua" w:hAnsi="Book Antiqua"/>
          <w:sz w:val="20"/>
          <w:szCs w:val="20"/>
          <w:lang w:val="es-ES"/>
        </w:rPr>
        <w:t xml:space="preserve"> PRITS, </w:t>
      </w:r>
      <w:r w:rsidRPr="00A5669D">
        <w:rPr>
          <w:rFonts w:ascii="Book Antiqua" w:hAnsi="Book Antiqua"/>
          <w:smallCaps/>
          <w:sz w:val="20"/>
          <w:szCs w:val="20"/>
          <w:lang w:val="es-ES"/>
        </w:rPr>
        <w:t>Memorial Explicativo en torno al P. del S. 787</w:t>
      </w:r>
      <w:r w:rsidRPr="00A5669D">
        <w:rPr>
          <w:rFonts w:ascii="Book Antiqua" w:hAnsi="Book Antiqua"/>
          <w:sz w:val="20"/>
          <w:szCs w:val="20"/>
          <w:lang w:val="es-ES"/>
        </w:rPr>
        <w:t>, en la pág. 3 (2025).</w:t>
      </w:r>
    </w:p>
  </w:footnote>
  <w:footnote w:id="3">
    <w:p w14:paraId="10EC43DC" w14:textId="77777777" w:rsidR="00520E6C" w:rsidRPr="00A5669D" w:rsidRDefault="00520E6C" w:rsidP="00520E6C">
      <w:pPr>
        <w:pStyle w:val="FootnoteText"/>
        <w:rPr>
          <w:rFonts w:ascii="Book Antiqua" w:hAnsi="Book Antiqua"/>
          <w:i/>
          <w:iCs/>
          <w:sz w:val="20"/>
          <w:szCs w:val="20"/>
          <w:lang w:val="es-ES"/>
        </w:rPr>
      </w:pPr>
      <w:r w:rsidRPr="00A5669D">
        <w:rPr>
          <w:rStyle w:val="FootnoteReference"/>
          <w:rFonts w:ascii="Book Antiqua" w:hAnsi="Book Antiqua"/>
          <w:sz w:val="20"/>
          <w:szCs w:val="20"/>
        </w:rPr>
        <w:footnoteRef/>
      </w:r>
      <w:r w:rsidRPr="00A5669D">
        <w:rPr>
          <w:rFonts w:ascii="Book Antiqua" w:hAnsi="Book Antiqua"/>
          <w:sz w:val="20"/>
          <w:szCs w:val="20"/>
          <w:lang w:val="es-ES"/>
        </w:rPr>
        <w:t xml:space="preserve"> </w:t>
      </w:r>
      <w:r w:rsidRPr="00A5669D">
        <w:rPr>
          <w:rFonts w:ascii="Book Antiqua" w:hAnsi="Book Antiqua"/>
          <w:i/>
          <w:iCs/>
          <w:sz w:val="20"/>
          <w:szCs w:val="20"/>
          <w:lang w:val="es-ES"/>
        </w:rPr>
        <w:t xml:space="preserve">Id. </w:t>
      </w:r>
      <w:r w:rsidRPr="00A5669D">
        <w:rPr>
          <w:rFonts w:ascii="Book Antiqua" w:hAnsi="Book Antiqua"/>
          <w:sz w:val="20"/>
          <w:szCs w:val="20"/>
          <w:lang w:val="es-ES"/>
        </w:rPr>
        <w:t>(énfasis nuestro).</w:t>
      </w:r>
    </w:p>
  </w:footnote>
  <w:footnote w:id="4">
    <w:p w14:paraId="52F41414" w14:textId="77777777" w:rsidR="00520E6C" w:rsidRPr="00A5669D" w:rsidRDefault="00520E6C" w:rsidP="00520E6C">
      <w:pPr>
        <w:pStyle w:val="FootnoteText"/>
        <w:rPr>
          <w:rFonts w:ascii="Book Antiqua" w:hAnsi="Book Antiqua"/>
          <w:i/>
          <w:iCs/>
          <w:sz w:val="20"/>
          <w:szCs w:val="20"/>
          <w:lang w:val="es-ES"/>
        </w:rPr>
      </w:pPr>
      <w:r w:rsidRPr="00A5669D">
        <w:rPr>
          <w:rStyle w:val="FootnoteReference"/>
          <w:rFonts w:ascii="Book Antiqua" w:hAnsi="Book Antiqua"/>
          <w:sz w:val="20"/>
          <w:szCs w:val="20"/>
        </w:rPr>
        <w:footnoteRef/>
      </w:r>
      <w:r w:rsidRPr="00A5669D">
        <w:rPr>
          <w:rFonts w:ascii="Book Antiqua" w:hAnsi="Book Antiqua"/>
          <w:sz w:val="20"/>
          <w:szCs w:val="20"/>
          <w:lang w:val="es-ES"/>
        </w:rPr>
        <w:t xml:space="preserve"> </w:t>
      </w:r>
      <w:r w:rsidRPr="00A5669D">
        <w:rPr>
          <w:rFonts w:ascii="Book Antiqua" w:hAnsi="Book Antiqua"/>
          <w:i/>
          <w:iCs/>
          <w:sz w:val="20"/>
          <w:szCs w:val="20"/>
          <w:lang w:val="es-ES"/>
        </w:rPr>
        <w:t>Id.</w:t>
      </w:r>
      <w:r w:rsidRPr="00A5669D">
        <w:rPr>
          <w:rFonts w:ascii="Book Antiqua" w:hAnsi="Book Antiqua"/>
          <w:sz w:val="20"/>
          <w:szCs w:val="20"/>
          <w:lang w:val="es-ES"/>
        </w:rPr>
        <w:t xml:space="preserve"> (énfasis nuestro).</w:t>
      </w:r>
    </w:p>
  </w:footnote>
  <w:footnote w:id="5">
    <w:p w14:paraId="78B33634" w14:textId="77777777" w:rsidR="00520E6C" w:rsidRPr="00AB31C3" w:rsidRDefault="00520E6C" w:rsidP="00520E6C">
      <w:pPr>
        <w:pStyle w:val="FootnoteText"/>
        <w:rPr>
          <w:i/>
          <w:iCs/>
          <w:lang w:val="es-ES"/>
        </w:rPr>
      </w:pPr>
      <w:r w:rsidRPr="00A5669D">
        <w:rPr>
          <w:rStyle w:val="FootnoteReference"/>
          <w:rFonts w:ascii="Book Antiqua" w:hAnsi="Book Antiqua"/>
          <w:sz w:val="20"/>
          <w:szCs w:val="20"/>
        </w:rPr>
        <w:footnoteRef/>
      </w:r>
      <w:r w:rsidRPr="00A5669D">
        <w:rPr>
          <w:rFonts w:ascii="Book Antiqua" w:hAnsi="Book Antiqua"/>
          <w:sz w:val="20"/>
          <w:szCs w:val="20"/>
          <w:lang w:val="es-ES"/>
        </w:rPr>
        <w:t xml:space="preserve"> </w:t>
      </w:r>
      <w:r w:rsidRPr="00A5669D">
        <w:rPr>
          <w:rFonts w:ascii="Book Antiqua" w:hAnsi="Book Antiqua"/>
          <w:i/>
          <w:iCs/>
          <w:sz w:val="20"/>
          <w:szCs w:val="20"/>
          <w:lang w:val="es-ES"/>
        </w:rPr>
        <w:t xml:space="preserve">Id. </w:t>
      </w:r>
      <w:r w:rsidRPr="00A5669D">
        <w:rPr>
          <w:rFonts w:ascii="Book Antiqua" w:hAnsi="Book Antiqua"/>
          <w:sz w:val="20"/>
          <w:szCs w:val="20"/>
          <w:lang w:val="es-ES"/>
        </w:rPr>
        <w:t>en la pág. 4 (énfasis nuestro).</w:t>
      </w:r>
    </w:p>
  </w:footnote>
  <w:footnote w:id="6">
    <w:p w14:paraId="0E335B29" w14:textId="77777777" w:rsidR="00520E6C" w:rsidRPr="00A5669D" w:rsidRDefault="00520E6C" w:rsidP="00520E6C">
      <w:pPr>
        <w:pStyle w:val="FootnoteText"/>
        <w:rPr>
          <w:rFonts w:ascii="Book Antiqua" w:hAnsi="Book Antiqua"/>
          <w:sz w:val="20"/>
          <w:szCs w:val="20"/>
          <w:lang w:val="es-ES"/>
        </w:rPr>
      </w:pPr>
      <w:r w:rsidRPr="00A5669D">
        <w:rPr>
          <w:rStyle w:val="FootnoteReference"/>
          <w:rFonts w:ascii="Book Antiqua" w:hAnsi="Book Antiqua"/>
          <w:sz w:val="20"/>
          <w:szCs w:val="20"/>
        </w:rPr>
        <w:footnoteRef/>
      </w:r>
      <w:r w:rsidRPr="00A5669D">
        <w:rPr>
          <w:rFonts w:ascii="Book Antiqua" w:hAnsi="Book Antiqua"/>
          <w:sz w:val="20"/>
          <w:szCs w:val="20"/>
          <w:lang w:val="es-ES"/>
        </w:rPr>
        <w:t xml:space="preserve"> </w:t>
      </w:r>
      <w:r w:rsidRPr="00A5669D">
        <w:rPr>
          <w:rFonts w:ascii="Book Antiqua" w:hAnsi="Book Antiqua"/>
          <w:i/>
          <w:iCs/>
          <w:sz w:val="20"/>
          <w:szCs w:val="20"/>
          <w:lang w:val="es-ES"/>
        </w:rPr>
        <w:t xml:space="preserve">Id. </w:t>
      </w:r>
      <w:r w:rsidRPr="00A5669D">
        <w:rPr>
          <w:rFonts w:ascii="Book Antiqua" w:hAnsi="Book Antiqua"/>
          <w:sz w:val="20"/>
          <w:szCs w:val="20"/>
          <w:lang w:val="es-ES"/>
        </w:rPr>
        <w:t>(énfasis nuestro).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1A36BF8B"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73F4DF"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A8414C">
      <w:rPr>
        <w:rStyle w:val="PageNumber"/>
        <w:rFonts w:ascii="Book Antiqua" w:hAnsi="Book Antiqua"/>
        <w:i/>
        <w:sz w:val="22"/>
        <w:szCs w:val="22"/>
        <w:lang w:val="es-PR"/>
      </w:rPr>
      <w:t>7</w:t>
    </w:r>
    <w:r w:rsidR="00520E6C">
      <w:rPr>
        <w:rStyle w:val="PageNumber"/>
        <w:rFonts w:ascii="Book Antiqua" w:hAnsi="Book Antiqua"/>
        <w:i/>
        <w:sz w:val="22"/>
        <w:szCs w:val="22"/>
        <w:lang w:val="es-PR"/>
      </w:rPr>
      <w:t>87</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67C1A"/>
    <w:multiLevelType w:val="multilevel"/>
    <w:tmpl w:val="942E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E2CC0"/>
    <w:multiLevelType w:val="hybridMultilevel"/>
    <w:tmpl w:val="04B28F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4"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1F32CF9"/>
    <w:multiLevelType w:val="hybridMultilevel"/>
    <w:tmpl w:val="9348CF50"/>
    <w:lvl w:ilvl="0" w:tplc="07D250D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80345F"/>
    <w:multiLevelType w:val="multilevel"/>
    <w:tmpl w:val="C93ED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3"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21B85"/>
    <w:multiLevelType w:val="hybridMultilevel"/>
    <w:tmpl w:val="982EA0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584225E4"/>
    <w:multiLevelType w:val="multilevel"/>
    <w:tmpl w:val="CC30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BC74EB"/>
    <w:multiLevelType w:val="multilevel"/>
    <w:tmpl w:val="6932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8"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C011A7"/>
    <w:multiLevelType w:val="hybridMultilevel"/>
    <w:tmpl w:val="0860B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023DB5"/>
    <w:multiLevelType w:val="hybridMultilevel"/>
    <w:tmpl w:val="1CEA8D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22"/>
  </w:num>
  <w:num w:numId="3" w16cid:durableId="150217024">
    <w:abstractNumId w:val="24"/>
  </w:num>
  <w:num w:numId="4" w16cid:durableId="1144077218">
    <w:abstractNumId w:val="14"/>
  </w:num>
  <w:num w:numId="5" w16cid:durableId="1391071492">
    <w:abstractNumId w:val="26"/>
  </w:num>
  <w:num w:numId="6" w16cid:durableId="1887521205">
    <w:abstractNumId w:val="25"/>
  </w:num>
  <w:num w:numId="7" w16cid:durableId="17200089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21"/>
  </w:num>
  <w:num w:numId="9" w16cid:durableId="978419079">
    <w:abstractNumId w:val="13"/>
  </w:num>
  <w:num w:numId="10" w16cid:durableId="1920630375">
    <w:abstractNumId w:val="11"/>
  </w:num>
  <w:num w:numId="11" w16cid:durableId="1876967153">
    <w:abstractNumId w:val="4"/>
  </w:num>
  <w:num w:numId="12" w16cid:durableId="1030955634">
    <w:abstractNumId w:val="28"/>
  </w:num>
  <w:num w:numId="13" w16cid:durableId="1443761483">
    <w:abstractNumId w:val="18"/>
  </w:num>
  <w:num w:numId="14" w16cid:durableId="317928374">
    <w:abstractNumId w:val="32"/>
  </w:num>
  <w:num w:numId="15" w16cid:durableId="1784879955">
    <w:abstractNumId w:val="33"/>
  </w:num>
  <w:num w:numId="16" w16cid:durableId="1263222138">
    <w:abstractNumId w:val="5"/>
  </w:num>
  <w:num w:numId="17" w16cid:durableId="663701081">
    <w:abstractNumId w:val="3"/>
  </w:num>
  <w:num w:numId="18" w16cid:durableId="2086878990">
    <w:abstractNumId w:val="20"/>
  </w:num>
  <w:num w:numId="19" w16cid:durableId="953445716">
    <w:abstractNumId w:val="27"/>
  </w:num>
  <w:num w:numId="20" w16cid:durableId="1211067804">
    <w:abstractNumId w:val="10"/>
  </w:num>
  <w:num w:numId="21" w16cid:durableId="1827357940">
    <w:abstractNumId w:val="16"/>
  </w:num>
  <w:num w:numId="22" w16cid:durableId="76682557">
    <w:abstractNumId w:val="31"/>
  </w:num>
  <w:num w:numId="23" w16cid:durableId="1136072045">
    <w:abstractNumId w:val="8"/>
  </w:num>
  <w:num w:numId="24" w16cid:durableId="252974756">
    <w:abstractNumId w:val="15"/>
  </w:num>
  <w:num w:numId="25" w16cid:durableId="1722710084">
    <w:abstractNumId w:val="12"/>
  </w:num>
  <w:num w:numId="26" w16cid:durableId="363680753">
    <w:abstractNumId w:val="9"/>
  </w:num>
  <w:num w:numId="27" w16cid:durableId="1457067082">
    <w:abstractNumId w:val="7"/>
  </w:num>
  <w:num w:numId="28" w16cid:durableId="1556358496">
    <w:abstractNumId w:val="23"/>
  </w:num>
  <w:num w:numId="29" w16cid:durableId="907962965">
    <w:abstractNumId w:val="19"/>
  </w:num>
  <w:num w:numId="30" w16cid:durableId="313262227">
    <w:abstractNumId w:val="1"/>
  </w:num>
  <w:num w:numId="31" w16cid:durableId="1048071362">
    <w:abstractNumId w:val="29"/>
  </w:num>
  <w:num w:numId="32" w16cid:durableId="1784424820">
    <w:abstractNumId w:val="30"/>
  </w:num>
  <w:num w:numId="33" w16cid:durableId="981428407">
    <w:abstractNumId w:val="2"/>
  </w:num>
  <w:num w:numId="34" w16cid:durableId="1064913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30D36"/>
    <w:rsid w:val="00040D4F"/>
    <w:rsid w:val="0004232E"/>
    <w:rsid w:val="0004456A"/>
    <w:rsid w:val="00046A7F"/>
    <w:rsid w:val="000507DD"/>
    <w:rsid w:val="000549AC"/>
    <w:rsid w:val="00057583"/>
    <w:rsid w:val="00061538"/>
    <w:rsid w:val="00062C12"/>
    <w:rsid w:val="00063B34"/>
    <w:rsid w:val="0006657A"/>
    <w:rsid w:val="00071AFD"/>
    <w:rsid w:val="0007338D"/>
    <w:rsid w:val="00077520"/>
    <w:rsid w:val="000846CE"/>
    <w:rsid w:val="00084B35"/>
    <w:rsid w:val="000907FB"/>
    <w:rsid w:val="00093070"/>
    <w:rsid w:val="00093599"/>
    <w:rsid w:val="00094279"/>
    <w:rsid w:val="00097977"/>
    <w:rsid w:val="000A0DD0"/>
    <w:rsid w:val="000A2840"/>
    <w:rsid w:val="000A36B0"/>
    <w:rsid w:val="000A3926"/>
    <w:rsid w:val="000A55EE"/>
    <w:rsid w:val="000C66D1"/>
    <w:rsid w:val="000D4ACC"/>
    <w:rsid w:val="000E1B5B"/>
    <w:rsid w:val="000E2315"/>
    <w:rsid w:val="000E3242"/>
    <w:rsid w:val="000E328C"/>
    <w:rsid w:val="000E3E3F"/>
    <w:rsid w:val="000E4B80"/>
    <w:rsid w:val="000E5DC1"/>
    <w:rsid w:val="000E66EE"/>
    <w:rsid w:val="00103081"/>
    <w:rsid w:val="00104793"/>
    <w:rsid w:val="00105310"/>
    <w:rsid w:val="00105E0D"/>
    <w:rsid w:val="00114A85"/>
    <w:rsid w:val="00115CCE"/>
    <w:rsid w:val="00123B0D"/>
    <w:rsid w:val="001256D8"/>
    <w:rsid w:val="001269D9"/>
    <w:rsid w:val="00126B90"/>
    <w:rsid w:val="001319DA"/>
    <w:rsid w:val="00144AFF"/>
    <w:rsid w:val="0014633D"/>
    <w:rsid w:val="00147634"/>
    <w:rsid w:val="00152E5E"/>
    <w:rsid w:val="00156D08"/>
    <w:rsid w:val="001632EC"/>
    <w:rsid w:val="00163B5C"/>
    <w:rsid w:val="00165840"/>
    <w:rsid w:val="00170953"/>
    <w:rsid w:val="0017614C"/>
    <w:rsid w:val="0017674B"/>
    <w:rsid w:val="001920A3"/>
    <w:rsid w:val="00197A2A"/>
    <w:rsid w:val="001A6F73"/>
    <w:rsid w:val="001B2971"/>
    <w:rsid w:val="001B5929"/>
    <w:rsid w:val="001B751A"/>
    <w:rsid w:val="001C6904"/>
    <w:rsid w:val="001D0ABB"/>
    <w:rsid w:val="001E2BBC"/>
    <w:rsid w:val="001E571B"/>
    <w:rsid w:val="001E58FE"/>
    <w:rsid w:val="001F0094"/>
    <w:rsid w:val="001F2A92"/>
    <w:rsid w:val="00204D65"/>
    <w:rsid w:val="00214189"/>
    <w:rsid w:val="002169FB"/>
    <w:rsid w:val="00221002"/>
    <w:rsid w:val="002235AD"/>
    <w:rsid w:val="00227D5D"/>
    <w:rsid w:val="0023264E"/>
    <w:rsid w:val="002335EA"/>
    <w:rsid w:val="00235393"/>
    <w:rsid w:val="00235D02"/>
    <w:rsid w:val="002360B5"/>
    <w:rsid w:val="002370D3"/>
    <w:rsid w:val="00244C04"/>
    <w:rsid w:val="00245609"/>
    <w:rsid w:val="00253858"/>
    <w:rsid w:val="00255689"/>
    <w:rsid w:val="00261114"/>
    <w:rsid w:val="002632DF"/>
    <w:rsid w:val="00276BDD"/>
    <w:rsid w:val="002808F0"/>
    <w:rsid w:val="00281A3B"/>
    <w:rsid w:val="00282A14"/>
    <w:rsid w:val="00285860"/>
    <w:rsid w:val="00290C4B"/>
    <w:rsid w:val="00296D3F"/>
    <w:rsid w:val="002971A4"/>
    <w:rsid w:val="002974C7"/>
    <w:rsid w:val="002B12D4"/>
    <w:rsid w:val="002B3B61"/>
    <w:rsid w:val="002B670A"/>
    <w:rsid w:val="002C290D"/>
    <w:rsid w:val="002C577E"/>
    <w:rsid w:val="002D1E89"/>
    <w:rsid w:val="002D4B38"/>
    <w:rsid w:val="002E2C74"/>
    <w:rsid w:val="002F2243"/>
    <w:rsid w:val="002F2860"/>
    <w:rsid w:val="002F58EB"/>
    <w:rsid w:val="002F60E4"/>
    <w:rsid w:val="00304C16"/>
    <w:rsid w:val="003266F8"/>
    <w:rsid w:val="00326910"/>
    <w:rsid w:val="00327B42"/>
    <w:rsid w:val="00327EDE"/>
    <w:rsid w:val="00330D59"/>
    <w:rsid w:val="0035044B"/>
    <w:rsid w:val="00352C61"/>
    <w:rsid w:val="00353EC5"/>
    <w:rsid w:val="00361144"/>
    <w:rsid w:val="003618E3"/>
    <w:rsid w:val="00363D0C"/>
    <w:rsid w:val="00364DCF"/>
    <w:rsid w:val="00365790"/>
    <w:rsid w:val="003700E9"/>
    <w:rsid w:val="003724E8"/>
    <w:rsid w:val="00381FCA"/>
    <w:rsid w:val="00397AC7"/>
    <w:rsid w:val="00397C1C"/>
    <w:rsid w:val="003A69EF"/>
    <w:rsid w:val="003B1D9A"/>
    <w:rsid w:val="003B644B"/>
    <w:rsid w:val="003D02DF"/>
    <w:rsid w:val="003D07D2"/>
    <w:rsid w:val="003E4737"/>
    <w:rsid w:val="003E749F"/>
    <w:rsid w:val="003F0372"/>
    <w:rsid w:val="003F2DE1"/>
    <w:rsid w:val="003F7121"/>
    <w:rsid w:val="003F7352"/>
    <w:rsid w:val="003F7F49"/>
    <w:rsid w:val="004000AE"/>
    <w:rsid w:val="0042474F"/>
    <w:rsid w:val="00427040"/>
    <w:rsid w:val="00437BDC"/>
    <w:rsid w:val="00440C62"/>
    <w:rsid w:val="00441AE7"/>
    <w:rsid w:val="00441DE5"/>
    <w:rsid w:val="004538A3"/>
    <w:rsid w:val="004621D2"/>
    <w:rsid w:val="004641B9"/>
    <w:rsid w:val="00465358"/>
    <w:rsid w:val="004663D5"/>
    <w:rsid w:val="004719B8"/>
    <w:rsid w:val="004733FF"/>
    <w:rsid w:val="004756CA"/>
    <w:rsid w:val="004833A3"/>
    <w:rsid w:val="004B142C"/>
    <w:rsid w:val="004C0E27"/>
    <w:rsid w:val="004D66E8"/>
    <w:rsid w:val="004E1C6B"/>
    <w:rsid w:val="004F6C5E"/>
    <w:rsid w:val="0050015A"/>
    <w:rsid w:val="00500CD9"/>
    <w:rsid w:val="0050357A"/>
    <w:rsid w:val="00520E6C"/>
    <w:rsid w:val="0052307A"/>
    <w:rsid w:val="005263C5"/>
    <w:rsid w:val="005300B1"/>
    <w:rsid w:val="00530FD5"/>
    <w:rsid w:val="00531976"/>
    <w:rsid w:val="00540C4E"/>
    <w:rsid w:val="00546683"/>
    <w:rsid w:val="00553376"/>
    <w:rsid w:val="005665D9"/>
    <w:rsid w:val="005670CC"/>
    <w:rsid w:val="00573AAB"/>
    <w:rsid w:val="00575591"/>
    <w:rsid w:val="00584F82"/>
    <w:rsid w:val="005852B6"/>
    <w:rsid w:val="005865D6"/>
    <w:rsid w:val="00587CDD"/>
    <w:rsid w:val="00592912"/>
    <w:rsid w:val="00597725"/>
    <w:rsid w:val="005B5660"/>
    <w:rsid w:val="005C6B89"/>
    <w:rsid w:val="005D4247"/>
    <w:rsid w:val="005E20C6"/>
    <w:rsid w:val="005E32A2"/>
    <w:rsid w:val="005E345A"/>
    <w:rsid w:val="005F2117"/>
    <w:rsid w:val="005F57EA"/>
    <w:rsid w:val="005F7895"/>
    <w:rsid w:val="00605B06"/>
    <w:rsid w:val="00610D55"/>
    <w:rsid w:val="00611F58"/>
    <w:rsid w:val="00617C77"/>
    <w:rsid w:val="006234DB"/>
    <w:rsid w:val="00624B6C"/>
    <w:rsid w:val="00625848"/>
    <w:rsid w:val="00627101"/>
    <w:rsid w:val="006442F9"/>
    <w:rsid w:val="00651F6C"/>
    <w:rsid w:val="00663552"/>
    <w:rsid w:val="006705DD"/>
    <w:rsid w:val="00677ADE"/>
    <w:rsid w:val="00685BF5"/>
    <w:rsid w:val="0068631D"/>
    <w:rsid w:val="00694425"/>
    <w:rsid w:val="006A2B0F"/>
    <w:rsid w:val="006A2E89"/>
    <w:rsid w:val="006A384C"/>
    <w:rsid w:val="006A627D"/>
    <w:rsid w:val="006B0E23"/>
    <w:rsid w:val="006C498F"/>
    <w:rsid w:val="006C6F08"/>
    <w:rsid w:val="006D1366"/>
    <w:rsid w:val="006D2DAD"/>
    <w:rsid w:val="006E01C3"/>
    <w:rsid w:val="006F072D"/>
    <w:rsid w:val="006F31C3"/>
    <w:rsid w:val="006F45AD"/>
    <w:rsid w:val="006F7782"/>
    <w:rsid w:val="0070231A"/>
    <w:rsid w:val="00706B87"/>
    <w:rsid w:val="007101C8"/>
    <w:rsid w:val="0071164C"/>
    <w:rsid w:val="00715CFC"/>
    <w:rsid w:val="00716D4F"/>
    <w:rsid w:val="00720DED"/>
    <w:rsid w:val="00726664"/>
    <w:rsid w:val="00726C66"/>
    <w:rsid w:val="00733621"/>
    <w:rsid w:val="00744889"/>
    <w:rsid w:val="00744B72"/>
    <w:rsid w:val="007526B6"/>
    <w:rsid w:val="00753DEA"/>
    <w:rsid w:val="007552D5"/>
    <w:rsid w:val="00756A0F"/>
    <w:rsid w:val="00757B0E"/>
    <w:rsid w:val="0076466B"/>
    <w:rsid w:val="0076672E"/>
    <w:rsid w:val="00773612"/>
    <w:rsid w:val="007747EA"/>
    <w:rsid w:val="007767FD"/>
    <w:rsid w:val="00787CC3"/>
    <w:rsid w:val="00796D86"/>
    <w:rsid w:val="007A2A65"/>
    <w:rsid w:val="007A3330"/>
    <w:rsid w:val="007A4D9A"/>
    <w:rsid w:val="007A52BD"/>
    <w:rsid w:val="007B1F4C"/>
    <w:rsid w:val="007B737C"/>
    <w:rsid w:val="007C1FB4"/>
    <w:rsid w:val="007C5402"/>
    <w:rsid w:val="007D483B"/>
    <w:rsid w:val="007D502B"/>
    <w:rsid w:val="007E1295"/>
    <w:rsid w:val="007E56F0"/>
    <w:rsid w:val="007F7F06"/>
    <w:rsid w:val="00801D43"/>
    <w:rsid w:val="0080494A"/>
    <w:rsid w:val="00807333"/>
    <w:rsid w:val="00807DDB"/>
    <w:rsid w:val="0082461D"/>
    <w:rsid w:val="008302A7"/>
    <w:rsid w:val="0083160D"/>
    <w:rsid w:val="00835666"/>
    <w:rsid w:val="0084517F"/>
    <w:rsid w:val="00850DEC"/>
    <w:rsid w:val="0085206C"/>
    <w:rsid w:val="00855DDC"/>
    <w:rsid w:val="00865915"/>
    <w:rsid w:val="00866623"/>
    <w:rsid w:val="00873014"/>
    <w:rsid w:val="00875311"/>
    <w:rsid w:val="0087700A"/>
    <w:rsid w:val="008817F1"/>
    <w:rsid w:val="00885C39"/>
    <w:rsid w:val="00887B5A"/>
    <w:rsid w:val="008945B2"/>
    <w:rsid w:val="008A6C74"/>
    <w:rsid w:val="008B5837"/>
    <w:rsid w:val="008C0089"/>
    <w:rsid w:val="008C4E1E"/>
    <w:rsid w:val="008D3AED"/>
    <w:rsid w:val="008D7F3D"/>
    <w:rsid w:val="008E3FE1"/>
    <w:rsid w:val="008E55BC"/>
    <w:rsid w:val="008E5C42"/>
    <w:rsid w:val="008E5C47"/>
    <w:rsid w:val="008F3240"/>
    <w:rsid w:val="00900DCD"/>
    <w:rsid w:val="00902EA7"/>
    <w:rsid w:val="00914DCC"/>
    <w:rsid w:val="00916851"/>
    <w:rsid w:val="0091696B"/>
    <w:rsid w:val="00921F73"/>
    <w:rsid w:val="00931E0E"/>
    <w:rsid w:val="0093323A"/>
    <w:rsid w:val="00944B6E"/>
    <w:rsid w:val="009471C8"/>
    <w:rsid w:val="00947E95"/>
    <w:rsid w:val="009503DD"/>
    <w:rsid w:val="00950543"/>
    <w:rsid w:val="00965F39"/>
    <w:rsid w:val="009701BF"/>
    <w:rsid w:val="00973450"/>
    <w:rsid w:val="0097620B"/>
    <w:rsid w:val="0098155A"/>
    <w:rsid w:val="00981CB1"/>
    <w:rsid w:val="00986544"/>
    <w:rsid w:val="009866B1"/>
    <w:rsid w:val="00986838"/>
    <w:rsid w:val="0099092B"/>
    <w:rsid w:val="009912EA"/>
    <w:rsid w:val="00995340"/>
    <w:rsid w:val="00995C19"/>
    <w:rsid w:val="009A0D8D"/>
    <w:rsid w:val="009A24F9"/>
    <w:rsid w:val="009B39AD"/>
    <w:rsid w:val="009B6AF1"/>
    <w:rsid w:val="009D28C3"/>
    <w:rsid w:val="009D50C3"/>
    <w:rsid w:val="009D7AE4"/>
    <w:rsid w:val="009E097D"/>
    <w:rsid w:val="009F1CEE"/>
    <w:rsid w:val="009F71A9"/>
    <w:rsid w:val="00A00B79"/>
    <w:rsid w:val="00A068A5"/>
    <w:rsid w:val="00A06D24"/>
    <w:rsid w:val="00A107E2"/>
    <w:rsid w:val="00A113C5"/>
    <w:rsid w:val="00A24F2F"/>
    <w:rsid w:val="00A2744F"/>
    <w:rsid w:val="00A338D0"/>
    <w:rsid w:val="00A361F6"/>
    <w:rsid w:val="00A42BD2"/>
    <w:rsid w:val="00A43C41"/>
    <w:rsid w:val="00A508AE"/>
    <w:rsid w:val="00A51AED"/>
    <w:rsid w:val="00A5669D"/>
    <w:rsid w:val="00A56BC5"/>
    <w:rsid w:val="00A608EE"/>
    <w:rsid w:val="00A6590F"/>
    <w:rsid w:val="00A6622D"/>
    <w:rsid w:val="00A75A53"/>
    <w:rsid w:val="00A83496"/>
    <w:rsid w:val="00A8414C"/>
    <w:rsid w:val="00A975A9"/>
    <w:rsid w:val="00AC0B45"/>
    <w:rsid w:val="00AC495D"/>
    <w:rsid w:val="00AC6864"/>
    <w:rsid w:val="00AE3112"/>
    <w:rsid w:val="00AE53C7"/>
    <w:rsid w:val="00B064C0"/>
    <w:rsid w:val="00B11907"/>
    <w:rsid w:val="00B30485"/>
    <w:rsid w:val="00B34FF4"/>
    <w:rsid w:val="00B41EA0"/>
    <w:rsid w:val="00B42919"/>
    <w:rsid w:val="00B43DC1"/>
    <w:rsid w:val="00B60543"/>
    <w:rsid w:val="00B64DBC"/>
    <w:rsid w:val="00B656A1"/>
    <w:rsid w:val="00B73C92"/>
    <w:rsid w:val="00B75683"/>
    <w:rsid w:val="00B76FC7"/>
    <w:rsid w:val="00B82490"/>
    <w:rsid w:val="00B876EE"/>
    <w:rsid w:val="00B95434"/>
    <w:rsid w:val="00B958BB"/>
    <w:rsid w:val="00B97282"/>
    <w:rsid w:val="00BA03B4"/>
    <w:rsid w:val="00BB04FE"/>
    <w:rsid w:val="00BB4B1C"/>
    <w:rsid w:val="00BB650E"/>
    <w:rsid w:val="00BC4AEA"/>
    <w:rsid w:val="00BE1068"/>
    <w:rsid w:val="00BE1117"/>
    <w:rsid w:val="00BE62B2"/>
    <w:rsid w:val="00BF2933"/>
    <w:rsid w:val="00BF2EA2"/>
    <w:rsid w:val="00BF399D"/>
    <w:rsid w:val="00C0097E"/>
    <w:rsid w:val="00C0489D"/>
    <w:rsid w:val="00C04CC4"/>
    <w:rsid w:val="00C05074"/>
    <w:rsid w:val="00C05BF3"/>
    <w:rsid w:val="00C162F0"/>
    <w:rsid w:val="00C20727"/>
    <w:rsid w:val="00C23448"/>
    <w:rsid w:val="00C31BB0"/>
    <w:rsid w:val="00C40917"/>
    <w:rsid w:val="00C445E0"/>
    <w:rsid w:val="00C50A34"/>
    <w:rsid w:val="00C54F93"/>
    <w:rsid w:val="00C55349"/>
    <w:rsid w:val="00C70147"/>
    <w:rsid w:val="00C72BDF"/>
    <w:rsid w:val="00C746E5"/>
    <w:rsid w:val="00C759E8"/>
    <w:rsid w:val="00C903B5"/>
    <w:rsid w:val="00CA0E00"/>
    <w:rsid w:val="00CA25B9"/>
    <w:rsid w:val="00CA25DD"/>
    <w:rsid w:val="00CB75CE"/>
    <w:rsid w:val="00CC0AC2"/>
    <w:rsid w:val="00CD7998"/>
    <w:rsid w:val="00CE1E51"/>
    <w:rsid w:val="00CE50B0"/>
    <w:rsid w:val="00CE6859"/>
    <w:rsid w:val="00CE7FD0"/>
    <w:rsid w:val="00CF3279"/>
    <w:rsid w:val="00CF59F5"/>
    <w:rsid w:val="00D01039"/>
    <w:rsid w:val="00D10164"/>
    <w:rsid w:val="00D128BF"/>
    <w:rsid w:val="00D27F51"/>
    <w:rsid w:val="00D32A37"/>
    <w:rsid w:val="00D34E98"/>
    <w:rsid w:val="00D36F4D"/>
    <w:rsid w:val="00D44AB3"/>
    <w:rsid w:val="00D523D9"/>
    <w:rsid w:val="00D555F5"/>
    <w:rsid w:val="00D65DC9"/>
    <w:rsid w:val="00D72342"/>
    <w:rsid w:val="00D72508"/>
    <w:rsid w:val="00D752D6"/>
    <w:rsid w:val="00D75329"/>
    <w:rsid w:val="00D86496"/>
    <w:rsid w:val="00D90102"/>
    <w:rsid w:val="00D905F2"/>
    <w:rsid w:val="00D92EC5"/>
    <w:rsid w:val="00DA02ED"/>
    <w:rsid w:val="00DA09E1"/>
    <w:rsid w:val="00DA29A7"/>
    <w:rsid w:val="00DA48CC"/>
    <w:rsid w:val="00DA7015"/>
    <w:rsid w:val="00DB3634"/>
    <w:rsid w:val="00DB74EB"/>
    <w:rsid w:val="00DD0858"/>
    <w:rsid w:val="00DD1DC0"/>
    <w:rsid w:val="00DD1FCB"/>
    <w:rsid w:val="00DF19CF"/>
    <w:rsid w:val="00E05AD7"/>
    <w:rsid w:val="00E102E9"/>
    <w:rsid w:val="00E227DF"/>
    <w:rsid w:val="00E2470F"/>
    <w:rsid w:val="00E24F6A"/>
    <w:rsid w:val="00E279FD"/>
    <w:rsid w:val="00E27A93"/>
    <w:rsid w:val="00E3239A"/>
    <w:rsid w:val="00E349F9"/>
    <w:rsid w:val="00E35958"/>
    <w:rsid w:val="00E359DB"/>
    <w:rsid w:val="00E41A01"/>
    <w:rsid w:val="00E42A3E"/>
    <w:rsid w:val="00E443A3"/>
    <w:rsid w:val="00E44ACE"/>
    <w:rsid w:val="00E46361"/>
    <w:rsid w:val="00E47CDB"/>
    <w:rsid w:val="00E51889"/>
    <w:rsid w:val="00E54D41"/>
    <w:rsid w:val="00E56A69"/>
    <w:rsid w:val="00E61D3F"/>
    <w:rsid w:val="00E634AC"/>
    <w:rsid w:val="00E662B1"/>
    <w:rsid w:val="00E66D25"/>
    <w:rsid w:val="00E70E1E"/>
    <w:rsid w:val="00E8150B"/>
    <w:rsid w:val="00E87DFC"/>
    <w:rsid w:val="00E979DD"/>
    <w:rsid w:val="00EA0FBF"/>
    <w:rsid w:val="00EA1A07"/>
    <w:rsid w:val="00EA1E40"/>
    <w:rsid w:val="00EB166E"/>
    <w:rsid w:val="00EB1E3E"/>
    <w:rsid w:val="00EC0D99"/>
    <w:rsid w:val="00EC6777"/>
    <w:rsid w:val="00EC6918"/>
    <w:rsid w:val="00EC6989"/>
    <w:rsid w:val="00ED4C4F"/>
    <w:rsid w:val="00ED6D04"/>
    <w:rsid w:val="00EE5D67"/>
    <w:rsid w:val="00EE6540"/>
    <w:rsid w:val="00F043A8"/>
    <w:rsid w:val="00F04A9A"/>
    <w:rsid w:val="00F11058"/>
    <w:rsid w:val="00F173C8"/>
    <w:rsid w:val="00F179C6"/>
    <w:rsid w:val="00F21142"/>
    <w:rsid w:val="00F3160B"/>
    <w:rsid w:val="00F37B78"/>
    <w:rsid w:val="00F447FF"/>
    <w:rsid w:val="00F4737F"/>
    <w:rsid w:val="00F503BB"/>
    <w:rsid w:val="00F53856"/>
    <w:rsid w:val="00F5568C"/>
    <w:rsid w:val="00F664B4"/>
    <w:rsid w:val="00F719B8"/>
    <w:rsid w:val="00F76E8E"/>
    <w:rsid w:val="00F80C67"/>
    <w:rsid w:val="00FC11CC"/>
    <w:rsid w:val="00FC1DDC"/>
    <w:rsid w:val="00FC5795"/>
    <w:rsid w:val="00FC7A0C"/>
    <w:rsid w:val="00FD11BF"/>
    <w:rsid w:val="00FD661C"/>
    <w:rsid w:val="00FE1B47"/>
    <w:rsid w:val="00FE4E48"/>
    <w:rsid w:val="00FE72A4"/>
    <w:rsid w:val="00FF0C5C"/>
    <w:rsid w:val="00FF5363"/>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3F76EFDC-A9B6-48BF-B570-CC22ACC8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E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A6622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A1E4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B064C0"/>
    <w:rPr>
      <w:b/>
      <w:bCs/>
      <w:i/>
      <w:iCs/>
      <w:u w:val="single"/>
    </w:rPr>
  </w:style>
  <w:style w:type="character" w:customStyle="1" w:styleId="Heading4Char">
    <w:name w:val="Heading 4 Char"/>
    <w:basedOn w:val="DefaultParagraphFont"/>
    <w:link w:val="Heading4"/>
    <w:uiPriority w:val="9"/>
    <w:semiHidden/>
    <w:rsid w:val="00EA1E40"/>
    <w:rPr>
      <w:rFonts w:asciiTheme="majorHAnsi" w:eastAsiaTheme="majorEastAsia" w:hAnsiTheme="majorHAnsi" w:cstheme="majorBidi"/>
      <w:i/>
      <w:iCs/>
      <w:color w:val="2E74B5" w:themeColor="accent1" w:themeShade="BF"/>
      <w:sz w:val="24"/>
      <w:szCs w:val="20"/>
    </w:rPr>
  </w:style>
  <w:style w:type="character" w:customStyle="1" w:styleId="Heading3Char">
    <w:name w:val="Heading 3 Char"/>
    <w:basedOn w:val="DefaultParagraphFont"/>
    <w:link w:val="Heading3"/>
    <w:uiPriority w:val="9"/>
    <w:semiHidden/>
    <w:rsid w:val="00A6622D"/>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7E1295"/>
    <w:rPr>
      <w:color w:val="605E5C"/>
      <w:shd w:val="clear" w:color="auto" w:fill="E1DFDD"/>
    </w:rPr>
  </w:style>
  <w:style w:type="paragraph" w:styleId="NoSpacing">
    <w:name w:val="No Spacing"/>
    <w:uiPriority w:val="1"/>
    <w:qFormat/>
    <w:rsid w:val="00A8414C"/>
    <w:pPr>
      <w:jc w:val="left"/>
    </w:pPr>
    <w:rPr>
      <w:rFonts w:ascii="Times New Roman" w:eastAsia="Times New Roman" w:hAnsi="Times New Roman" w:cs="Times New Roman"/>
      <w:sz w:val="24"/>
      <w:szCs w:val="20"/>
    </w:rPr>
  </w:style>
  <w:style w:type="paragraph" w:customStyle="1" w:styleId="isselectedend">
    <w:name w:val="isselectedend"/>
    <w:basedOn w:val="Normal"/>
    <w:rsid w:val="00900DCD"/>
    <w:pPr>
      <w:spacing w:before="100" w:beforeAutospacing="1" w:after="100" w:afterAutospacing="1"/>
    </w:pPr>
    <w:rPr>
      <w:rFonts w:eastAsia="Times New Roman"/>
      <w:szCs w:val="24"/>
    </w:rPr>
  </w:style>
  <w:style w:type="table" w:styleId="GridTable5Dark">
    <w:name w:val="Grid Table 5 Dark"/>
    <w:basedOn w:val="TableNormal"/>
    <w:uiPriority w:val="50"/>
    <w:rsid w:val="009471C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06616210">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24097695">
      <w:bodyDiv w:val="1"/>
      <w:marLeft w:val="0"/>
      <w:marRight w:val="0"/>
      <w:marTop w:val="0"/>
      <w:marBottom w:val="0"/>
      <w:divBdr>
        <w:top w:val="none" w:sz="0" w:space="0" w:color="auto"/>
        <w:left w:val="none" w:sz="0" w:space="0" w:color="auto"/>
        <w:bottom w:val="none" w:sz="0" w:space="0" w:color="auto"/>
        <w:right w:val="none" w:sz="0" w:space="0" w:color="auto"/>
      </w:divBdr>
    </w:div>
    <w:div w:id="532499195">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4334469">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2696732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24026940">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95990477">
      <w:bodyDiv w:val="1"/>
      <w:marLeft w:val="0"/>
      <w:marRight w:val="0"/>
      <w:marTop w:val="0"/>
      <w:marBottom w:val="0"/>
      <w:divBdr>
        <w:top w:val="none" w:sz="0" w:space="0" w:color="auto"/>
        <w:left w:val="none" w:sz="0" w:space="0" w:color="auto"/>
        <w:bottom w:val="none" w:sz="0" w:space="0" w:color="auto"/>
        <w:right w:val="none" w:sz="0" w:space="0" w:color="auto"/>
      </w:divBdr>
    </w:div>
    <w:div w:id="130685906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15674204">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2412</Words>
  <Characters>13755</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2026-06-24T15:26:00Z</cp:lastPrinted>
  <dcterms:created xsi:type="dcterms:W3CDTF">2026-06-24T19:50:00Z</dcterms:created>
  <dcterms:modified xsi:type="dcterms:W3CDTF">2026-06-24T19:50:00Z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