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89AE5" w14:textId="1DFE209B" w:rsidR="00F60AF8" w:rsidRPr="00410D48" w:rsidRDefault="00F60AF8" w:rsidP="00F030AC">
      <w:pPr>
        <w:jc w:val="center"/>
        <w:rPr>
          <w:rFonts w:ascii="Book Antiqua" w:hAnsi="Book Antiqua"/>
          <w:b/>
          <w:bCs/>
          <w:sz w:val="36"/>
          <w:szCs w:val="36"/>
          <w:u w:val="single"/>
          <w:lang w:val="es-ES"/>
        </w:rPr>
      </w:pPr>
      <w:r w:rsidRPr="00410D48">
        <w:rPr>
          <w:rFonts w:ascii="Book Antiqua" w:hAnsi="Book Antiqua"/>
          <w:b/>
          <w:bCs/>
          <w:sz w:val="36"/>
          <w:szCs w:val="36"/>
          <w:u w:val="single"/>
          <w:lang w:val="es-ES"/>
        </w:rPr>
        <w:t>ENTIRILLADO ELECTRÓNICO</w:t>
      </w:r>
    </w:p>
    <w:p w14:paraId="0A759393" w14:textId="6D28343B" w:rsidR="00160183" w:rsidRPr="00410D48" w:rsidRDefault="00F84D54" w:rsidP="00F030AC">
      <w:pPr>
        <w:jc w:val="center"/>
        <w:rPr>
          <w:rFonts w:ascii="Book Antiqua" w:hAnsi="Book Antiqua"/>
          <w:sz w:val="36"/>
          <w:szCs w:val="36"/>
          <w:lang w:val="es-ES"/>
        </w:rPr>
      </w:pPr>
      <w:r w:rsidRPr="00410D48">
        <w:rPr>
          <w:rFonts w:ascii="Book Antiqua" w:hAnsi="Book Antiqua"/>
          <w:sz w:val="36"/>
          <w:szCs w:val="36"/>
          <w:lang w:val="es-ES"/>
        </w:rPr>
        <w:t>GOBIERNO DE PUERTO RICO</w:t>
      </w:r>
    </w:p>
    <w:p w14:paraId="5BAB24B9" w14:textId="77777777" w:rsidR="00160183" w:rsidRPr="00410D48" w:rsidRDefault="00160183" w:rsidP="00160183">
      <w:pPr>
        <w:jc w:val="both"/>
        <w:rPr>
          <w:rFonts w:ascii="Book Antiqua" w:hAnsi="Book Antiqua"/>
          <w:lang w:val="es-ES"/>
        </w:rPr>
      </w:pPr>
    </w:p>
    <w:p w14:paraId="4FACC17F" w14:textId="77777777" w:rsidR="00160183" w:rsidRPr="00410D48" w:rsidRDefault="00453483" w:rsidP="00160183">
      <w:pPr>
        <w:pStyle w:val="Title2"/>
        <w:tabs>
          <w:tab w:val="left" w:pos="7569"/>
        </w:tabs>
        <w:jc w:val="both"/>
        <w:rPr>
          <w:rFonts w:ascii="Book Antiqua" w:hAnsi="Book Antiqua"/>
          <w:lang w:val="es-ES"/>
        </w:rPr>
      </w:pPr>
      <w:r w:rsidRPr="00410D48">
        <w:rPr>
          <w:rFonts w:ascii="Book Antiqua" w:hAnsi="Book Antiqua"/>
          <w:lang w:val="es-ES"/>
        </w:rPr>
        <w:t>20</w:t>
      </w:r>
      <w:r w:rsidR="00160183" w:rsidRPr="00410D48">
        <w:rPr>
          <w:rFonts w:ascii="Book Antiqua" w:hAnsi="Book Antiqua"/>
          <w:lang w:val="es-ES"/>
        </w:rPr>
        <w:t xml:space="preserve"> </w:t>
      </w:r>
      <w:r w:rsidRPr="00410D48">
        <w:rPr>
          <w:rFonts w:ascii="Book Antiqua" w:hAnsi="Book Antiqua"/>
          <w:vertAlign w:val="superscript"/>
          <w:lang w:val="es-ES"/>
        </w:rPr>
        <w:t>m</w:t>
      </w:r>
      <w:r w:rsidR="00160183" w:rsidRPr="00410D48">
        <w:rPr>
          <w:rFonts w:ascii="Book Antiqua" w:hAnsi="Book Antiqua"/>
          <w:vertAlign w:val="superscript"/>
          <w:lang w:val="es-ES"/>
        </w:rPr>
        <w:t>a</w:t>
      </w:r>
      <w:r w:rsidR="00F1467F" w:rsidRPr="00410D48">
        <w:rPr>
          <w:rFonts w:ascii="Book Antiqua" w:hAnsi="Book Antiqua"/>
          <w:vertAlign w:val="superscript"/>
          <w:lang w:val="es-ES"/>
        </w:rPr>
        <w:t>.</w:t>
      </w:r>
      <w:r w:rsidR="00160183" w:rsidRPr="00410D48">
        <w:rPr>
          <w:rFonts w:ascii="Book Antiqua" w:hAnsi="Book Antiqua"/>
          <w:lang w:val="es-ES"/>
        </w:rPr>
        <w:tab/>
        <w:t>Asamblea</w:t>
      </w:r>
      <w:r w:rsidR="00160183" w:rsidRPr="00410D48">
        <w:rPr>
          <w:rFonts w:ascii="Book Antiqua" w:hAnsi="Book Antiqua"/>
          <w:lang w:val="es-ES"/>
        </w:rPr>
        <w:tab/>
      </w:r>
      <w:r w:rsidR="00877258" w:rsidRPr="00410D48">
        <w:rPr>
          <w:rFonts w:ascii="Book Antiqua" w:hAnsi="Book Antiqua"/>
          <w:lang w:val="es-ES"/>
        </w:rPr>
        <w:t>2</w:t>
      </w:r>
      <w:r w:rsidR="00160183" w:rsidRPr="00410D48">
        <w:rPr>
          <w:rFonts w:ascii="Book Antiqua" w:hAnsi="Book Antiqua"/>
          <w:lang w:val="es-ES"/>
        </w:rPr>
        <w:tab/>
        <w:t xml:space="preserve"> </w:t>
      </w:r>
      <w:r w:rsidR="00877258" w:rsidRPr="00410D48">
        <w:rPr>
          <w:rFonts w:ascii="Book Antiqua" w:hAnsi="Book Antiqua"/>
          <w:vertAlign w:val="superscript"/>
          <w:lang w:val="es-ES"/>
        </w:rPr>
        <w:t>da</w:t>
      </w:r>
      <w:r w:rsidR="00F1467F" w:rsidRPr="00410D48">
        <w:rPr>
          <w:rFonts w:ascii="Book Antiqua" w:hAnsi="Book Antiqua"/>
          <w:vertAlign w:val="superscript"/>
          <w:lang w:val="es-ES"/>
        </w:rPr>
        <w:t>.</w:t>
      </w:r>
      <w:r w:rsidR="00877258" w:rsidRPr="00410D48">
        <w:rPr>
          <w:rFonts w:ascii="Book Antiqua" w:hAnsi="Book Antiqua"/>
          <w:lang w:val="es-ES"/>
        </w:rPr>
        <w:t xml:space="preserve"> </w:t>
      </w:r>
      <w:r w:rsidR="00160183" w:rsidRPr="00410D48">
        <w:rPr>
          <w:rFonts w:ascii="Book Antiqua" w:hAnsi="Book Antiqua"/>
          <w:lang w:val="es-ES"/>
        </w:rPr>
        <w:t>Sesión</w:t>
      </w:r>
    </w:p>
    <w:p w14:paraId="3187FB61" w14:textId="77777777" w:rsidR="00160183" w:rsidRPr="00410D48" w:rsidRDefault="00160183" w:rsidP="00160183">
      <w:pPr>
        <w:pStyle w:val="Title2"/>
        <w:jc w:val="both"/>
        <w:rPr>
          <w:rFonts w:ascii="Book Antiqua" w:hAnsi="Book Antiqua"/>
          <w:lang w:val="es-ES"/>
        </w:rPr>
      </w:pPr>
      <w:r w:rsidRPr="00410D48">
        <w:rPr>
          <w:rFonts w:ascii="Book Antiqua" w:hAnsi="Book Antiqua"/>
          <w:lang w:val="es-ES"/>
        </w:rPr>
        <w:tab/>
        <w:t>Legislativa</w:t>
      </w:r>
      <w:r w:rsidRPr="00410D48">
        <w:rPr>
          <w:rFonts w:ascii="Book Antiqua" w:hAnsi="Book Antiqua"/>
          <w:lang w:val="es-ES"/>
        </w:rPr>
        <w:tab/>
      </w:r>
      <w:r w:rsidRPr="00410D48">
        <w:rPr>
          <w:rFonts w:ascii="Book Antiqua" w:hAnsi="Book Antiqua"/>
          <w:lang w:val="es-ES"/>
        </w:rPr>
        <w:tab/>
      </w:r>
      <w:r w:rsidR="00F1467F" w:rsidRPr="00410D48">
        <w:rPr>
          <w:rFonts w:ascii="Book Antiqua" w:hAnsi="Book Antiqua"/>
          <w:lang w:val="es-ES"/>
        </w:rPr>
        <w:t xml:space="preserve">   </w:t>
      </w:r>
      <w:r w:rsidRPr="00410D48">
        <w:rPr>
          <w:rFonts w:ascii="Book Antiqua" w:hAnsi="Book Antiqua"/>
          <w:lang w:val="es-ES"/>
        </w:rPr>
        <w:t>Ordinaria</w:t>
      </w:r>
    </w:p>
    <w:p w14:paraId="48C394B3" w14:textId="77777777" w:rsidR="00160183" w:rsidRPr="00410D48" w:rsidRDefault="00160183" w:rsidP="00160183">
      <w:pPr>
        <w:jc w:val="both"/>
        <w:rPr>
          <w:rFonts w:ascii="Book Antiqua" w:hAnsi="Book Antiqua"/>
          <w:lang w:val="es-ES"/>
        </w:rPr>
      </w:pPr>
    </w:p>
    <w:p w14:paraId="122C766A" w14:textId="77777777" w:rsidR="00160183" w:rsidRPr="00410D48" w:rsidRDefault="00160183" w:rsidP="00160183">
      <w:pPr>
        <w:jc w:val="center"/>
        <w:rPr>
          <w:rFonts w:ascii="Book Antiqua" w:hAnsi="Book Antiqua"/>
          <w:b/>
          <w:sz w:val="36"/>
          <w:szCs w:val="36"/>
          <w:lang w:val="es-ES"/>
        </w:rPr>
      </w:pPr>
      <w:r w:rsidRPr="00410D48">
        <w:rPr>
          <w:rFonts w:ascii="Book Antiqua" w:hAnsi="Book Antiqua"/>
          <w:b/>
          <w:sz w:val="36"/>
          <w:szCs w:val="36"/>
          <w:lang w:val="es-ES"/>
        </w:rPr>
        <w:t>SENADO DE PUERTO RICO</w:t>
      </w:r>
    </w:p>
    <w:p w14:paraId="4EC77CC0" w14:textId="77777777" w:rsidR="00160183" w:rsidRPr="00410D48" w:rsidRDefault="0034766F" w:rsidP="00160183">
      <w:pPr>
        <w:spacing w:before="240"/>
        <w:jc w:val="center"/>
        <w:rPr>
          <w:rFonts w:ascii="Book Antiqua" w:hAnsi="Book Antiqua"/>
          <w:b/>
          <w:sz w:val="52"/>
          <w:szCs w:val="52"/>
          <w:lang w:val="es-ES"/>
        </w:rPr>
      </w:pPr>
      <w:r w:rsidRPr="00410D48">
        <w:rPr>
          <w:rFonts w:ascii="Book Antiqua" w:hAnsi="Book Antiqua"/>
          <w:b/>
          <w:sz w:val="52"/>
          <w:szCs w:val="52"/>
          <w:lang w:val="es-ES"/>
        </w:rPr>
        <w:t>P</w:t>
      </w:r>
      <w:r w:rsidR="00160183" w:rsidRPr="00410D48">
        <w:rPr>
          <w:rFonts w:ascii="Book Antiqua" w:hAnsi="Book Antiqua"/>
          <w:b/>
          <w:sz w:val="52"/>
          <w:szCs w:val="52"/>
          <w:lang w:val="es-ES"/>
        </w:rPr>
        <w:t>.</w:t>
      </w:r>
      <w:r w:rsidR="00490E1F" w:rsidRPr="00410D48">
        <w:rPr>
          <w:rFonts w:ascii="Book Antiqua" w:hAnsi="Book Antiqua"/>
          <w:b/>
          <w:sz w:val="52"/>
          <w:szCs w:val="52"/>
          <w:lang w:val="es-ES"/>
        </w:rPr>
        <w:t xml:space="preserve"> </w:t>
      </w:r>
      <w:r w:rsidR="00160183" w:rsidRPr="00410D48">
        <w:rPr>
          <w:rFonts w:ascii="Book Antiqua" w:hAnsi="Book Antiqua"/>
          <w:b/>
          <w:sz w:val="52"/>
          <w:szCs w:val="52"/>
          <w:lang w:val="es-ES"/>
        </w:rPr>
        <w:t>del S.</w:t>
      </w:r>
      <w:r w:rsidR="003E4CC9" w:rsidRPr="00410D48">
        <w:rPr>
          <w:rFonts w:ascii="Book Antiqua" w:hAnsi="Book Antiqua"/>
          <w:b/>
          <w:sz w:val="52"/>
          <w:szCs w:val="52"/>
          <w:lang w:val="es-ES"/>
        </w:rPr>
        <w:t xml:space="preserve"> </w:t>
      </w:r>
      <w:r w:rsidR="007F3486" w:rsidRPr="00410D48">
        <w:rPr>
          <w:rFonts w:ascii="Book Antiqua" w:hAnsi="Book Antiqua"/>
          <w:b/>
          <w:sz w:val="52"/>
          <w:szCs w:val="52"/>
          <w:lang w:val="es-ES"/>
        </w:rPr>
        <w:t>788</w:t>
      </w:r>
    </w:p>
    <w:p w14:paraId="5609AD16" w14:textId="77777777" w:rsidR="00160183" w:rsidRPr="00410D48" w:rsidRDefault="007F3486" w:rsidP="00160183">
      <w:pPr>
        <w:spacing w:before="120"/>
        <w:jc w:val="center"/>
        <w:rPr>
          <w:rFonts w:ascii="Book Antiqua" w:hAnsi="Book Antiqua"/>
          <w:lang w:val="es-ES"/>
        </w:rPr>
      </w:pPr>
      <w:r w:rsidRPr="00410D48">
        <w:rPr>
          <w:rFonts w:ascii="Book Antiqua" w:hAnsi="Book Antiqua"/>
          <w:lang w:val="es-ES"/>
        </w:rPr>
        <w:t>15</w:t>
      </w:r>
      <w:r w:rsidR="003E4CC9" w:rsidRPr="00410D48">
        <w:rPr>
          <w:rFonts w:ascii="Book Antiqua" w:hAnsi="Book Antiqua"/>
          <w:lang w:val="es-ES"/>
        </w:rPr>
        <w:t xml:space="preserve"> </w:t>
      </w:r>
      <w:r w:rsidR="00160183" w:rsidRPr="00410D48">
        <w:rPr>
          <w:rFonts w:ascii="Book Antiqua" w:hAnsi="Book Antiqua"/>
          <w:lang w:val="es-ES"/>
        </w:rPr>
        <w:t xml:space="preserve">de </w:t>
      </w:r>
      <w:r w:rsidR="00AD4FC7" w:rsidRPr="00410D48">
        <w:rPr>
          <w:rFonts w:ascii="Book Antiqua" w:hAnsi="Book Antiqua"/>
          <w:lang w:val="es-ES"/>
        </w:rPr>
        <w:t>octubre</w:t>
      </w:r>
      <w:r w:rsidR="00160183" w:rsidRPr="00410D48">
        <w:rPr>
          <w:rFonts w:ascii="Book Antiqua" w:hAnsi="Book Antiqua"/>
          <w:lang w:val="es-ES"/>
        </w:rPr>
        <w:t xml:space="preserve"> de 20</w:t>
      </w:r>
      <w:r w:rsidR="00294499" w:rsidRPr="00410D48">
        <w:rPr>
          <w:rFonts w:ascii="Book Antiqua" w:hAnsi="Book Antiqua"/>
          <w:lang w:val="es-ES"/>
        </w:rPr>
        <w:t>2</w:t>
      </w:r>
      <w:r w:rsidR="00453483" w:rsidRPr="00410D48">
        <w:rPr>
          <w:rFonts w:ascii="Book Antiqua" w:hAnsi="Book Antiqua"/>
          <w:lang w:val="es-ES"/>
        </w:rPr>
        <w:t>5</w:t>
      </w:r>
    </w:p>
    <w:p w14:paraId="4C420EF1" w14:textId="77777777" w:rsidR="00160183" w:rsidRPr="00410D48" w:rsidRDefault="00160183" w:rsidP="00160183">
      <w:pPr>
        <w:spacing w:before="120"/>
        <w:jc w:val="center"/>
        <w:rPr>
          <w:rFonts w:ascii="Book Antiqua" w:hAnsi="Book Antiqua"/>
          <w:i/>
          <w:lang w:val="es-ES"/>
        </w:rPr>
      </w:pPr>
      <w:r w:rsidRPr="00410D48">
        <w:rPr>
          <w:rFonts w:ascii="Book Antiqua" w:hAnsi="Book Antiqua"/>
          <w:lang w:val="es-ES"/>
        </w:rPr>
        <w:t>Presentad</w:t>
      </w:r>
      <w:r w:rsidR="00F1467F" w:rsidRPr="00410D48">
        <w:rPr>
          <w:rFonts w:ascii="Book Antiqua" w:hAnsi="Book Antiqua"/>
          <w:lang w:val="es-ES"/>
        </w:rPr>
        <w:t>o</w:t>
      </w:r>
      <w:r w:rsidRPr="00410D48">
        <w:rPr>
          <w:rFonts w:ascii="Book Antiqua" w:hAnsi="Book Antiqua"/>
          <w:lang w:val="es-ES"/>
        </w:rPr>
        <w:t xml:space="preserve"> por </w:t>
      </w:r>
      <w:r w:rsidR="005A568C" w:rsidRPr="00410D48">
        <w:rPr>
          <w:rFonts w:ascii="Book Antiqua" w:hAnsi="Book Antiqua"/>
          <w:lang w:val="es-ES"/>
        </w:rPr>
        <w:t>el</w:t>
      </w:r>
      <w:r w:rsidRPr="00410D48">
        <w:rPr>
          <w:rFonts w:ascii="Book Antiqua" w:hAnsi="Book Antiqua"/>
          <w:lang w:val="es-ES"/>
        </w:rPr>
        <w:t xml:space="preserve"> señor </w:t>
      </w:r>
      <w:r w:rsidR="005A568C" w:rsidRPr="00410D48">
        <w:rPr>
          <w:rFonts w:ascii="Book Antiqua" w:hAnsi="Book Antiqua"/>
          <w:i/>
          <w:lang w:val="es-ES"/>
        </w:rPr>
        <w:t>Reyes Berríos</w:t>
      </w:r>
    </w:p>
    <w:p w14:paraId="1D440740" w14:textId="77777777" w:rsidR="00F1467F" w:rsidRPr="00410D48" w:rsidRDefault="00160183" w:rsidP="00F1467F">
      <w:pPr>
        <w:spacing w:before="120"/>
        <w:jc w:val="center"/>
        <w:rPr>
          <w:rFonts w:ascii="Book Antiqua" w:hAnsi="Book Antiqua"/>
          <w:i/>
          <w:iCs/>
          <w:lang w:val="es-PR"/>
        </w:rPr>
      </w:pPr>
      <w:r w:rsidRPr="00410D48">
        <w:rPr>
          <w:rFonts w:ascii="Book Antiqua" w:hAnsi="Book Antiqua"/>
          <w:i/>
          <w:lang w:val="es-ES"/>
        </w:rPr>
        <w:t>Referid</w:t>
      </w:r>
      <w:r w:rsidR="00F1467F" w:rsidRPr="00410D48">
        <w:rPr>
          <w:rFonts w:ascii="Book Antiqua" w:hAnsi="Book Antiqua"/>
          <w:i/>
          <w:lang w:val="es-ES"/>
        </w:rPr>
        <w:t>o</w:t>
      </w:r>
      <w:r w:rsidRPr="00410D48">
        <w:rPr>
          <w:rFonts w:ascii="Book Antiqua" w:hAnsi="Book Antiqua"/>
          <w:i/>
          <w:lang w:val="es-ES"/>
        </w:rPr>
        <w:t xml:space="preserve"> a</w:t>
      </w:r>
      <w:r w:rsidR="00F1467F" w:rsidRPr="00410D48">
        <w:rPr>
          <w:rFonts w:ascii="Book Antiqua" w:hAnsi="Book Antiqua"/>
          <w:i/>
          <w:lang w:val="es-ES"/>
        </w:rPr>
        <w:t xml:space="preserve"> las Comisiones de</w:t>
      </w:r>
      <w:r w:rsidR="00F1467F" w:rsidRPr="00410D48">
        <w:rPr>
          <w:rFonts w:ascii="Book Antiqua" w:hAnsi="Book Antiqua"/>
          <w:i/>
          <w:iCs/>
          <w:lang w:val="es-419"/>
        </w:rPr>
        <w:t xml:space="preserve"> Transportación, Telecomunicaciones, Servicios Públicos y Asuntos del Consumidor; y de</w:t>
      </w:r>
      <w:r w:rsidR="00F1467F" w:rsidRPr="00410D48">
        <w:rPr>
          <w:rFonts w:ascii="Book Antiqua" w:hAnsi="Book Antiqua"/>
          <w:i/>
          <w:iCs/>
          <w:lang w:val="es-PR"/>
        </w:rPr>
        <w:t xml:space="preserve"> Ciencia, Tecnología e Inteligencia Artificial</w:t>
      </w:r>
    </w:p>
    <w:p w14:paraId="55D6D19B" w14:textId="77777777" w:rsidR="00160183" w:rsidRPr="00410D48" w:rsidRDefault="00F1467F" w:rsidP="00F1467F">
      <w:pPr>
        <w:spacing w:before="360" w:line="360" w:lineRule="auto"/>
        <w:jc w:val="center"/>
        <w:rPr>
          <w:rFonts w:ascii="Book Antiqua" w:hAnsi="Book Antiqua"/>
          <w:b/>
          <w:lang w:val="es-ES"/>
        </w:rPr>
      </w:pPr>
      <w:r w:rsidRPr="00410D48">
        <w:rPr>
          <w:rFonts w:ascii="Book Antiqua" w:hAnsi="Book Antiqua"/>
          <w:i/>
          <w:iCs/>
          <w:lang w:val="es-419"/>
        </w:rPr>
        <w:t xml:space="preserve"> </w:t>
      </w:r>
      <w:r w:rsidRPr="00410D48">
        <w:rPr>
          <w:rFonts w:ascii="Book Antiqua" w:hAnsi="Book Antiqua"/>
          <w:i/>
          <w:lang w:val="es-ES"/>
        </w:rPr>
        <w:t xml:space="preserve"> </w:t>
      </w:r>
      <w:r w:rsidR="0034766F" w:rsidRPr="00410D48">
        <w:rPr>
          <w:rFonts w:ascii="Book Antiqua" w:hAnsi="Book Antiqua"/>
          <w:b/>
          <w:lang w:val="es-ES"/>
        </w:rPr>
        <w:t>LEY</w:t>
      </w:r>
    </w:p>
    <w:p w14:paraId="2D33F95B" w14:textId="77777777" w:rsidR="00160183" w:rsidRPr="00410D48" w:rsidRDefault="00160183" w:rsidP="00160183">
      <w:pPr>
        <w:jc w:val="both"/>
        <w:rPr>
          <w:rFonts w:ascii="Book Antiqua" w:hAnsi="Book Antiqua"/>
          <w:sz w:val="8"/>
          <w:szCs w:val="8"/>
          <w:lang w:val="es-ES"/>
        </w:rPr>
      </w:pPr>
    </w:p>
    <w:p w14:paraId="3DF1EDED" w14:textId="60EE351C" w:rsidR="00E9410A" w:rsidRPr="00410D48" w:rsidRDefault="00AD4FC7" w:rsidP="007F3486">
      <w:pPr>
        <w:ind w:left="605" w:hanging="605"/>
        <w:jc w:val="both"/>
        <w:rPr>
          <w:rFonts w:ascii="Book Antiqua" w:hAnsi="Book Antiqua" w:cs="Arial"/>
          <w:bdr w:val="none" w:sz="0" w:space="0" w:color="auto" w:frame="1"/>
          <w:lang w:val="es-PR"/>
        </w:rPr>
      </w:pPr>
      <w:r w:rsidRPr="00410D48">
        <w:rPr>
          <w:rFonts w:ascii="Book Antiqua" w:hAnsi="Book Antiqua"/>
          <w:lang w:val="es-PR"/>
        </w:rPr>
        <w:t xml:space="preserve">Para enmendar los </w:t>
      </w:r>
      <w:r w:rsidRPr="00410D48">
        <w:rPr>
          <w:rFonts w:ascii="Book Antiqua" w:hAnsi="Book Antiqua"/>
          <w:strike/>
          <w:lang w:val="es-PR"/>
        </w:rPr>
        <w:t>Artículos</w:t>
      </w:r>
      <w:r w:rsidRPr="00410D48">
        <w:rPr>
          <w:rStyle w:val="apple-converted-space"/>
          <w:rFonts w:ascii="Book Antiqua" w:hAnsi="Book Antiqua"/>
          <w:lang w:val="es-PR"/>
        </w:rPr>
        <w:t> </w:t>
      </w:r>
      <w:r w:rsidR="00F60AF8" w:rsidRPr="00410D48">
        <w:rPr>
          <w:rStyle w:val="apple-converted-space"/>
          <w:rFonts w:ascii="Book Antiqua" w:hAnsi="Book Antiqua"/>
          <w:i/>
          <w:iCs/>
          <w:u w:val="single"/>
          <w:lang w:val="es-PR"/>
        </w:rPr>
        <w:t>artículos</w:t>
      </w:r>
      <w:r w:rsidR="00F60AF8" w:rsidRPr="00410D48">
        <w:rPr>
          <w:rStyle w:val="apple-converted-space"/>
          <w:rFonts w:ascii="Book Antiqua" w:hAnsi="Book Antiqua"/>
          <w:lang w:val="es-PR"/>
        </w:rPr>
        <w:t xml:space="preserve"> </w:t>
      </w:r>
      <w:r w:rsidRPr="00410D48">
        <w:rPr>
          <w:rStyle w:val="Strong"/>
          <w:rFonts w:ascii="Book Antiqua" w:hAnsi="Book Antiqua"/>
          <w:b w:val="0"/>
          <w:bCs w:val="0"/>
          <w:lang w:val="es-PR"/>
        </w:rPr>
        <w:t>1.78, 2.13, 2.14</w:t>
      </w:r>
      <w:r w:rsidRPr="00410D48">
        <w:rPr>
          <w:rStyle w:val="Strong"/>
          <w:rFonts w:ascii="Book Antiqua" w:hAnsi="Book Antiqua"/>
          <w:b w:val="0"/>
          <w:bCs w:val="0"/>
          <w:strike/>
          <w:lang w:val="es-PR"/>
        </w:rPr>
        <w:t xml:space="preserve">, 2.15, 2.17, 2.44 y </w:t>
      </w:r>
      <w:r w:rsidRPr="00410D48">
        <w:rPr>
          <w:rFonts w:ascii="Book Antiqua" w:hAnsi="Book Antiqua"/>
          <w:strike/>
          <w:lang w:val="es-PR"/>
        </w:rPr>
        <w:t>los incisos (c) y (v) del Artículo</w:t>
      </w:r>
      <w:r w:rsidRPr="00410D48">
        <w:rPr>
          <w:rStyle w:val="Strong"/>
          <w:rFonts w:ascii="Book Antiqua" w:hAnsi="Book Antiqua"/>
          <w:b w:val="0"/>
          <w:bCs w:val="0"/>
          <w:lang w:val="es-PR"/>
        </w:rPr>
        <w:t xml:space="preserve"> </w:t>
      </w:r>
      <w:r w:rsidR="00F60AF8" w:rsidRPr="00410D48">
        <w:rPr>
          <w:rStyle w:val="Strong"/>
          <w:rFonts w:ascii="Book Antiqua" w:hAnsi="Book Antiqua"/>
          <w:b w:val="0"/>
          <w:bCs w:val="0"/>
          <w:i/>
          <w:iCs/>
          <w:u w:val="single"/>
          <w:lang w:val="es-PR"/>
        </w:rPr>
        <w:t>y</w:t>
      </w:r>
      <w:r w:rsidR="00F60AF8" w:rsidRPr="00410D48">
        <w:rPr>
          <w:rStyle w:val="Strong"/>
          <w:rFonts w:ascii="Book Antiqua" w:hAnsi="Book Antiqua"/>
          <w:b w:val="0"/>
          <w:bCs w:val="0"/>
          <w:lang w:val="es-PR"/>
        </w:rPr>
        <w:t xml:space="preserve"> </w:t>
      </w:r>
      <w:r w:rsidRPr="00410D48">
        <w:rPr>
          <w:rStyle w:val="Strong"/>
          <w:rFonts w:ascii="Book Antiqua" w:hAnsi="Book Antiqua"/>
          <w:b w:val="0"/>
          <w:bCs w:val="0"/>
          <w:lang w:val="es-PR"/>
        </w:rPr>
        <w:t>2.48</w:t>
      </w:r>
      <w:r w:rsidRPr="00410D48">
        <w:rPr>
          <w:rStyle w:val="apple-converted-space"/>
          <w:rFonts w:ascii="Book Antiqua" w:hAnsi="Book Antiqua"/>
          <w:b/>
          <w:bCs/>
          <w:lang w:val="es-PR"/>
        </w:rPr>
        <w:t> </w:t>
      </w:r>
      <w:r w:rsidRPr="00410D48">
        <w:rPr>
          <w:rFonts w:ascii="Book Antiqua" w:hAnsi="Book Antiqua"/>
          <w:lang w:val="es-PR"/>
        </w:rPr>
        <w:t>de la</w:t>
      </w:r>
      <w:r w:rsidRPr="00410D48">
        <w:rPr>
          <w:rStyle w:val="apple-converted-space"/>
          <w:rFonts w:ascii="Book Antiqua" w:hAnsi="Book Antiqua"/>
          <w:b/>
          <w:bCs/>
          <w:lang w:val="es-PR"/>
        </w:rPr>
        <w:t> </w:t>
      </w:r>
      <w:r w:rsidRPr="00410D48">
        <w:rPr>
          <w:rStyle w:val="Strong"/>
          <w:rFonts w:ascii="Book Antiqua" w:hAnsi="Book Antiqua"/>
          <w:b w:val="0"/>
          <w:bCs w:val="0"/>
          <w:lang w:val="es-PR"/>
        </w:rPr>
        <w:t>Ley 22-2000,</w:t>
      </w:r>
      <w:r w:rsidR="00F60AF8" w:rsidRPr="00410D48">
        <w:rPr>
          <w:rStyle w:val="Strong"/>
          <w:rFonts w:ascii="Book Antiqua" w:hAnsi="Book Antiqua"/>
          <w:b w:val="0"/>
          <w:bCs w:val="0"/>
          <w:lang w:val="es-PR"/>
        </w:rPr>
        <w:t xml:space="preserve"> </w:t>
      </w:r>
      <w:r w:rsidR="00F60AF8" w:rsidRPr="00410D48">
        <w:rPr>
          <w:rStyle w:val="Strong"/>
          <w:rFonts w:ascii="Book Antiqua" w:hAnsi="Book Antiqua"/>
          <w:b w:val="0"/>
          <w:bCs w:val="0"/>
          <w:i/>
          <w:iCs/>
          <w:u w:val="single"/>
          <w:lang w:val="es-PR"/>
        </w:rPr>
        <w:t>según enmendada,</w:t>
      </w:r>
      <w:r w:rsidRPr="00410D48">
        <w:rPr>
          <w:rStyle w:val="Strong"/>
          <w:rFonts w:ascii="Book Antiqua" w:hAnsi="Book Antiqua"/>
          <w:b w:val="0"/>
          <w:bCs w:val="0"/>
          <w:lang w:val="es-PR"/>
        </w:rPr>
        <w:t xml:space="preserve"> conocida como “Ley de Vehículos y Tránsito de Puerto Rico”</w:t>
      </w:r>
      <w:r w:rsidRPr="00410D48">
        <w:rPr>
          <w:rFonts w:ascii="Book Antiqua" w:hAnsi="Book Antiqua"/>
          <w:lang w:val="es-PR"/>
        </w:rPr>
        <w:t>, a los fines de autorizar al Departamento de Transportación y Obras Públicas (DTOP) a emitir, mantener y validar digitalmente los permisos de vehículos de motor, arrastres y semiarrastres mediante la plataforma</w:t>
      </w:r>
      <w:r w:rsidRPr="00410D48">
        <w:rPr>
          <w:rStyle w:val="apple-converted-space"/>
          <w:rFonts w:ascii="Book Antiqua" w:hAnsi="Book Antiqua"/>
          <w:lang w:val="es-PR"/>
        </w:rPr>
        <w:t> </w:t>
      </w:r>
      <w:r w:rsidRPr="00410D48">
        <w:rPr>
          <w:rStyle w:val="Emphasis"/>
          <w:rFonts w:ascii="Book Antiqua" w:hAnsi="Book Antiqua"/>
          <w:i w:val="0"/>
          <w:iCs w:val="0"/>
          <w:lang w:val="es-PR"/>
        </w:rPr>
        <w:t>Cesco Digital</w:t>
      </w:r>
      <w:r w:rsidR="005F132C" w:rsidRPr="00410D48">
        <w:rPr>
          <w:rStyle w:val="Emphasis"/>
          <w:rFonts w:ascii="Book Antiqua" w:hAnsi="Book Antiqua"/>
          <w:i w:val="0"/>
          <w:iCs w:val="0"/>
          <w:lang w:val="es-PR"/>
        </w:rPr>
        <w:t xml:space="preserve"> u otra plataforma autorizada por </w:t>
      </w:r>
      <w:r w:rsidR="005F132C" w:rsidRPr="00410D48">
        <w:rPr>
          <w:rStyle w:val="Emphasis"/>
          <w:rFonts w:ascii="Book Antiqua" w:hAnsi="Book Antiqua"/>
          <w:i w:val="0"/>
          <w:iCs w:val="0"/>
          <w:strike/>
          <w:lang w:val="es-PR"/>
        </w:rPr>
        <w:t>el Departamento de Transportación y Obras Públicas</w:t>
      </w:r>
      <w:r w:rsidR="00F60AF8" w:rsidRPr="00410D48">
        <w:rPr>
          <w:rStyle w:val="Emphasis"/>
          <w:rFonts w:ascii="Book Antiqua" w:hAnsi="Book Antiqua"/>
          <w:i w:val="0"/>
          <w:iCs w:val="0"/>
          <w:lang w:val="es-PR"/>
        </w:rPr>
        <w:t xml:space="preserve"> </w:t>
      </w:r>
      <w:r w:rsidR="00F60AF8" w:rsidRPr="00410D48">
        <w:rPr>
          <w:rStyle w:val="Emphasis"/>
          <w:rFonts w:ascii="Book Antiqua" w:hAnsi="Book Antiqua"/>
          <w:u w:val="single"/>
          <w:lang w:val="es-PR"/>
        </w:rPr>
        <w:t>dicha Agencia</w:t>
      </w:r>
      <w:r w:rsidRPr="00410D48">
        <w:rPr>
          <w:rFonts w:ascii="Book Antiqua" w:hAnsi="Book Antiqua"/>
          <w:lang w:val="es-PR"/>
        </w:rPr>
        <w:t>; disponer que dichos permisos digitales tendrán la misma validez que los permisos físicos; y para otros fines relacionados.</w:t>
      </w:r>
    </w:p>
    <w:p w14:paraId="05417D16" w14:textId="77777777" w:rsidR="005F132C" w:rsidRPr="00410D48" w:rsidRDefault="005F132C" w:rsidP="005F132C">
      <w:pPr>
        <w:ind w:left="600" w:hanging="600"/>
        <w:jc w:val="both"/>
        <w:rPr>
          <w:rFonts w:ascii="Book Antiqua" w:hAnsi="Book Antiqua" w:cs="Arial"/>
          <w:bdr w:val="none" w:sz="0" w:space="0" w:color="auto" w:frame="1"/>
          <w:lang w:val="es-PR"/>
        </w:rPr>
      </w:pPr>
    </w:p>
    <w:p w14:paraId="3C685C41" w14:textId="77777777" w:rsidR="00B40593" w:rsidRPr="00410D48" w:rsidRDefault="00160183" w:rsidP="00B40593">
      <w:pPr>
        <w:spacing w:line="360" w:lineRule="auto"/>
        <w:jc w:val="center"/>
        <w:rPr>
          <w:rFonts w:ascii="Book Antiqua" w:hAnsi="Book Antiqua"/>
          <w:b/>
          <w:lang w:val="es-ES"/>
        </w:rPr>
      </w:pPr>
      <w:r w:rsidRPr="00410D48">
        <w:rPr>
          <w:rFonts w:ascii="Book Antiqua" w:hAnsi="Book Antiqua"/>
          <w:b/>
          <w:lang w:val="es-ES"/>
        </w:rPr>
        <w:t>EXPOSICI</w:t>
      </w:r>
      <w:r w:rsidR="001C01A2" w:rsidRPr="00410D48">
        <w:rPr>
          <w:rFonts w:ascii="Book Antiqua" w:hAnsi="Book Antiqua"/>
          <w:b/>
          <w:lang w:val="es-ES"/>
        </w:rPr>
        <w:t>Ó</w:t>
      </w:r>
      <w:r w:rsidRPr="00410D48">
        <w:rPr>
          <w:rFonts w:ascii="Book Antiqua" w:hAnsi="Book Antiqua"/>
          <w:b/>
          <w:lang w:val="es-ES"/>
        </w:rPr>
        <w:t>N DE MOTIVOS</w:t>
      </w:r>
    </w:p>
    <w:p w14:paraId="0ED41728" w14:textId="0178F633" w:rsidR="00371111" w:rsidRPr="00410D48" w:rsidRDefault="00AD4FC7" w:rsidP="000F756C">
      <w:pPr>
        <w:pStyle w:val="NormalWeb"/>
        <w:spacing w:before="0" w:beforeAutospacing="0" w:after="240" w:afterAutospacing="0" w:line="360" w:lineRule="auto"/>
        <w:ind w:firstLine="720"/>
        <w:jc w:val="both"/>
        <w:rPr>
          <w:rFonts w:ascii="Book Antiqua" w:hAnsi="Book Antiqua"/>
          <w:lang w:val="es-PR"/>
        </w:rPr>
      </w:pPr>
      <w:r w:rsidRPr="00410D48">
        <w:rPr>
          <w:rFonts w:ascii="Book Antiqua" w:hAnsi="Book Antiqua"/>
          <w:lang w:val="es-PR"/>
        </w:rPr>
        <w:t xml:space="preserve">La tecnología ha transformado la gestión gubernamental y la relación del ciudadano con el Estado. En Puerto Rico, el Departamento de Transportación y Obras Públicas (DTOP) ha avanzado hacia la digitalización de trámites esenciales, particularmente a través de la plataforma Cesco Digital, donde los conductores pueden acceder a su licencia de conducir digital, conforme lo autorizado por la Ley 141-2020. No obstante, la legislación vigente aún limita la validez formal del permiso de vehículo de motor al documento físico, creando una disonancia normativa que impide reconocer plenamente los permisos digitales expedidos por el DTOP. Esta falta de equivalencia </w:t>
      </w:r>
      <w:r w:rsidRPr="00410D48">
        <w:rPr>
          <w:rFonts w:ascii="Book Antiqua" w:hAnsi="Book Antiqua"/>
          <w:lang w:val="es-PR"/>
        </w:rPr>
        <w:lastRenderedPageBreak/>
        <w:t xml:space="preserve">legal puede derivar en sanciones injustas a conductores que, aun cumpliendo con su obligación de renovación y pago de derechos, no porten copia física del permiso de vehículo. </w:t>
      </w:r>
    </w:p>
    <w:p w14:paraId="0AA80A59" w14:textId="0D57EF03" w:rsidR="003F1DF5" w:rsidRPr="00410D48" w:rsidRDefault="006F42DB" w:rsidP="000F756C">
      <w:pPr>
        <w:pStyle w:val="NormalWeb"/>
        <w:spacing w:before="0" w:beforeAutospacing="0" w:after="240" w:afterAutospacing="0" w:line="360" w:lineRule="auto"/>
        <w:ind w:firstLine="720"/>
        <w:jc w:val="both"/>
        <w:rPr>
          <w:rFonts w:ascii="Book Antiqua" w:hAnsi="Book Antiqua"/>
          <w:lang w:val="es-PR"/>
        </w:rPr>
      </w:pPr>
      <w:r w:rsidRPr="00410D48">
        <w:rPr>
          <w:rFonts w:ascii="Book Antiqua" w:hAnsi="Book Antiqua"/>
          <w:strike/>
          <w:lang w:val="es-PR"/>
        </w:rPr>
        <w:t>La presente medida</w:t>
      </w:r>
      <w:r w:rsidRPr="00410D48">
        <w:rPr>
          <w:rFonts w:ascii="Book Antiqua" w:hAnsi="Book Antiqua"/>
          <w:lang w:val="es-PR"/>
        </w:rPr>
        <w:t xml:space="preserve"> </w:t>
      </w:r>
      <w:r w:rsidR="00371111" w:rsidRPr="00410D48">
        <w:rPr>
          <w:rFonts w:ascii="Book Antiqua" w:hAnsi="Book Antiqua"/>
          <w:i/>
          <w:iCs/>
          <w:u w:val="single"/>
          <w:lang w:val="es-PR"/>
        </w:rPr>
        <w:t>Dicho lo anterior, e</w:t>
      </w:r>
      <w:r w:rsidR="00F60AF8" w:rsidRPr="00410D48">
        <w:rPr>
          <w:rFonts w:ascii="Book Antiqua" w:hAnsi="Book Antiqua"/>
          <w:i/>
          <w:iCs/>
          <w:u w:val="single"/>
          <w:lang w:val="es-PR"/>
        </w:rPr>
        <w:t>sta legislación</w:t>
      </w:r>
      <w:r w:rsidR="00F60AF8" w:rsidRPr="00410D48">
        <w:rPr>
          <w:rFonts w:ascii="Book Antiqua" w:hAnsi="Book Antiqua"/>
          <w:lang w:val="es-PR"/>
        </w:rPr>
        <w:t xml:space="preserve"> </w:t>
      </w:r>
      <w:r w:rsidR="00AD4FC7" w:rsidRPr="00410D48">
        <w:rPr>
          <w:rFonts w:ascii="Book Antiqua" w:hAnsi="Book Antiqua"/>
          <w:lang w:val="es-PR"/>
        </w:rPr>
        <w:t>busca armonizar la Ley 22-2000</w:t>
      </w:r>
      <w:r w:rsidR="00F60AF8" w:rsidRPr="00410D48">
        <w:rPr>
          <w:rFonts w:ascii="Book Antiqua" w:hAnsi="Book Antiqua"/>
          <w:i/>
          <w:iCs/>
          <w:u w:val="single"/>
          <w:lang w:val="es-PR"/>
        </w:rPr>
        <w:t>, según enmendada, conocida como “Ley de Vehículos y Tránsito de Puerto Rico”,</w:t>
      </w:r>
      <w:r w:rsidR="00F60AF8" w:rsidRPr="00410D48">
        <w:rPr>
          <w:rFonts w:ascii="Book Antiqua" w:hAnsi="Book Antiqua"/>
          <w:lang w:val="es-PR"/>
        </w:rPr>
        <w:t xml:space="preserve"> </w:t>
      </w:r>
      <w:r w:rsidR="00AD4FC7" w:rsidRPr="00410D48">
        <w:rPr>
          <w:rFonts w:ascii="Book Antiqua" w:hAnsi="Book Antiqua"/>
          <w:lang w:val="es-PR"/>
        </w:rPr>
        <w:t xml:space="preserve">con las disposiciones tecnológicas modernas, reconociendo expresamente que el permiso digital de vehículo emitido y verificado a través de </w:t>
      </w:r>
      <w:proofErr w:type="spellStart"/>
      <w:r w:rsidR="00AD4FC7" w:rsidRPr="00410D48">
        <w:rPr>
          <w:rFonts w:ascii="Book Antiqua" w:hAnsi="Book Antiqua"/>
          <w:lang w:val="es-PR"/>
        </w:rPr>
        <w:t>Cesco</w:t>
      </w:r>
      <w:proofErr w:type="spellEnd"/>
      <w:r w:rsidR="00AD4FC7" w:rsidRPr="00410D48">
        <w:rPr>
          <w:rFonts w:ascii="Book Antiqua" w:hAnsi="Book Antiqua"/>
          <w:lang w:val="es-PR"/>
        </w:rPr>
        <w:t xml:space="preserve"> Digital</w:t>
      </w:r>
      <w:r w:rsidR="00F60AF8" w:rsidRPr="00410D48">
        <w:rPr>
          <w:rFonts w:ascii="Book Antiqua" w:hAnsi="Book Antiqua"/>
          <w:i/>
          <w:iCs/>
          <w:u w:val="single"/>
          <w:lang w:val="es-PR"/>
        </w:rPr>
        <w:t>,</w:t>
      </w:r>
      <w:r w:rsidR="00AD4FC7" w:rsidRPr="00410D48">
        <w:rPr>
          <w:rFonts w:ascii="Book Antiqua" w:hAnsi="Book Antiqua"/>
          <w:lang w:val="es-PR"/>
        </w:rPr>
        <w:t xml:space="preserve"> tiene la misma validez, efecto y fuerza probatoria que el documento físico. </w:t>
      </w:r>
      <w:r w:rsidR="00AD4FC7" w:rsidRPr="00410D48">
        <w:rPr>
          <w:rFonts w:ascii="Book Antiqua" w:hAnsi="Book Antiqua"/>
          <w:strike/>
          <w:lang w:val="es-PR"/>
        </w:rPr>
        <w:t>Además, se extiende dicha equivalencia a los permisos provisionales, permisos especiales de concesionarios y permisos expedidos a vehículos cuyos dueños no residan en Puerto Rico.</w:t>
      </w:r>
      <w:r w:rsidR="00AD4FC7" w:rsidRPr="00410D48">
        <w:rPr>
          <w:rFonts w:ascii="Book Antiqua" w:hAnsi="Book Antiqua"/>
          <w:lang w:val="es-PR"/>
        </w:rPr>
        <w:t xml:space="preserve"> Esta </w:t>
      </w:r>
      <w:r w:rsidR="00AD4FC7" w:rsidRPr="00410D48">
        <w:rPr>
          <w:rFonts w:ascii="Book Antiqua" w:hAnsi="Book Antiqua"/>
          <w:strike/>
          <w:lang w:val="es-PR"/>
        </w:rPr>
        <w:t>enmienda</w:t>
      </w:r>
      <w:r w:rsidR="00AD4FC7" w:rsidRPr="00410D48">
        <w:rPr>
          <w:rFonts w:ascii="Book Antiqua" w:hAnsi="Book Antiqua"/>
          <w:lang w:val="es-PR"/>
        </w:rPr>
        <w:t xml:space="preserve"> </w:t>
      </w:r>
      <w:r w:rsidR="00F60AF8" w:rsidRPr="00410D48">
        <w:rPr>
          <w:rFonts w:ascii="Book Antiqua" w:hAnsi="Book Antiqua"/>
          <w:i/>
          <w:iCs/>
          <w:u w:val="single"/>
          <w:lang w:val="es-PR"/>
        </w:rPr>
        <w:t>Ley</w:t>
      </w:r>
      <w:r w:rsidR="00F60AF8" w:rsidRPr="00410D48">
        <w:rPr>
          <w:rFonts w:ascii="Book Antiqua" w:hAnsi="Book Antiqua"/>
          <w:lang w:val="es-PR"/>
        </w:rPr>
        <w:t xml:space="preserve"> </w:t>
      </w:r>
      <w:r w:rsidR="00AD4FC7" w:rsidRPr="00410D48">
        <w:rPr>
          <w:rFonts w:ascii="Book Antiqua" w:hAnsi="Book Antiqua"/>
          <w:lang w:val="es-PR"/>
        </w:rPr>
        <w:t>se inserta dentro de la política pública de modernización gubernamental y simplificación de procesos, fomentando la eficiencia, la transparencia y la conveniencia para los ciudadanos sin comprometer la fiscalización o la seguridad vial</w:t>
      </w:r>
      <w:r w:rsidR="007B7B6D" w:rsidRPr="00410D48">
        <w:rPr>
          <w:rFonts w:ascii="Book Antiqua" w:hAnsi="Book Antiqua"/>
          <w:lang w:val="es-PR"/>
        </w:rPr>
        <w:t>.</w:t>
      </w:r>
    </w:p>
    <w:p w14:paraId="6BA1BEEA" w14:textId="77777777" w:rsidR="002F427E" w:rsidRPr="00410D48" w:rsidRDefault="0034766F" w:rsidP="002E6AB0">
      <w:pPr>
        <w:pStyle w:val="sectext"/>
        <w:tabs>
          <w:tab w:val="left" w:pos="7325"/>
        </w:tabs>
        <w:spacing w:line="480" w:lineRule="auto"/>
        <w:jc w:val="both"/>
        <w:rPr>
          <w:rFonts w:ascii="Book Antiqua" w:hAnsi="Book Antiqua"/>
          <w:b/>
          <w:iCs/>
          <w:sz w:val="24"/>
          <w:lang w:val="es-ES"/>
        </w:rPr>
        <w:sectPr w:rsidR="002F427E" w:rsidRPr="00410D48" w:rsidSect="00F1467F">
          <w:headerReference w:type="default" r:id="rId13"/>
          <w:pgSz w:w="12240" w:h="15840"/>
          <w:pgMar w:top="1440" w:right="1440" w:bottom="1440" w:left="1440" w:header="720" w:footer="720" w:gutter="0"/>
          <w:cols w:space="720"/>
          <w:titlePg/>
          <w:docGrid w:linePitch="360"/>
        </w:sectPr>
      </w:pPr>
      <w:r w:rsidRPr="00410D48">
        <w:rPr>
          <w:rFonts w:ascii="Book Antiqua" w:hAnsi="Book Antiqua"/>
          <w:b/>
          <w:iCs/>
          <w:sz w:val="24"/>
          <w:lang w:val="es-ES"/>
        </w:rPr>
        <w:t>DECR</w:t>
      </w:r>
      <w:r w:rsidR="003D026C" w:rsidRPr="00410D48">
        <w:rPr>
          <w:rFonts w:ascii="Book Antiqua" w:hAnsi="Book Antiqua"/>
          <w:b/>
          <w:iCs/>
          <w:sz w:val="24"/>
          <w:lang w:val="es-ES"/>
        </w:rPr>
        <w:t>É</w:t>
      </w:r>
      <w:r w:rsidRPr="00410D48">
        <w:rPr>
          <w:rFonts w:ascii="Book Antiqua" w:hAnsi="Book Antiqua"/>
          <w:b/>
          <w:iCs/>
          <w:sz w:val="24"/>
          <w:lang w:val="es-ES"/>
        </w:rPr>
        <w:t>TA</w:t>
      </w:r>
      <w:r w:rsidR="00160183" w:rsidRPr="00410D48">
        <w:rPr>
          <w:rFonts w:ascii="Book Antiqua" w:hAnsi="Book Antiqua"/>
          <w:b/>
          <w:iCs/>
          <w:sz w:val="24"/>
          <w:lang w:val="es-ES"/>
        </w:rPr>
        <w:t xml:space="preserve">SE POR </w:t>
      </w:r>
      <w:r w:rsidRPr="00410D48">
        <w:rPr>
          <w:rFonts w:ascii="Book Antiqua" w:hAnsi="Book Antiqua"/>
          <w:b/>
          <w:iCs/>
          <w:sz w:val="24"/>
          <w:lang w:val="es-ES"/>
        </w:rPr>
        <w:t>LA ASAMBLEA LEGISLATIVA</w:t>
      </w:r>
      <w:r w:rsidR="00160183" w:rsidRPr="00410D48">
        <w:rPr>
          <w:rFonts w:ascii="Book Antiqua" w:hAnsi="Book Antiqua"/>
          <w:b/>
          <w:iCs/>
          <w:sz w:val="24"/>
          <w:lang w:val="es-ES"/>
        </w:rPr>
        <w:t xml:space="preserve"> DE PUERTO</w:t>
      </w:r>
      <w:r w:rsidR="002F427E" w:rsidRPr="00410D48">
        <w:rPr>
          <w:rFonts w:ascii="Book Antiqua" w:hAnsi="Book Antiqua"/>
          <w:b/>
          <w:iCs/>
          <w:sz w:val="24"/>
          <w:lang w:val="es-ES"/>
        </w:rPr>
        <w:t xml:space="preserve"> RICO: </w:t>
      </w:r>
      <w:r w:rsidR="00A1641E" w:rsidRPr="00410D48">
        <w:rPr>
          <w:rFonts w:ascii="Book Antiqua" w:hAnsi="Book Antiqua"/>
          <w:b/>
          <w:iCs/>
          <w:sz w:val="24"/>
          <w:lang w:val="es-ES"/>
        </w:rPr>
        <w:tab/>
      </w:r>
    </w:p>
    <w:p w14:paraId="3725F4E5" w14:textId="47C4DEBA" w:rsidR="0034766F" w:rsidRPr="00410D48" w:rsidRDefault="003F1DF5" w:rsidP="00AD4FC7">
      <w:pPr>
        <w:pStyle w:val="sectext"/>
        <w:spacing w:line="480" w:lineRule="auto"/>
        <w:ind w:firstLine="720"/>
        <w:jc w:val="both"/>
        <w:rPr>
          <w:rFonts w:ascii="Book Antiqua" w:hAnsi="Book Antiqua"/>
          <w:sz w:val="24"/>
          <w:lang w:val="es-PR"/>
        </w:rPr>
      </w:pPr>
      <w:r w:rsidRPr="00410D48">
        <w:rPr>
          <w:rFonts w:ascii="Book Antiqua" w:hAnsi="Book Antiqua"/>
          <w:sz w:val="24"/>
          <w:lang w:val="es-PR"/>
        </w:rPr>
        <w:t>Sección 1. – Se</w:t>
      </w:r>
      <w:r w:rsidR="0034766F" w:rsidRPr="00410D48">
        <w:rPr>
          <w:rFonts w:ascii="Book Antiqua" w:hAnsi="Book Antiqua"/>
          <w:sz w:val="24"/>
          <w:lang w:val="es-PR"/>
        </w:rPr>
        <w:t xml:space="preserve"> enmienda el Artículo </w:t>
      </w:r>
      <w:r w:rsidR="00AD4FC7" w:rsidRPr="00410D48">
        <w:rPr>
          <w:rFonts w:ascii="Book Antiqua" w:hAnsi="Book Antiqua"/>
          <w:sz w:val="24"/>
          <w:lang w:val="es-PR"/>
        </w:rPr>
        <w:t>1.78</w:t>
      </w:r>
      <w:r w:rsidR="00186D0B" w:rsidRPr="00410D48">
        <w:rPr>
          <w:rFonts w:ascii="Book Antiqua" w:hAnsi="Book Antiqua"/>
          <w:sz w:val="24"/>
          <w:lang w:val="es-PR"/>
        </w:rPr>
        <w:t xml:space="preserve"> </w:t>
      </w:r>
      <w:r w:rsidR="0034766F" w:rsidRPr="00410D48">
        <w:rPr>
          <w:rFonts w:ascii="Book Antiqua" w:hAnsi="Book Antiqua"/>
          <w:sz w:val="24"/>
          <w:lang w:val="es-PR"/>
        </w:rPr>
        <w:t xml:space="preserve">de la Ley </w:t>
      </w:r>
      <w:r w:rsidR="00AD4FC7" w:rsidRPr="00410D48">
        <w:rPr>
          <w:rFonts w:ascii="Book Antiqua" w:hAnsi="Book Antiqua"/>
          <w:sz w:val="24"/>
          <w:lang w:val="es-PR"/>
        </w:rPr>
        <w:t>22</w:t>
      </w:r>
      <w:r w:rsidR="0034766F" w:rsidRPr="00410D48">
        <w:rPr>
          <w:rFonts w:ascii="Book Antiqua" w:hAnsi="Book Antiqua"/>
          <w:sz w:val="24"/>
          <w:lang w:val="es-PR"/>
        </w:rPr>
        <w:t>-20</w:t>
      </w:r>
      <w:r w:rsidR="00AD4FC7" w:rsidRPr="00410D48">
        <w:rPr>
          <w:rFonts w:ascii="Book Antiqua" w:hAnsi="Book Antiqua"/>
          <w:sz w:val="24"/>
          <w:lang w:val="es-PR"/>
        </w:rPr>
        <w:t>00</w:t>
      </w:r>
      <w:r w:rsidR="0034766F" w:rsidRPr="00410D48">
        <w:rPr>
          <w:rFonts w:ascii="Book Antiqua" w:hAnsi="Book Antiqua"/>
          <w:sz w:val="24"/>
          <w:lang w:val="es-PR"/>
        </w:rPr>
        <w:t xml:space="preserve">, según enmendada, </w:t>
      </w:r>
      <w:r w:rsidR="0034766F" w:rsidRPr="00410D48">
        <w:rPr>
          <w:rFonts w:ascii="Book Antiqua" w:hAnsi="Book Antiqua"/>
          <w:strike/>
          <w:sz w:val="24"/>
          <w:lang w:val="es-PR"/>
        </w:rPr>
        <w:t xml:space="preserve">conocida como </w:t>
      </w:r>
      <w:r w:rsidR="00AD4FC7" w:rsidRPr="00410D48">
        <w:rPr>
          <w:rFonts w:ascii="Book Antiqua" w:hAnsi="Book Antiqua"/>
          <w:strike/>
          <w:sz w:val="24"/>
          <w:lang w:val="es-PR"/>
        </w:rPr>
        <w:t>la Ley de Vehículos y Tránsito de Puerto Rico</w:t>
      </w:r>
      <w:r w:rsidR="0034766F" w:rsidRPr="00410D48">
        <w:rPr>
          <w:rFonts w:ascii="Book Antiqua" w:hAnsi="Book Antiqua"/>
          <w:strike/>
          <w:sz w:val="24"/>
          <w:lang w:val="es-PR"/>
        </w:rPr>
        <w:t>,</w:t>
      </w:r>
      <w:r w:rsidR="0034766F" w:rsidRPr="00410D48">
        <w:rPr>
          <w:rFonts w:ascii="Book Antiqua" w:hAnsi="Book Antiqua"/>
          <w:sz w:val="24"/>
          <w:lang w:val="es-PR"/>
        </w:rPr>
        <w:t xml:space="preserve"> para que lea como sigue:</w:t>
      </w:r>
    </w:p>
    <w:p w14:paraId="4630BF98" w14:textId="1E27CCD6"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eastAsia="Calibri" w:hAnsi="Book Antiqua" w:cs="Helvetica"/>
          <w:lang w:val="it-IT"/>
        </w:rPr>
      </w:pPr>
      <w:r w:rsidRPr="00410D48">
        <w:rPr>
          <w:rFonts w:ascii="Book Antiqua" w:eastAsia="Calibri" w:hAnsi="Book Antiqua" w:cs="Helvetica"/>
          <w:lang w:val="es-PR"/>
        </w:rPr>
        <w:tab/>
      </w:r>
      <w:r w:rsidR="00F60AF8" w:rsidRPr="00410D48">
        <w:rPr>
          <w:rFonts w:ascii="Book Antiqua" w:eastAsia="Calibri" w:hAnsi="Book Antiqua" w:cs="Helvetica"/>
          <w:i/>
          <w:iCs/>
          <w:u w:val="single"/>
          <w:lang w:val="es-PR"/>
        </w:rPr>
        <w:t>“</w:t>
      </w:r>
      <w:r w:rsidRPr="00410D48">
        <w:rPr>
          <w:rFonts w:ascii="Book Antiqua" w:eastAsia="Calibri" w:hAnsi="Book Antiqua" w:cs="Helvetica"/>
          <w:lang w:val="es-PR"/>
        </w:rPr>
        <w:t xml:space="preserve">Artículo 1.78. — Permiso de vehículo de motor o arrastre. </w:t>
      </w:r>
      <w:r w:rsidRPr="00410D48">
        <w:rPr>
          <w:rFonts w:ascii="Book Antiqua" w:eastAsia="Calibri" w:hAnsi="Book Antiqua" w:cs="Helvetica"/>
          <w:strike/>
          <w:lang w:val="it-IT"/>
        </w:rPr>
        <w:t xml:space="preserve">[9 L.P.R.A § 5001 Inciso (75)] </w:t>
      </w:r>
    </w:p>
    <w:p w14:paraId="57331238" w14:textId="1399942A" w:rsidR="0034766F"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it-IT"/>
        </w:rPr>
        <w:tab/>
        <w:t xml:space="preserve"> </w:t>
      </w:r>
      <w:r w:rsidRPr="00410D48">
        <w:rPr>
          <w:rFonts w:ascii="Book Antiqua" w:eastAsia="Calibri" w:hAnsi="Book Antiqua" w:cs="Helvetica"/>
          <w:lang w:val="es-PR"/>
        </w:rPr>
        <w:t xml:space="preserve">"Permiso de vehículo de motor o arrastre" Significará el certificado de inscripción de un vehículo de motor o arrastre, expedido por el </w:t>
      </w:r>
      <w:proofErr w:type="gramStart"/>
      <w:r w:rsidRPr="00410D48">
        <w:rPr>
          <w:rFonts w:ascii="Book Antiqua" w:eastAsia="Calibri" w:hAnsi="Book Antiqua" w:cs="Helvetica"/>
          <w:lang w:val="es-PR"/>
        </w:rPr>
        <w:t>Secretario</w:t>
      </w:r>
      <w:proofErr w:type="gramEnd"/>
      <w:r w:rsidRPr="00410D48">
        <w:rPr>
          <w:rFonts w:ascii="Book Antiqua" w:eastAsia="Calibri" w:hAnsi="Book Antiqua" w:cs="Helvetica"/>
          <w:lang w:val="es-PR"/>
        </w:rPr>
        <w:t xml:space="preserve">, autorizando a un vehículo de motor o arrastre a transitar por las vías públicas de Puerto Rico. Sólo se exhibirá en el vehículo de </w:t>
      </w:r>
      <w:r w:rsidR="00F60AF8" w:rsidRPr="00410D48">
        <w:rPr>
          <w:rFonts w:ascii="Book Antiqua" w:eastAsia="Calibri" w:hAnsi="Book Antiqua" w:cs="Helvetica"/>
          <w:lang w:val="es-PR"/>
        </w:rPr>
        <w:t>motor un</w:t>
      </w:r>
      <w:r w:rsidRPr="00410D48">
        <w:rPr>
          <w:rFonts w:ascii="Book Antiqua" w:eastAsia="Calibri" w:hAnsi="Book Antiqua" w:cs="Helvetica"/>
          <w:lang w:val="es-PR"/>
        </w:rPr>
        <w:t xml:space="preserve"> (1) marbete durante el año de vigencia del pago de derechos.</w:t>
      </w:r>
    </w:p>
    <w:p w14:paraId="5D4ECCAD" w14:textId="4A5188ED"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lastRenderedPageBreak/>
        <w:tab/>
      </w:r>
      <w:r w:rsidRPr="00410D48">
        <w:rPr>
          <w:rFonts w:ascii="Book Antiqua" w:hAnsi="Book Antiqua"/>
          <w:i/>
          <w:iCs/>
          <w:lang w:val="es-PR"/>
        </w:rPr>
        <w:t>El permiso podrá emitirse y mantenerse en formato físico o digital</w:t>
      </w:r>
      <w:r w:rsidR="00186D0B" w:rsidRPr="00410D48">
        <w:rPr>
          <w:rFonts w:ascii="Book Antiqua" w:hAnsi="Book Antiqua"/>
          <w:i/>
          <w:iCs/>
          <w:u w:val="single"/>
          <w:lang w:val="es-PR"/>
        </w:rPr>
        <w:t>,</w:t>
      </w:r>
      <w:r w:rsidRPr="00410D48">
        <w:rPr>
          <w:rFonts w:ascii="Book Antiqua" w:hAnsi="Book Antiqua"/>
          <w:i/>
          <w:iCs/>
          <w:lang w:val="es-PR"/>
        </w:rPr>
        <w:t xml:space="preserve"> mediante la plataforma oficial Cesco Digital u otra plataforma autorizada por el DTOP. El permiso digital tendrá la misma validez, efectos legales y fuerza probatoria que el permiso físico impreso.</w:t>
      </w:r>
      <w:r w:rsidR="00F60AF8" w:rsidRPr="00410D48">
        <w:rPr>
          <w:rFonts w:ascii="Book Antiqua" w:hAnsi="Book Antiqua"/>
          <w:i/>
          <w:iCs/>
          <w:u w:val="single"/>
          <w:lang w:val="es-PR"/>
        </w:rPr>
        <w:t>”</w:t>
      </w:r>
    </w:p>
    <w:p w14:paraId="330EFCFD" w14:textId="7DBCE700" w:rsidR="00E06DFC" w:rsidRPr="00410D48" w:rsidRDefault="003F1DF5" w:rsidP="00E06DFC">
      <w:pPr>
        <w:pStyle w:val="sectext"/>
        <w:spacing w:line="480" w:lineRule="auto"/>
        <w:ind w:firstLine="720"/>
        <w:jc w:val="both"/>
        <w:rPr>
          <w:rFonts w:ascii="Book Antiqua" w:hAnsi="Book Antiqua"/>
          <w:sz w:val="24"/>
          <w:lang w:val="es-PR"/>
        </w:rPr>
      </w:pPr>
      <w:r w:rsidRPr="00410D48">
        <w:rPr>
          <w:rFonts w:ascii="Book Antiqua" w:hAnsi="Book Antiqua"/>
          <w:sz w:val="24"/>
          <w:lang w:val="es-PR"/>
        </w:rPr>
        <w:t xml:space="preserve">Sección </w:t>
      </w:r>
      <w:r w:rsidR="0034766F" w:rsidRPr="00410D48">
        <w:rPr>
          <w:rFonts w:ascii="Book Antiqua" w:hAnsi="Book Antiqua"/>
          <w:sz w:val="24"/>
          <w:lang w:val="es-PR"/>
        </w:rPr>
        <w:t>2</w:t>
      </w:r>
      <w:r w:rsidRPr="00410D48">
        <w:rPr>
          <w:rFonts w:ascii="Book Antiqua" w:hAnsi="Book Antiqua"/>
          <w:sz w:val="24"/>
          <w:lang w:val="es-PR"/>
        </w:rPr>
        <w:t>.</w:t>
      </w:r>
      <w:r w:rsidR="00E06DFC" w:rsidRPr="00410D48">
        <w:rPr>
          <w:rFonts w:ascii="Book Antiqua" w:hAnsi="Book Antiqua"/>
          <w:sz w:val="24"/>
          <w:lang w:val="es-PR"/>
        </w:rPr>
        <w:t xml:space="preserve"> – Se enmienda el Artículo </w:t>
      </w:r>
      <w:r w:rsidR="00AD4FC7" w:rsidRPr="00410D48">
        <w:rPr>
          <w:rFonts w:ascii="Book Antiqua" w:hAnsi="Book Antiqua"/>
          <w:sz w:val="24"/>
          <w:lang w:val="es-PR"/>
        </w:rPr>
        <w:t>2.13 de la Ley 22-2000</w:t>
      </w:r>
      <w:r w:rsidR="00F60AF8" w:rsidRPr="00410D48">
        <w:rPr>
          <w:rFonts w:ascii="Book Antiqua" w:hAnsi="Book Antiqua"/>
          <w:i/>
          <w:iCs/>
          <w:sz w:val="24"/>
          <w:u w:val="single"/>
          <w:lang w:val="es-PR"/>
        </w:rPr>
        <w:t>, según enmendada,</w:t>
      </w:r>
      <w:r w:rsidR="00E06DFC" w:rsidRPr="00410D48">
        <w:rPr>
          <w:rFonts w:ascii="Book Antiqua" w:hAnsi="Book Antiqua"/>
          <w:sz w:val="24"/>
          <w:lang w:val="es-PR"/>
        </w:rPr>
        <w:t xml:space="preserve"> para que lea como sigue:</w:t>
      </w:r>
    </w:p>
    <w:p w14:paraId="610C3E37" w14:textId="194F6E69" w:rsidR="00AD4FC7" w:rsidRPr="00410D48" w:rsidRDefault="00E06DF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hAnsi="Book Antiqua"/>
          <w:lang w:val="es-PR"/>
        </w:rPr>
        <w:tab/>
      </w:r>
      <w:r w:rsidR="00F60AF8" w:rsidRPr="00410D48">
        <w:rPr>
          <w:rFonts w:ascii="Book Antiqua" w:hAnsi="Book Antiqua"/>
          <w:i/>
          <w:iCs/>
          <w:u w:val="single"/>
          <w:lang w:val="es-PR"/>
        </w:rPr>
        <w:t>“</w:t>
      </w:r>
      <w:r w:rsidR="00AD4FC7" w:rsidRPr="00410D48">
        <w:rPr>
          <w:rFonts w:ascii="Book Antiqua" w:eastAsia="Calibri" w:hAnsi="Book Antiqua" w:cs="Helvetica"/>
          <w:lang w:val="es-PR"/>
        </w:rPr>
        <w:t xml:space="preserve">Artículo 2.13. — Certificado de título y permiso de vehículos de motor, arrastres </w:t>
      </w:r>
      <w:r w:rsidR="00F60AF8" w:rsidRPr="00410D48">
        <w:rPr>
          <w:rFonts w:ascii="Book Antiqua" w:eastAsia="Calibri" w:hAnsi="Book Antiqua" w:cs="Helvetica"/>
          <w:lang w:val="es-PR"/>
        </w:rPr>
        <w:t xml:space="preserve">o </w:t>
      </w:r>
      <w:proofErr w:type="spellStart"/>
      <w:r w:rsidR="00F60AF8" w:rsidRPr="00410D48">
        <w:rPr>
          <w:rFonts w:ascii="Book Antiqua" w:eastAsia="Calibri" w:hAnsi="Book Antiqua" w:cs="Helvetica"/>
          <w:lang w:val="es-PR"/>
        </w:rPr>
        <w:t>semiarrastres</w:t>
      </w:r>
      <w:proofErr w:type="spellEnd"/>
      <w:r w:rsidR="00AD4FC7" w:rsidRPr="00410D48">
        <w:rPr>
          <w:rFonts w:ascii="Book Antiqua" w:eastAsia="Calibri" w:hAnsi="Book Antiqua" w:cs="Helvetica"/>
          <w:lang w:val="es-PR"/>
        </w:rPr>
        <w:t xml:space="preserve">. </w:t>
      </w:r>
      <w:r w:rsidR="00AD4FC7" w:rsidRPr="00410D48">
        <w:rPr>
          <w:rFonts w:ascii="Book Antiqua" w:eastAsia="Calibri" w:hAnsi="Book Antiqua" w:cs="Helvetica"/>
          <w:strike/>
          <w:lang w:val="es-PR"/>
        </w:rPr>
        <w:t>(9 L.P.R.A § 5014)</w:t>
      </w:r>
      <w:r w:rsidR="00AD4FC7" w:rsidRPr="00410D48">
        <w:rPr>
          <w:rFonts w:ascii="Book Antiqua" w:eastAsia="Calibri" w:hAnsi="Book Antiqua" w:cs="Helvetica"/>
          <w:lang w:val="es-PR"/>
        </w:rPr>
        <w:t xml:space="preserve"> </w:t>
      </w:r>
    </w:p>
    <w:p w14:paraId="13432036" w14:textId="487441A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 xml:space="preserve"> </w:t>
      </w:r>
      <w:r w:rsidRPr="00410D48">
        <w:rPr>
          <w:rFonts w:ascii="Book Antiqua" w:eastAsia="Calibri" w:hAnsi="Book Antiqua" w:cs="Helvetica"/>
          <w:lang w:val="es-PR"/>
        </w:rPr>
        <w:tab/>
        <w:t xml:space="preserve">Una vez aceptada la inscripción de un vehículo de motor, arrastre o semiarrastre el Secretario le expedirá al dueño, previo el pago de los derechos correspondientes, un certificado de título en el cual se hará constar la fecha de su expedición, número de título asignado, nombre y dirección física y postal, y los últimos cuatro dígitos del número de seguro social del dueño, nombres y direcciones de las personas con gravámenes sobre dicho vehículo de motor, arrastre o semiarrastre, y una descripción completa del mismo, incluyendo marca, modelo y número de identificación del vehículo (vehicle identification number o VIN) número de la tablilla, o nombre del conductor certificado en el caso de arrendamientos financieros, donde fueron trasferidas las multas o gravámenes, así como cualquier otra información que el Secretario estime conveniente o necesaria para identificar los mismos para su inscripción. Este certificado se conocerá como el certificado de título del vehículo, según sea el caso. Toda transacción relacionada con la titularidad del vehículo de motor, arrastre o semiarrastre se hará al dorso del certificado, previa cancelación de los gravámenes que puedan existir y con los derechos correspondientes. El </w:t>
      </w:r>
      <w:proofErr w:type="gramStart"/>
      <w:r w:rsidRPr="00410D48">
        <w:rPr>
          <w:rFonts w:ascii="Book Antiqua" w:eastAsia="Calibri" w:hAnsi="Book Antiqua" w:cs="Helvetica"/>
          <w:lang w:val="es-PR"/>
        </w:rPr>
        <w:t>Secretario</w:t>
      </w:r>
      <w:proofErr w:type="gramEnd"/>
      <w:r w:rsidRPr="00410D48">
        <w:rPr>
          <w:rFonts w:ascii="Book Antiqua" w:eastAsia="Calibri" w:hAnsi="Book Antiqua" w:cs="Helvetica"/>
          <w:lang w:val="es-PR"/>
        </w:rPr>
        <w:t xml:space="preserve"> proveerá en el reverso del certificado de título, un formulario para la </w:t>
      </w:r>
      <w:r w:rsidRPr="00410D48">
        <w:rPr>
          <w:rFonts w:ascii="Book Antiqua" w:eastAsia="Calibri" w:hAnsi="Book Antiqua" w:cs="Helvetica"/>
          <w:lang w:val="es-PR"/>
        </w:rPr>
        <w:lastRenderedPageBreak/>
        <w:t xml:space="preserve">formalización del traspaso o reasignación </w:t>
      </w:r>
      <w:proofErr w:type="gramStart"/>
      <w:r w:rsidRPr="00410D48">
        <w:rPr>
          <w:rFonts w:ascii="Book Antiqua" w:eastAsia="Calibri" w:hAnsi="Book Antiqua" w:cs="Helvetica"/>
          <w:lang w:val="es-PR"/>
        </w:rPr>
        <w:t>del mismo</w:t>
      </w:r>
      <w:proofErr w:type="gramEnd"/>
      <w:r w:rsidRPr="00410D48">
        <w:rPr>
          <w:rFonts w:ascii="Book Antiqua" w:eastAsia="Calibri" w:hAnsi="Book Antiqua" w:cs="Helvetica"/>
          <w:lang w:val="es-PR"/>
        </w:rPr>
        <w:t xml:space="preserve">, a tenor con los requisitos establecidos en esta Ley. </w:t>
      </w:r>
    </w:p>
    <w:p w14:paraId="11377AE8" w14:textId="3BDFE45D"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ab/>
        <w:t xml:space="preserve"> Además del certificado de título, a solicitud del titular del vehículo, el </w:t>
      </w:r>
      <w:proofErr w:type="gramStart"/>
      <w:r w:rsidRPr="00410D48">
        <w:rPr>
          <w:rFonts w:ascii="Book Antiqua" w:eastAsia="Calibri" w:hAnsi="Book Antiqua" w:cs="Helvetica"/>
          <w:lang w:val="es-PR"/>
        </w:rPr>
        <w:t>Secretario</w:t>
      </w:r>
      <w:proofErr w:type="gramEnd"/>
      <w:r w:rsidRPr="00410D48">
        <w:rPr>
          <w:rFonts w:ascii="Book Antiqua" w:eastAsia="Calibri" w:hAnsi="Book Antiqua" w:cs="Helvetica"/>
          <w:lang w:val="es-PR"/>
        </w:rPr>
        <w:t xml:space="preserve"> emitirá un permiso del vehículo de motor, arrastre o semiarrastre el cual constituirá la autorización para transitar por las vías públicas de Puerto Rico con la tablilla del dueño, previo el pago de los derechos correspondientes. En el permiso se deberá incluir un campo o espacio en el cual se identifique al asegurador del SRO que fue seleccionado en el Formulario de Selección por el dueño o conductor del vehículo. Este permiso impreso, fotocopia legible del mismo, </w:t>
      </w:r>
      <w:r w:rsidRPr="00410D48">
        <w:rPr>
          <w:rFonts w:ascii="Book Antiqua" w:eastAsia="Calibri" w:hAnsi="Book Antiqua" w:cs="Helvetica"/>
          <w:strike/>
          <w:lang w:val="es-PR"/>
        </w:rPr>
        <w:t>[o]</w:t>
      </w:r>
      <w:r w:rsidRPr="00410D48">
        <w:rPr>
          <w:rFonts w:ascii="Book Antiqua" w:eastAsia="Calibri" w:hAnsi="Book Antiqua" w:cs="Helvetica"/>
          <w:lang w:val="es-PR"/>
        </w:rPr>
        <w:t xml:space="preserve"> </w:t>
      </w:r>
      <w:r w:rsidR="00186D0B" w:rsidRPr="00410D48">
        <w:rPr>
          <w:rFonts w:ascii="Book Antiqua" w:eastAsia="Calibri" w:hAnsi="Book Antiqua" w:cs="Helvetica"/>
          <w:strike/>
          <w:u w:val="single"/>
          <w:lang w:val="es-PR"/>
        </w:rPr>
        <w:t>o</w:t>
      </w:r>
      <w:r w:rsidR="00186D0B" w:rsidRPr="00410D48">
        <w:rPr>
          <w:rFonts w:ascii="Book Antiqua" w:eastAsia="Calibri" w:hAnsi="Book Antiqua" w:cs="Helvetica"/>
          <w:lang w:val="es-PR"/>
        </w:rPr>
        <w:t xml:space="preserve"> </w:t>
      </w:r>
      <w:r w:rsidRPr="00410D48">
        <w:rPr>
          <w:rFonts w:ascii="Book Antiqua" w:eastAsia="Calibri" w:hAnsi="Book Antiqua" w:cs="Helvetica"/>
          <w:lang w:val="es-PR"/>
        </w:rPr>
        <w:t>en tarjeta digitalizada</w:t>
      </w:r>
      <w:r w:rsidR="00186D0B" w:rsidRPr="00410D48">
        <w:rPr>
          <w:rFonts w:ascii="Book Antiqua" w:eastAsia="Calibri" w:hAnsi="Book Antiqua" w:cs="Helvetica"/>
          <w:i/>
          <w:iCs/>
          <w:u w:val="single"/>
          <w:lang w:val="es-PR"/>
        </w:rPr>
        <w:t>,</w:t>
      </w:r>
      <w:r w:rsidRPr="00410D48">
        <w:rPr>
          <w:rFonts w:ascii="Book Antiqua" w:eastAsia="Calibri" w:hAnsi="Book Antiqua" w:cs="Helvetica"/>
          <w:lang w:val="es-PR"/>
        </w:rPr>
        <w:t xml:space="preserve"> </w:t>
      </w:r>
      <w:r w:rsidRPr="00410D48">
        <w:rPr>
          <w:rFonts w:ascii="Book Antiqua" w:eastAsia="Calibri" w:hAnsi="Book Antiqua" w:cs="Helvetica"/>
          <w:i/>
          <w:iCs/>
          <w:lang w:val="es-PR"/>
        </w:rPr>
        <w:t xml:space="preserve">o en formato </w:t>
      </w:r>
      <w:r w:rsidRPr="00410D48">
        <w:rPr>
          <w:rFonts w:ascii="Book Antiqua" w:hAnsi="Book Antiqua"/>
          <w:i/>
          <w:iCs/>
          <w:lang w:val="es-PR"/>
        </w:rPr>
        <w:t>digital mediante la plataforma oficial Cesco Digital u otra plataforma autorizada por el DTOP</w:t>
      </w:r>
      <w:r w:rsidRPr="00410D48">
        <w:rPr>
          <w:rFonts w:ascii="Book Antiqua" w:eastAsia="Calibri" w:hAnsi="Book Antiqua" w:cs="Helvetica"/>
          <w:lang w:val="es-PR"/>
        </w:rPr>
        <w:t xml:space="preserve">, será llevado continuamente en el vehículo de motor, arrastre o semiarrastre, o portado por la persona que lo conduzca. La fotocopia legible o en tarjeta digitalizada del permiso no será válida para efectuar transacciones de los vehículos. </w:t>
      </w:r>
      <w:r w:rsidRPr="00410D48">
        <w:rPr>
          <w:rFonts w:ascii="Book Antiqua" w:hAnsi="Book Antiqua"/>
          <w:i/>
          <w:iCs/>
          <w:lang w:val="es-PR"/>
        </w:rPr>
        <w:t>El permiso digital emitido por Cesco Digital u otra plataforma autorizada por el DTOP tendrá la misma validez y efecto legal que el permiso físico.</w:t>
      </w:r>
    </w:p>
    <w:p w14:paraId="1872CE1B" w14:textId="0CE16260" w:rsidR="00E06DFC"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t xml:space="preserve"> </w:t>
      </w:r>
      <w:r w:rsidR="00186D0B" w:rsidRPr="00410D48">
        <w:rPr>
          <w:rFonts w:ascii="Book Antiqua" w:eastAsia="Calibri" w:hAnsi="Book Antiqua" w:cs="Helvetica"/>
          <w:lang w:val="es-PR"/>
        </w:rPr>
        <w:tab/>
      </w:r>
      <w:r w:rsidRPr="00410D48">
        <w:rPr>
          <w:rFonts w:ascii="Book Antiqua" w:eastAsia="Calibri" w:hAnsi="Book Antiqua" w:cs="Helvetica"/>
          <w:lang w:val="es-PR"/>
        </w:rPr>
        <w:t>El permiso concedido a los vehículos de motor, arrastre o semiarrastre para transitar por las vías públicas, tendrá una fecha de expedición y de expiración.</w:t>
      </w:r>
      <w:r w:rsidR="00186D0B" w:rsidRPr="00410D48">
        <w:rPr>
          <w:rFonts w:ascii="Book Antiqua" w:eastAsia="Calibri" w:hAnsi="Book Antiqua" w:cs="Helvetica"/>
          <w:i/>
          <w:iCs/>
          <w:u w:val="single"/>
          <w:lang w:val="es-PR"/>
        </w:rPr>
        <w:t>”</w:t>
      </w:r>
    </w:p>
    <w:p w14:paraId="0759A1A7" w14:textId="07888705"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lang w:val="es-PR"/>
        </w:rPr>
      </w:pPr>
      <w:r w:rsidRPr="00410D48">
        <w:rPr>
          <w:rFonts w:ascii="Book Antiqua" w:eastAsia="Calibri" w:hAnsi="Book Antiqua" w:cs="Helvetica"/>
          <w:lang w:val="es-PR"/>
        </w:rPr>
        <w:tab/>
        <w:t xml:space="preserve">Sección 3. – </w:t>
      </w:r>
      <w:r w:rsidRPr="00410D48">
        <w:rPr>
          <w:rFonts w:ascii="Book Antiqua" w:hAnsi="Book Antiqua"/>
          <w:lang w:val="es-PR"/>
        </w:rPr>
        <w:t>Se enmienda el Artículo 2.14 de la Ley 22-2000</w:t>
      </w:r>
      <w:r w:rsidR="00186D0B" w:rsidRPr="00410D48">
        <w:rPr>
          <w:rFonts w:ascii="Book Antiqua" w:hAnsi="Book Antiqua"/>
          <w:i/>
          <w:iCs/>
          <w:u w:val="single"/>
          <w:lang w:val="es-PR"/>
        </w:rPr>
        <w:t>, según enmendada,</w:t>
      </w:r>
      <w:r w:rsidRPr="00410D48">
        <w:rPr>
          <w:rFonts w:ascii="Book Antiqua" w:hAnsi="Book Antiqua"/>
          <w:lang w:val="es-PR"/>
        </w:rPr>
        <w:t xml:space="preserve"> para </w:t>
      </w:r>
      <w:r w:rsidRPr="00410D48">
        <w:rPr>
          <w:rFonts w:ascii="Book Antiqua" w:hAnsi="Book Antiqua"/>
          <w:strike/>
          <w:lang w:val="es-PR"/>
        </w:rPr>
        <w:t>añadir un párrafo final</w:t>
      </w:r>
      <w:r w:rsidRPr="00410D48">
        <w:rPr>
          <w:rFonts w:ascii="Book Antiqua" w:hAnsi="Book Antiqua"/>
          <w:lang w:val="es-PR"/>
        </w:rPr>
        <w:t xml:space="preserve"> que lea como sigue:</w:t>
      </w:r>
    </w:p>
    <w:p w14:paraId="149B2DDB" w14:textId="059BF5B4"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hAnsi="Book Antiqua"/>
          <w:lang w:val="es-PR"/>
        </w:rPr>
        <w:tab/>
      </w:r>
      <w:r w:rsidR="00186D0B" w:rsidRPr="00410D48">
        <w:rPr>
          <w:rFonts w:ascii="Book Antiqua" w:hAnsi="Book Antiqua"/>
          <w:i/>
          <w:iCs/>
          <w:u w:val="single"/>
          <w:lang w:val="es-PR"/>
        </w:rPr>
        <w:t>“</w:t>
      </w:r>
      <w:r w:rsidRPr="00410D48">
        <w:rPr>
          <w:rFonts w:ascii="Book Antiqua" w:hAnsi="Book Antiqua"/>
          <w:lang w:val="es-PR"/>
        </w:rPr>
        <w:t xml:space="preserve">Artículo 2.14 </w:t>
      </w:r>
      <w:r w:rsidRPr="00410D48">
        <w:rPr>
          <w:rFonts w:ascii="Book Antiqua" w:eastAsia="Calibri" w:hAnsi="Book Antiqua" w:cs="Helvetica"/>
          <w:lang w:val="es-PR"/>
        </w:rPr>
        <w:t xml:space="preserve">Renovación de autorización de vehículos de motor, arrastres </w:t>
      </w:r>
      <w:r w:rsidR="00F60AF8" w:rsidRPr="00410D48">
        <w:rPr>
          <w:rFonts w:ascii="Book Antiqua" w:eastAsia="Calibri" w:hAnsi="Book Antiqua" w:cs="Helvetica"/>
          <w:lang w:val="es-PR"/>
        </w:rPr>
        <w:t xml:space="preserve">o </w:t>
      </w:r>
      <w:proofErr w:type="spellStart"/>
      <w:r w:rsidR="00F60AF8" w:rsidRPr="00410D48">
        <w:rPr>
          <w:rFonts w:ascii="Book Antiqua" w:eastAsia="Calibri" w:hAnsi="Book Antiqua" w:cs="Helvetica"/>
          <w:lang w:val="es-PR"/>
        </w:rPr>
        <w:t>semiarrastres</w:t>
      </w:r>
      <w:proofErr w:type="spellEnd"/>
      <w:r w:rsidRPr="00410D48">
        <w:rPr>
          <w:rFonts w:ascii="Book Antiqua" w:eastAsia="Calibri" w:hAnsi="Book Antiqua" w:cs="Helvetica"/>
          <w:lang w:val="es-PR"/>
        </w:rPr>
        <w:t xml:space="preserve">. </w:t>
      </w:r>
      <w:r w:rsidRPr="00410D48">
        <w:rPr>
          <w:rFonts w:ascii="Book Antiqua" w:eastAsia="Calibri" w:hAnsi="Book Antiqua" w:cs="Helvetica"/>
          <w:strike/>
          <w:lang w:val="es-PR"/>
        </w:rPr>
        <w:t>(9 L.P.R.A § 5015)</w:t>
      </w:r>
      <w:r w:rsidRPr="00410D48">
        <w:rPr>
          <w:rFonts w:ascii="Book Antiqua" w:eastAsia="Calibri" w:hAnsi="Book Antiqua" w:cs="Helvetica"/>
          <w:lang w:val="es-PR"/>
        </w:rPr>
        <w:t xml:space="preserve"> </w:t>
      </w:r>
    </w:p>
    <w:p w14:paraId="203AE827"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ab/>
        <w:t>…</w:t>
      </w:r>
    </w:p>
    <w:p w14:paraId="0EF46646" w14:textId="32DA02F7" w:rsidR="00186D0B" w:rsidRPr="00410D48" w:rsidRDefault="00186D0B"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lastRenderedPageBreak/>
        <w:tab/>
      </w:r>
      <w:r w:rsidRPr="00410D48">
        <w:rPr>
          <w:rFonts w:ascii="Book Antiqua" w:eastAsia="Calibri" w:hAnsi="Book Antiqua" w:cs="Helvetica"/>
          <w:i/>
          <w:iCs/>
          <w:u w:val="single"/>
          <w:lang w:val="es-PR"/>
        </w:rPr>
        <w:t>…</w:t>
      </w:r>
    </w:p>
    <w:p w14:paraId="3CD19A88" w14:textId="44ADD787" w:rsidR="00186D0B" w:rsidRPr="00410D48" w:rsidRDefault="00186D0B"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tab/>
      </w:r>
      <w:r w:rsidRPr="00410D48">
        <w:rPr>
          <w:rFonts w:ascii="Book Antiqua" w:eastAsia="Calibri" w:hAnsi="Book Antiqua" w:cs="Helvetica"/>
          <w:i/>
          <w:iCs/>
          <w:u w:val="single"/>
          <w:lang w:val="es-PR"/>
        </w:rPr>
        <w:t>…</w:t>
      </w:r>
    </w:p>
    <w:p w14:paraId="0EE8DF7C" w14:textId="585BE218"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tab/>
      </w:r>
      <w:r w:rsidRPr="00410D48">
        <w:rPr>
          <w:rFonts w:ascii="Book Antiqua" w:hAnsi="Book Antiqua"/>
          <w:i/>
          <w:iCs/>
          <w:lang w:val="es-PR"/>
        </w:rPr>
        <w:t>El permiso renovado podrá expedirse, mantenerse y verificarse electrónicamente</w:t>
      </w:r>
      <w:r w:rsidR="00186D0B" w:rsidRPr="00410D48">
        <w:rPr>
          <w:rFonts w:ascii="Book Antiqua" w:hAnsi="Book Antiqua"/>
          <w:i/>
          <w:iCs/>
          <w:u w:val="single"/>
          <w:lang w:val="es-PR"/>
        </w:rPr>
        <w:t>,</w:t>
      </w:r>
      <w:r w:rsidRPr="00410D48">
        <w:rPr>
          <w:rFonts w:ascii="Book Antiqua" w:hAnsi="Book Antiqua"/>
          <w:i/>
          <w:iCs/>
          <w:lang w:val="es-PR"/>
        </w:rPr>
        <w:t xml:space="preserve"> mediante la plataforma Cesco Digital u otra plataforma autorizada por el DTOP, teniendo dicha versión digital la misma validez que el documento físico.</w:t>
      </w:r>
      <w:r w:rsidR="00186D0B" w:rsidRPr="00410D48">
        <w:rPr>
          <w:rFonts w:ascii="Book Antiqua" w:hAnsi="Book Antiqua"/>
          <w:i/>
          <w:iCs/>
          <w:u w:val="single"/>
          <w:lang w:val="es-PR"/>
        </w:rPr>
        <w:t>”</w:t>
      </w:r>
    </w:p>
    <w:p w14:paraId="16D25E2F"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eastAsia="Calibri" w:hAnsi="Book Antiqua" w:cs="Helvetica"/>
          <w:lang w:val="es-PR"/>
        </w:rPr>
        <w:tab/>
      </w:r>
      <w:r w:rsidRPr="00410D48">
        <w:rPr>
          <w:rFonts w:ascii="Book Antiqua" w:eastAsia="Calibri" w:hAnsi="Book Antiqua" w:cs="Helvetica"/>
          <w:strike/>
          <w:lang w:val="es-PR"/>
        </w:rPr>
        <w:t xml:space="preserve">Sección 4. – </w:t>
      </w:r>
      <w:r w:rsidRPr="00410D48">
        <w:rPr>
          <w:rFonts w:ascii="Book Antiqua" w:hAnsi="Book Antiqua"/>
          <w:strike/>
          <w:lang w:val="es-PR"/>
        </w:rPr>
        <w:t>Se enmienda el Artículo 2.15 de la Ley 22-2000 para añadir un párrafo final que lea como sigue:</w:t>
      </w:r>
    </w:p>
    <w:p w14:paraId="1F73E527" w14:textId="77777777" w:rsidR="005F132C"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strike/>
          <w:lang w:val="es-PR"/>
        </w:rPr>
      </w:pPr>
      <w:r w:rsidRPr="00410D48">
        <w:rPr>
          <w:rFonts w:ascii="Book Antiqua" w:hAnsi="Book Antiqua"/>
          <w:strike/>
          <w:lang w:val="es-PR"/>
        </w:rPr>
        <w:tab/>
        <w:t xml:space="preserve">Artículo 2.15 – </w:t>
      </w:r>
      <w:r w:rsidRPr="00410D48">
        <w:rPr>
          <w:rFonts w:ascii="Book Antiqua" w:eastAsia="Calibri" w:hAnsi="Book Antiqua" w:cs="Helvetica"/>
          <w:strike/>
          <w:lang w:val="es-PR"/>
        </w:rPr>
        <w:t xml:space="preserve">Permiso provisional para transitar a vehículos de motor, arrastres o </w:t>
      </w:r>
    </w:p>
    <w:p w14:paraId="3C2AC5DC" w14:textId="77777777" w:rsidR="005F132C" w:rsidRPr="00410D48"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eastAsia="Calibri" w:hAnsi="Book Antiqua" w:cs="Helvetica"/>
          <w:strike/>
          <w:lang w:val="es-PR"/>
        </w:rPr>
        <w:t>semiarrastre importados para la venta. (9 L.P.R.A § 5016)</w:t>
      </w:r>
    </w:p>
    <w:p w14:paraId="4FF567B5"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hAnsi="Book Antiqua"/>
          <w:strike/>
          <w:lang w:val="es-PR"/>
        </w:rPr>
        <w:tab/>
        <w:t>…</w:t>
      </w:r>
    </w:p>
    <w:p w14:paraId="14985BFB"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strike/>
          <w:lang w:val="es-PR"/>
        </w:rPr>
      </w:pPr>
      <w:r w:rsidRPr="00410D48">
        <w:rPr>
          <w:rFonts w:ascii="Book Antiqua" w:hAnsi="Book Antiqua"/>
          <w:strike/>
          <w:lang w:val="es-PR"/>
        </w:rPr>
        <w:tab/>
      </w:r>
      <w:r w:rsidRPr="00410D48">
        <w:rPr>
          <w:rFonts w:ascii="Book Antiqua" w:hAnsi="Book Antiqua"/>
          <w:i/>
          <w:iCs/>
          <w:strike/>
          <w:lang w:val="es-PR"/>
        </w:rPr>
        <w:t>El permiso provisional podrá también emitirse, portarse y verificarse digitalmente mediante la plataforma Cesco Digital u otra plataforma autorizada por DTOP. El formato digital tendrá igual validez que el permiso provisional físico.</w:t>
      </w:r>
    </w:p>
    <w:p w14:paraId="340D5BC4"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eastAsia="Calibri" w:hAnsi="Book Antiqua" w:cs="Helvetica"/>
          <w:strike/>
          <w:lang w:val="es-PR"/>
        </w:rPr>
        <w:tab/>
        <w:t xml:space="preserve">Sección 5. – </w:t>
      </w:r>
      <w:r w:rsidRPr="00410D48">
        <w:rPr>
          <w:rFonts w:ascii="Book Antiqua" w:hAnsi="Book Antiqua"/>
          <w:strike/>
          <w:lang w:val="es-PR"/>
        </w:rPr>
        <w:t>Se enmienda el Artículo 2.1</w:t>
      </w:r>
      <w:r w:rsidR="005F132C" w:rsidRPr="00410D48">
        <w:rPr>
          <w:rFonts w:ascii="Book Antiqua" w:hAnsi="Book Antiqua"/>
          <w:strike/>
          <w:lang w:val="es-PR"/>
        </w:rPr>
        <w:t>7</w:t>
      </w:r>
      <w:r w:rsidRPr="00410D48">
        <w:rPr>
          <w:rFonts w:ascii="Book Antiqua" w:hAnsi="Book Antiqua"/>
          <w:strike/>
          <w:lang w:val="es-PR"/>
        </w:rPr>
        <w:t xml:space="preserve"> de la Ley 22-2000 para añadir un párrafo final que lea como sigue:</w:t>
      </w:r>
    </w:p>
    <w:p w14:paraId="7F862ECA" w14:textId="77777777" w:rsidR="005F132C"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hAnsi="Book Antiqua"/>
          <w:strike/>
          <w:lang w:val="es-PR"/>
        </w:rPr>
        <w:tab/>
        <w:t xml:space="preserve">Artículo 2.17 – </w:t>
      </w:r>
      <w:r w:rsidRPr="00410D48">
        <w:rPr>
          <w:rFonts w:ascii="Book Antiqua" w:eastAsia="Calibri" w:hAnsi="Book Antiqua" w:cs="Helvetica"/>
          <w:strike/>
          <w:lang w:val="es-PR"/>
        </w:rPr>
        <w:t>Concesionarios especiales. (9 L.P.R.A § 5018)</w:t>
      </w:r>
      <w:r w:rsidR="00AD4FC7" w:rsidRPr="00410D48">
        <w:rPr>
          <w:rFonts w:ascii="Book Antiqua" w:hAnsi="Book Antiqua"/>
          <w:strike/>
          <w:lang w:val="es-PR"/>
        </w:rPr>
        <w:tab/>
      </w:r>
    </w:p>
    <w:p w14:paraId="59BDEB40" w14:textId="77777777" w:rsidR="00AD4FC7"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hAnsi="Book Antiqua"/>
          <w:strike/>
          <w:lang w:val="es-PR"/>
        </w:rPr>
        <w:tab/>
      </w:r>
      <w:r w:rsidR="00AD4FC7" w:rsidRPr="00410D48">
        <w:rPr>
          <w:rFonts w:ascii="Book Antiqua" w:hAnsi="Book Antiqua"/>
          <w:strike/>
          <w:lang w:val="es-PR"/>
        </w:rPr>
        <w:t>…</w:t>
      </w:r>
    </w:p>
    <w:p w14:paraId="65F6D76E"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strike/>
          <w:lang w:val="es-PR"/>
        </w:rPr>
      </w:pPr>
      <w:r w:rsidRPr="00410D48">
        <w:rPr>
          <w:rFonts w:ascii="Book Antiqua" w:eastAsia="Calibri" w:hAnsi="Book Antiqua" w:cs="Helvetica"/>
          <w:strike/>
          <w:lang w:val="es-PR"/>
        </w:rPr>
        <w:tab/>
      </w:r>
      <w:r w:rsidRPr="00410D48">
        <w:rPr>
          <w:rFonts w:ascii="Book Antiqua" w:hAnsi="Book Antiqua"/>
          <w:i/>
          <w:iCs/>
          <w:strike/>
          <w:lang w:val="es-PR"/>
        </w:rPr>
        <w:t>Los permisos especiales expedidos a consecionarios podrá</w:t>
      </w:r>
      <w:r w:rsidR="005F132C" w:rsidRPr="00410D48">
        <w:rPr>
          <w:rFonts w:ascii="Book Antiqua" w:hAnsi="Book Antiqua"/>
          <w:i/>
          <w:iCs/>
          <w:strike/>
          <w:lang w:val="es-PR"/>
        </w:rPr>
        <w:t>n</w:t>
      </w:r>
      <w:r w:rsidRPr="00410D48">
        <w:rPr>
          <w:rFonts w:ascii="Book Antiqua" w:hAnsi="Book Antiqua"/>
          <w:i/>
          <w:iCs/>
          <w:strike/>
          <w:lang w:val="es-PR"/>
        </w:rPr>
        <w:t xml:space="preserve"> también emitirse, portarse y verificarse digitalmente mediante la plataforma Cesco Digital u otra plataforma autorizada por DTOP. El formato digital tendrá igual validez que el permiso provisional físico</w:t>
      </w:r>
    </w:p>
    <w:p w14:paraId="49B3875A"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eastAsia="Calibri" w:hAnsi="Book Antiqua" w:cs="Helvetica"/>
          <w:strike/>
          <w:lang w:val="es-PR"/>
        </w:rPr>
        <w:tab/>
        <w:t xml:space="preserve">Sección 6. – </w:t>
      </w:r>
      <w:r w:rsidRPr="00410D48">
        <w:rPr>
          <w:rFonts w:ascii="Book Antiqua" w:hAnsi="Book Antiqua"/>
          <w:strike/>
          <w:lang w:val="es-PR"/>
        </w:rPr>
        <w:t>Se enmienda el inciso (n) del Artículo 2.44 de la Ley 22-2000 para añadir un párrafo final que lea como sigue:</w:t>
      </w:r>
    </w:p>
    <w:p w14:paraId="075C7339" w14:textId="77777777" w:rsidR="005F132C"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strike/>
          <w:lang w:val="es-PR"/>
        </w:rPr>
      </w:pPr>
      <w:r w:rsidRPr="00410D48">
        <w:rPr>
          <w:rFonts w:ascii="Book Antiqua" w:hAnsi="Book Antiqua"/>
          <w:strike/>
          <w:lang w:val="es-PR"/>
        </w:rPr>
        <w:lastRenderedPageBreak/>
        <w:tab/>
        <w:t xml:space="preserve">Artículo 2.44 – </w:t>
      </w:r>
      <w:r w:rsidRPr="00410D48">
        <w:rPr>
          <w:rFonts w:ascii="Book Antiqua" w:eastAsia="Calibri" w:hAnsi="Book Antiqua" w:cs="Helvetica"/>
          <w:strike/>
          <w:lang w:val="es-PR"/>
        </w:rPr>
        <w:t>Permisos especiales a vehículos de motor, arrastres o semiarrastres cuyo dueño no resida en Puerto Rico. (9 L.P.R.A § 5044)</w:t>
      </w:r>
    </w:p>
    <w:p w14:paraId="00BCF7ED"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strike/>
          <w:lang w:val="es-PR"/>
        </w:rPr>
      </w:pPr>
      <w:r w:rsidRPr="00410D48">
        <w:rPr>
          <w:rFonts w:ascii="Book Antiqua" w:hAnsi="Book Antiqua"/>
          <w:strike/>
          <w:lang w:val="es-PR"/>
        </w:rPr>
        <w:tab/>
        <w:t>…</w:t>
      </w:r>
    </w:p>
    <w:p w14:paraId="6C7FE4A2"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strike/>
          <w:lang w:val="es-PR"/>
        </w:rPr>
      </w:pPr>
      <w:r w:rsidRPr="00410D48">
        <w:rPr>
          <w:rFonts w:ascii="Book Antiqua" w:hAnsi="Book Antiqua"/>
          <w:strike/>
          <w:lang w:val="es-PR"/>
        </w:rPr>
        <w:tab/>
      </w:r>
      <w:r w:rsidRPr="00410D48">
        <w:rPr>
          <w:rFonts w:ascii="Book Antiqua" w:eastAsia="Calibri" w:hAnsi="Book Antiqua" w:cs="Helvetica"/>
          <w:strike/>
          <w:lang w:val="es-PR"/>
        </w:rPr>
        <w:t>(n) El certificado en que conste el permiso especial concedido a dueños no residentes de vehículos de motor, arrastres o semiarrastre contendrá en su faz aquella información que aparezca del registro establecido en esta Ley. Dicho certificado deberá ser llevado continuamente en el vehículo de motor o en el vehículo que tire del arrastre o semiarrastre.</w:t>
      </w:r>
    </w:p>
    <w:p w14:paraId="01731B22" w14:textId="7777777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strike/>
          <w:lang w:val="es-PR"/>
        </w:rPr>
      </w:pPr>
      <w:r w:rsidRPr="00410D48">
        <w:rPr>
          <w:rFonts w:ascii="Book Antiqua" w:eastAsia="Calibri" w:hAnsi="Book Antiqua" w:cs="Helvetica"/>
          <w:strike/>
          <w:lang w:val="es-PR"/>
        </w:rPr>
        <w:tab/>
      </w:r>
      <w:r w:rsidRPr="00410D48">
        <w:rPr>
          <w:rFonts w:ascii="Book Antiqua" w:hAnsi="Book Antiqua"/>
          <w:i/>
          <w:iCs/>
          <w:strike/>
          <w:lang w:val="es-PR"/>
        </w:rPr>
        <w:t xml:space="preserve">El certificado o permiso especial podrá emitirse, portarse y verificarse también en formato digital mediante la plataforma Cesco Digital </w:t>
      </w:r>
      <w:r w:rsidR="005F132C" w:rsidRPr="00410D48">
        <w:rPr>
          <w:rFonts w:ascii="Book Antiqua" w:hAnsi="Book Antiqua"/>
          <w:i/>
          <w:iCs/>
          <w:strike/>
          <w:lang w:val="es-PR"/>
        </w:rPr>
        <w:t>u</w:t>
      </w:r>
      <w:r w:rsidRPr="00410D48">
        <w:rPr>
          <w:rFonts w:ascii="Book Antiqua" w:hAnsi="Book Antiqua"/>
          <w:i/>
          <w:iCs/>
          <w:strike/>
          <w:lang w:val="es-PR"/>
        </w:rPr>
        <w:t xml:space="preserve"> otra plataforma autorizada por el DTOP. La versión digital tendrá la misma validez que el documento físico impreso.</w:t>
      </w:r>
    </w:p>
    <w:p w14:paraId="37E4A52B" w14:textId="7814BA27"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lang w:val="es-PR"/>
        </w:rPr>
      </w:pPr>
      <w:r w:rsidRPr="00410D48">
        <w:rPr>
          <w:rFonts w:ascii="Book Antiqua" w:eastAsia="Calibri" w:hAnsi="Book Antiqua" w:cs="Helvetica"/>
          <w:lang w:val="es-PR"/>
        </w:rPr>
        <w:tab/>
        <w:t xml:space="preserve">Sección </w:t>
      </w:r>
      <w:r w:rsidRPr="00410D48">
        <w:rPr>
          <w:rFonts w:ascii="Book Antiqua" w:eastAsia="Calibri" w:hAnsi="Book Antiqua" w:cs="Helvetica"/>
          <w:strike/>
          <w:lang w:val="es-PR"/>
        </w:rPr>
        <w:t>7</w:t>
      </w:r>
      <w:r w:rsidR="00186D0B" w:rsidRPr="00410D48">
        <w:rPr>
          <w:rFonts w:ascii="Book Antiqua" w:eastAsia="Calibri" w:hAnsi="Book Antiqua" w:cs="Helvetica"/>
          <w:lang w:val="es-PR"/>
        </w:rPr>
        <w:t xml:space="preserve"> </w:t>
      </w:r>
      <w:r w:rsidR="00186D0B" w:rsidRPr="00410D48">
        <w:rPr>
          <w:rFonts w:ascii="Book Antiqua" w:eastAsia="Calibri" w:hAnsi="Book Antiqua" w:cs="Helvetica"/>
          <w:i/>
          <w:iCs/>
          <w:u w:val="single"/>
          <w:lang w:val="es-PR"/>
        </w:rPr>
        <w:t>4</w:t>
      </w:r>
      <w:r w:rsidRPr="00410D48">
        <w:rPr>
          <w:rFonts w:ascii="Book Antiqua" w:eastAsia="Calibri" w:hAnsi="Book Antiqua" w:cs="Helvetica"/>
          <w:lang w:val="es-PR"/>
        </w:rPr>
        <w:t xml:space="preserve">. – </w:t>
      </w:r>
      <w:r w:rsidR="005F132C" w:rsidRPr="00410D48">
        <w:rPr>
          <w:rFonts w:ascii="Book Antiqua" w:hAnsi="Book Antiqua"/>
          <w:lang w:val="es-PR"/>
        </w:rPr>
        <w:t>Se enmiendan los incisos (c) y (v) del Artículo 2.48 de la Ley 22-2000</w:t>
      </w:r>
      <w:r w:rsidR="00186D0B" w:rsidRPr="00410D48">
        <w:rPr>
          <w:rFonts w:ascii="Book Antiqua" w:hAnsi="Book Antiqua"/>
          <w:i/>
          <w:iCs/>
          <w:u w:val="single"/>
          <w:lang w:val="es-PR"/>
        </w:rPr>
        <w:t>, según enmendada,</w:t>
      </w:r>
      <w:r w:rsidR="005F132C" w:rsidRPr="00410D48">
        <w:rPr>
          <w:rFonts w:ascii="Book Antiqua" w:hAnsi="Book Antiqua"/>
          <w:lang w:val="es-PR"/>
        </w:rPr>
        <w:t xml:space="preserve"> para que lean</w:t>
      </w:r>
      <w:r w:rsidR="00F4553B" w:rsidRPr="00410D48">
        <w:rPr>
          <w:rFonts w:ascii="Book Antiqua" w:hAnsi="Book Antiqua"/>
          <w:lang w:val="es-PR"/>
        </w:rPr>
        <w:t xml:space="preserve"> </w:t>
      </w:r>
      <w:r w:rsidR="005F132C" w:rsidRPr="00410D48">
        <w:rPr>
          <w:rFonts w:ascii="Book Antiqua" w:hAnsi="Book Antiqua"/>
          <w:lang w:val="es-PR"/>
        </w:rPr>
        <w:t>como sigue:</w:t>
      </w:r>
    </w:p>
    <w:p w14:paraId="59A136D7" w14:textId="21687B0E" w:rsidR="005F132C" w:rsidRPr="00410D48"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lang w:val="es-PR"/>
        </w:rPr>
      </w:pPr>
      <w:r w:rsidRPr="00410D48">
        <w:rPr>
          <w:rFonts w:ascii="Book Antiqua" w:hAnsi="Book Antiqua"/>
          <w:lang w:val="es-PR"/>
        </w:rPr>
        <w:tab/>
      </w:r>
      <w:r w:rsidR="00186D0B" w:rsidRPr="00410D48">
        <w:rPr>
          <w:rFonts w:ascii="Book Antiqua" w:hAnsi="Book Antiqua"/>
          <w:i/>
          <w:iCs/>
          <w:u w:val="single"/>
          <w:lang w:val="es-PR"/>
        </w:rPr>
        <w:t>“</w:t>
      </w:r>
      <w:r w:rsidRPr="00410D48">
        <w:rPr>
          <w:rFonts w:ascii="Book Antiqua" w:hAnsi="Book Antiqua"/>
          <w:lang w:val="es-PR"/>
        </w:rPr>
        <w:t>Artículo 2.48</w:t>
      </w:r>
      <w:r w:rsidR="00F90F15" w:rsidRPr="00410D48">
        <w:rPr>
          <w:rFonts w:ascii="Book Antiqua" w:hAnsi="Book Antiqua"/>
          <w:i/>
          <w:iCs/>
          <w:u w:val="single"/>
          <w:lang w:val="es-PR"/>
        </w:rPr>
        <w:t>.</w:t>
      </w:r>
      <w:r w:rsidRPr="00410D48">
        <w:rPr>
          <w:rFonts w:ascii="Book Antiqua" w:hAnsi="Book Antiqua"/>
          <w:lang w:val="es-PR"/>
        </w:rPr>
        <w:t xml:space="preserve"> – </w:t>
      </w:r>
      <w:r w:rsidRPr="00410D48">
        <w:rPr>
          <w:rFonts w:ascii="Book Antiqua" w:eastAsia="Calibri" w:hAnsi="Book Antiqua" w:cs="Helvetica"/>
          <w:lang w:val="es-PR"/>
        </w:rPr>
        <w:t xml:space="preserve">Actos ilegales y penalidades. </w:t>
      </w:r>
      <w:r w:rsidRPr="00410D48">
        <w:rPr>
          <w:rFonts w:ascii="Book Antiqua" w:eastAsia="Calibri" w:hAnsi="Book Antiqua" w:cs="Helvetica"/>
          <w:strike/>
          <w:lang w:val="es-PR"/>
        </w:rPr>
        <w:t>(9 L.P.R.A § 5048)</w:t>
      </w:r>
    </w:p>
    <w:p w14:paraId="18C1C1B5" w14:textId="77777777" w:rsidR="005F132C" w:rsidRPr="00410D48"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lang w:val="es-PR"/>
        </w:rPr>
      </w:pPr>
      <w:r w:rsidRPr="00410D48">
        <w:rPr>
          <w:rFonts w:ascii="Book Antiqua" w:hAnsi="Book Antiqua"/>
          <w:lang w:val="es-PR"/>
        </w:rPr>
        <w:tab/>
        <w:t>…</w:t>
      </w:r>
    </w:p>
    <w:p w14:paraId="5C30E9EF" w14:textId="385DB8E8" w:rsidR="005F132C"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hAnsi="Book Antiqua"/>
          <w:lang w:val="es-PR"/>
        </w:rPr>
        <w:tab/>
        <w:t xml:space="preserve">(c) </w:t>
      </w:r>
      <w:r w:rsidRPr="00410D48">
        <w:rPr>
          <w:rFonts w:ascii="Book Antiqua" w:eastAsia="Calibri" w:hAnsi="Book Antiqua" w:cs="Helvetica"/>
          <w:lang w:val="es-PR"/>
        </w:rPr>
        <w:t>Conducir un vehículo de motor o tirar de un arrastre o semiarrastre por las vías públicas, sin llevar en el mismo</w:t>
      </w:r>
      <w:r w:rsidR="00F4553B" w:rsidRPr="00410D48">
        <w:rPr>
          <w:rFonts w:ascii="Book Antiqua" w:eastAsia="Calibri" w:hAnsi="Book Antiqua" w:cs="Helvetica"/>
          <w:i/>
          <w:iCs/>
          <w:u w:val="single"/>
          <w:lang w:val="es-PR"/>
        </w:rPr>
        <w:t>,</w:t>
      </w:r>
      <w:r w:rsidRPr="00410D48">
        <w:rPr>
          <w:rFonts w:ascii="Book Antiqua" w:eastAsia="Calibri" w:hAnsi="Book Antiqua" w:cs="Helvetica"/>
          <w:lang w:val="es-PR"/>
        </w:rPr>
        <w:t xml:space="preserve"> copia del permiso,</w:t>
      </w:r>
      <w:r w:rsidRPr="00410D48">
        <w:rPr>
          <w:rFonts w:ascii="Book Antiqua" w:eastAsia="Calibri" w:hAnsi="Book Antiqua" w:cs="Helvetica"/>
          <w:i/>
          <w:iCs/>
          <w:lang w:val="es-PR"/>
        </w:rPr>
        <w:t xml:space="preserve"> </w:t>
      </w:r>
      <w:r w:rsidRPr="00410D48">
        <w:rPr>
          <w:rFonts w:ascii="Book Antiqua" w:eastAsia="Calibri" w:hAnsi="Book Antiqua" w:cs="Helvetica"/>
          <w:i/>
          <w:iCs/>
          <w:strike/>
          <w:lang w:val="es-PR"/>
        </w:rPr>
        <w:t>física</w:t>
      </w:r>
      <w:r w:rsidRPr="00410D48">
        <w:rPr>
          <w:rFonts w:ascii="Book Antiqua" w:eastAsia="Calibri" w:hAnsi="Book Antiqua" w:cs="Helvetica"/>
          <w:i/>
          <w:iCs/>
          <w:lang w:val="es-PR"/>
        </w:rPr>
        <w:t xml:space="preserve"> </w:t>
      </w:r>
      <w:r w:rsidR="00F4553B" w:rsidRPr="00410D48">
        <w:rPr>
          <w:rFonts w:ascii="Book Antiqua" w:eastAsia="Calibri" w:hAnsi="Book Antiqua" w:cs="Helvetica"/>
          <w:i/>
          <w:iCs/>
          <w:u w:val="single"/>
          <w:lang w:val="es-PR"/>
        </w:rPr>
        <w:t>físico</w:t>
      </w:r>
      <w:r w:rsidR="00F4553B" w:rsidRPr="00410D48">
        <w:rPr>
          <w:rFonts w:ascii="Book Antiqua" w:eastAsia="Calibri" w:hAnsi="Book Antiqua" w:cs="Helvetica"/>
          <w:i/>
          <w:iCs/>
          <w:lang w:val="es-PR"/>
        </w:rPr>
        <w:t xml:space="preserve"> </w:t>
      </w:r>
      <w:r w:rsidRPr="00410D48">
        <w:rPr>
          <w:rFonts w:ascii="Book Antiqua" w:eastAsia="Calibri" w:hAnsi="Book Antiqua" w:cs="Helvetica"/>
          <w:i/>
          <w:iCs/>
          <w:lang w:val="es-PR"/>
        </w:rPr>
        <w:t>o en formato digital</w:t>
      </w:r>
      <w:r w:rsidR="00F4553B" w:rsidRPr="00410D48">
        <w:rPr>
          <w:rFonts w:ascii="Book Antiqua" w:eastAsia="Calibri" w:hAnsi="Book Antiqua" w:cs="Helvetica"/>
          <w:i/>
          <w:iCs/>
          <w:u w:val="single"/>
          <w:lang w:val="es-PR"/>
        </w:rPr>
        <w:t>,</w:t>
      </w:r>
      <w:r w:rsidRPr="00410D48">
        <w:rPr>
          <w:rFonts w:ascii="Book Antiqua" w:hAnsi="Book Antiqua"/>
          <w:i/>
          <w:iCs/>
          <w:lang w:val="es-PR"/>
        </w:rPr>
        <w:t xml:space="preserve"> mediante la plataforma Cesco Digital u otra plataforma autorizada por el DTOP</w:t>
      </w:r>
      <w:r w:rsidRPr="00410D48">
        <w:rPr>
          <w:rFonts w:ascii="Book Antiqua" w:eastAsia="Calibri" w:hAnsi="Book Antiqua" w:cs="Helvetica"/>
          <w:i/>
          <w:iCs/>
          <w:lang w:val="es-PR"/>
        </w:rPr>
        <w:t>,</w:t>
      </w:r>
      <w:r w:rsidRPr="00410D48">
        <w:rPr>
          <w:rFonts w:ascii="Book Antiqua" w:eastAsia="Calibri" w:hAnsi="Book Antiqua" w:cs="Helvetica"/>
          <w:lang w:val="es-PR"/>
        </w:rPr>
        <w:t xml:space="preserve"> los documentos o membretes que en sustitución de dicho permiso autorizan a dicho vehículo a transitar. Toda persona que viole esta disposición incurrirá en falta administrativa y será sancionada con multa de cien (100) dólares.</w:t>
      </w:r>
    </w:p>
    <w:p w14:paraId="5B8B63F8" w14:textId="77777777" w:rsidR="005F132C"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ab/>
        <w:t>…</w:t>
      </w:r>
    </w:p>
    <w:p w14:paraId="0BF65B0C" w14:textId="7B338525" w:rsidR="00F4553B" w:rsidRPr="00410D48" w:rsidRDefault="005F132C"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lastRenderedPageBreak/>
        <w:tab/>
        <w:t>(v) Conducir un vehículo de motor, arrastre o semiarrastre sin portar el permiso del mismo</w:t>
      </w:r>
      <w:r w:rsidRPr="00410D48">
        <w:rPr>
          <w:rFonts w:ascii="Book Antiqua" w:eastAsia="Calibri" w:hAnsi="Book Antiqua" w:cs="Helvetica"/>
          <w:i/>
          <w:iCs/>
          <w:lang w:val="es-PR"/>
        </w:rPr>
        <w:t>, sea en formato físico o en formato</w:t>
      </w:r>
      <w:r w:rsidRPr="00410D48">
        <w:rPr>
          <w:rFonts w:ascii="Book Antiqua" w:eastAsia="Calibri" w:hAnsi="Book Antiqua" w:cs="Helvetica"/>
          <w:lang w:val="es-PR"/>
        </w:rPr>
        <w:t xml:space="preserve"> </w:t>
      </w:r>
      <w:r w:rsidRPr="00410D48">
        <w:rPr>
          <w:rFonts w:ascii="Book Antiqua" w:eastAsia="Calibri" w:hAnsi="Book Antiqua" w:cs="Helvetica"/>
          <w:i/>
          <w:iCs/>
          <w:lang w:val="es-PR"/>
        </w:rPr>
        <w:t>digital</w:t>
      </w:r>
      <w:r w:rsidR="00F4553B" w:rsidRPr="00410D48">
        <w:rPr>
          <w:rFonts w:ascii="Book Antiqua" w:eastAsia="Calibri" w:hAnsi="Book Antiqua" w:cs="Helvetica"/>
          <w:i/>
          <w:iCs/>
          <w:u w:val="single"/>
          <w:lang w:val="es-PR"/>
        </w:rPr>
        <w:t>,</w:t>
      </w:r>
      <w:r w:rsidRPr="00410D48">
        <w:rPr>
          <w:rFonts w:ascii="Book Antiqua" w:hAnsi="Book Antiqua"/>
          <w:i/>
          <w:iCs/>
          <w:lang w:val="es-PR"/>
        </w:rPr>
        <w:t xml:space="preserve"> mediante la plataforma Cesco Digital u otra plataforma autorizada por el DTOP,</w:t>
      </w:r>
      <w:r w:rsidRPr="00410D48">
        <w:rPr>
          <w:rFonts w:ascii="Book Antiqua" w:eastAsia="Calibri" w:hAnsi="Book Antiqua" w:cs="Helvetica"/>
          <w:lang w:val="es-PR"/>
        </w:rPr>
        <w:t xml:space="preserve"> una vez hayan transcurrido treinta (30) días después que dicho vehículo haya sido inscrito por el concesionario o institución financiera en el Departamento. Toda persona que viole esta disposición incurrirá en falta administrativa y será sancionada con multa de cincuenta (50) dólares. Los vehículos de servicio público podrán transitar con la autorización para sustituir que les haya sido expedida por la Comisión de Servicio Público hasta la tramitación final de la sustitución, siempre y cuando el titular del vehículo no tenga deuda alguna pendiente de pago ante dicha agencia.</w:t>
      </w:r>
    </w:p>
    <w:p w14:paraId="4275F677" w14:textId="3A67A50D" w:rsidR="00F4553B" w:rsidRPr="00410D48" w:rsidRDefault="00F4553B"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tab/>
      </w:r>
      <w:r w:rsidRPr="00410D48">
        <w:rPr>
          <w:rFonts w:ascii="Book Antiqua" w:eastAsia="Calibri" w:hAnsi="Book Antiqua" w:cs="Helvetica"/>
          <w:u w:val="single"/>
          <w:lang w:val="es-PR"/>
        </w:rPr>
        <w:t>(w)</w:t>
      </w:r>
      <w:r w:rsidRPr="00410D48">
        <w:rPr>
          <w:rFonts w:ascii="Book Antiqua" w:eastAsia="Calibri" w:hAnsi="Book Antiqua" w:cs="Helvetica"/>
          <w:i/>
          <w:iCs/>
          <w:u w:val="single"/>
          <w:lang w:val="es-PR"/>
        </w:rPr>
        <w:t>…</w:t>
      </w:r>
    </w:p>
    <w:p w14:paraId="658087C9" w14:textId="71D6C97E" w:rsidR="00F4553B" w:rsidRPr="00410D48" w:rsidRDefault="00F4553B" w:rsidP="005F13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i/>
          <w:iCs/>
          <w:u w:val="single"/>
          <w:lang w:val="es-PR"/>
        </w:rPr>
      </w:pPr>
      <w:r w:rsidRPr="00410D48">
        <w:rPr>
          <w:rFonts w:ascii="Book Antiqua" w:eastAsia="Calibri" w:hAnsi="Book Antiqua" w:cs="Helvetica"/>
          <w:lang w:val="es-PR"/>
        </w:rPr>
        <w:tab/>
      </w:r>
      <w:r w:rsidRPr="00410D48">
        <w:rPr>
          <w:rFonts w:ascii="Book Antiqua" w:eastAsia="Calibri" w:hAnsi="Book Antiqua" w:cs="Helvetica"/>
          <w:u w:val="single"/>
          <w:lang w:val="es-PR"/>
        </w:rPr>
        <w:t>(x)</w:t>
      </w:r>
      <w:r w:rsidR="00F90F15" w:rsidRPr="00410D48">
        <w:rPr>
          <w:rFonts w:ascii="Book Antiqua" w:eastAsia="Calibri" w:hAnsi="Book Antiqua" w:cs="Helvetica"/>
          <w:i/>
          <w:iCs/>
          <w:u w:val="single"/>
          <w:lang w:val="es-PR"/>
        </w:rPr>
        <w:t>…”</w:t>
      </w:r>
    </w:p>
    <w:p w14:paraId="0E66B3B9" w14:textId="10086ABD" w:rsidR="00AD4FC7" w:rsidRPr="00410D48"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ab/>
        <w:t xml:space="preserve">Sección </w:t>
      </w:r>
      <w:r w:rsidRPr="00410D48">
        <w:rPr>
          <w:rFonts w:ascii="Book Antiqua" w:eastAsia="Calibri" w:hAnsi="Book Antiqua" w:cs="Helvetica"/>
          <w:strike/>
          <w:lang w:val="es-PR"/>
        </w:rPr>
        <w:t>8</w:t>
      </w:r>
      <w:r w:rsidR="00F4553B" w:rsidRPr="00410D48">
        <w:rPr>
          <w:rFonts w:ascii="Book Antiqua" w:eastAsia="Calibri" w:hAnsi="Book Antiqua" w:cs="Helvetica"/>
          <w:lang w:val="es-PR"/>
        </w:rPr>
        <w:t xml:space="preserve"> </w:t>
      </w:r>
      <w:r w:rsidR="00F4553B" w:rsidRPr="00410D48">
        <w:rPr>
          <w:rFonts w:ascii="Book Antiqua" w:eastAsia="Calibri" w:hAnsi="Book Antiqua" w:cs="Helvetica"/>
          <w:i/>
          <w:iCs/>
          <w:u w:val="single"/>
          <w:lang w:val="es-PR"/>
        </w:rPr>
        <w:t>5</w:t>
      </w:r>
      <w:r w:rsidRPr="00410D48">
        <w:rPr>
          <w:rFonts w:ascii="Book Antiqua" w:eastAsia="Calibri" w:hAnsi="Book Antiqua" w:cs="Helvetica"/>
          <w:lang w:val="es-PR"/>
        </w:rPr>
        <w:t xml:space="preserve">. – </w:t>
      </w:r>
      <w:r w:rsidR="005F132C" w:rsidRPr="00410D48">
        <w:rPr>
          <w:rFonts w:ascii="Book Antiqua" w:eastAsia="Calibri" w:hAnsi="Book Antiqua" w:cs="Helvetica"/>
          <w:lang w:val="es-PR"/>
        </w:rPr>
        <w:t>Reglamentación</w:t>
      </w:r>
    </w:p>
    <w:p w14:paraId="150980E0" w14:textId="56D07657" w:rsidR="005F132C" w:rsidRPr="00410D48"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sidRPr="00410D48">
        <w:rPr>
          <w:rFonts w:ascii="Book Antiqua" w:eastAsia="Calibri" w:hAnsi="Book Antiqua" w:cs="Helvetica"/>
          <w:lang w:val="es-PR"/>
        </w:rPr>
        <w:tab/>
        <w:t xml:space="preserve">El </w:t>
      </w:r>
      <w:proofErr w:type="gramStart"/>
      <w:r w:rsidRPr="00410D48">
        <w:rPr>
          <w:rFonts w:ascii="Book Antiqua" w:eastAsia="Calibri" w:hAnsi="Book Antiqua" w:cs="Helvetica"/>
          <w:lang w:val="es-PR"/>
        </w:rPr>
        <w:t>Secretario</w:t>
      </w:r>
      <w:proofErr w:type="gramEnd"/>
      <w:r w:rsidRPr="00410D48">
        <w:rPr>
          <w:rFonts w:ascii="Book Antiqua" w:eastAsia="Calibri" w:hAnsi="Book Antiqua" w:cs="Helvetica"/>
          <w:lang w:val="es-PR"/>
        </w:rPr>
        <w:t xml:space="preserve"> </w:t>
      </w:r>
      <w:r w:rsidRPr="00410D48">
        <w:rPr>
          <w:rFonts w:ascii="Book Antiqua" w:eastAsia="Calibri" w:hAnsi="Book Antiqua" w:cs="Helvetica"/>
          <w:strike/>
          <w:lang w:val="es-PR"/>
        </w:rPr>
        <w:t>de</w:t>
      </w:r>
      <w:r w:rsidRPr="00410D48">
        <w:rPr>
          <w:rFonts w:ascii="Book Antiqua" w:eastAsia="Calibri" w:hAnsi="Book Antiqua" w:cs="Helvetica"/>
          <w:lang w:val="es-PR"/>
        </w:rPr>
        <w:t xml:space="preserve"> </w:t>
      </w:r>
      <w:r w:rsidR="00F4553B" w:rsidRPr="00410D48">
        <w:rPr>
          <w:rFonts w:ascii="Book Antiqua" w:eastAsia="Calibri" w:hAnsi="Book Antiqua" w:cs="Helvetica"/>
          <w:i/>
          <w:iCs/>
          <w:u w:val="single"/>
          <w:lang w:val="es-PR"/>
        </w:rPr>
        <w:t>del</w:t>
      </w:r>
      <w:r w:rsidR="00F4553B" w:rsidRPr="00410D48">
        <w:rPr>
          <w:rFonts w:ascii="Book Antiqua" w:eastAsia="Calibri" w:hAnsi="Book Antiqua" w:cs="Helvetica"/>
          <w:lang w:val="es-PR"/>
        </w:rPr>
        <w:t xml:space="preserve"> </w:t>
      </w:r>
      <w:r w:rsidRPr="00410D48">
        <w:rPr>
          <w:rFonts w:ascii="Book Antiqua" w:eastAsia="Calibri" w:hAnsi="Book Antiqua" w:cs="Helvetica"/>
          <w:lang w:val="es-PR"/>
        </w:rPr>
        <w:t>DTOP promulgará, dentro de un periodo de ciento veinte (120) días</w:t>
      </w:r>
      <w:r w:rsidR="00F4553B" w:rsidRPr="00410D48">
        <w:rPr>
          <w:rFonts w:ascii="Book Antiqua" w:eastAsia="Calibri" w:hAnsi="Book Antiqua" w:cs="Helvetica"/>
          <w:i/>
          <w:iCs/>
          <w:u w:val="single"/>
          <w:lang w:val="es-PR"/>
        </w:rPr>
        <w:t>, contados</w:t>
      </w:r>
      <w:r w:rsidRPr="00410D48">
        <w:rPr>
          <w:rFonts w:ascii="Book Antiqua" w:eastAsia="Calibri" w:hAnsi="Book Antiqua" w:cs="Helvetica"/>
          <w:lang w:val="es-PR"/>
        </w:rPr>
        <w:t xml:space="preserve"> a partir de la aprobación de esta Ley, la reglamentación y procedimientos necesarios para implantar </w:t>
      </w:r>
      <w:r w:rsidRPr="00410D48">
        <w:rPr>
          <w:rFonts w:ascii="Book Antiqua" w:eastAsia="Calibri" w:hAnsi="Book Antiqua" w:cs="Helvetica"/>
          <w:strike/>
          <w:lang w:val="es-PR"/>
        </w:rPr>
        <w:t>las</w:t>
      </w:r>
      <w:r w:rsidRPr="00410D48">
        <w:rPr>
          <w:rFonts w:ascii="Book Antiqua" w:eastAsia="Calibri" w:hAnsi="Book Antiqua" w:cs="Helvetica"/>
          <w:lang w:val="es-PR"/>
        </w:rPr>
        <w:t xml:space="preserve"> </w:t>
      </w:r>
      <w:r w:rsidR="00F4553B" w:rsidRPr="00410D48">
        <w:rPr>
          <w:rFonts w:ascii="Book Antiqua" w:eastAsia="Calibri" w:hAnsi="Book Antiqua" w:cs="Helvetica"/>
          <w:i/>
          <w:iCs/>
          <w:u w:val="single"/>
          <w:lang w:val="es-PR"/>
        </w:rPr>
        <w:t>sus</w:t>
      </w:r>
      <w:r w:rsidR="00F4553B" w:rsidRPr="00410D48">
        <w:rPr>
          <w:rFonts w:ascii="Book Antiqua" w:eastAsia="Calibri" w:hAnsi="Book Antiqua" w:cs="Helvetica"/>
          <w:lang w:val="es-PR"/>
        </w:rPr>
        <w:t xml:space="preserve"> </w:t>
      </w:r>
      <w:r w:rsidRPr="00410D48">
        <w:rPr>
          <w:rFonts w:ascii="Book Antiqua" w:eastAsia="Calibri" w:hAnsi="Book Antiqua" w:cs="Helvetica"/>
          <w:lang w:val="es-PR"/>
        </w:rPr>
        <w:t xml:space="preserve">disposiciones </w:t>
      </w:r>
      <w:r w:rsidRPr="00410D48">
        <w:rPr>
          <w:rFonts w:ascii="Book Antiqua" w:eastAsia="Calibri" w:hAnsi="Book Antiqua" w:cs="Helvetica"/>
          <w:strike/>
          <w:lang w:val="es-PR"/>
        </w:rPr>
        <w:t>de esta</w:t>
      </w:r>
      <w:r w:rsidRPr="00410D48">
        <w:rPr>
          <w:rFonts w:ascii="Book Antiqua" w:eastAsia="Calibri" w:hAnsi="Book Antiqua" w:cs="Helvetica"/>
          <w:lang w:val="es-PR"/>
        </w:rPr>
        <w:t>.</w:t>
      </w:r>
    </w:p>
    <w:p w14:paraId="28A1BB7D" w14:textId="21C174D3" w:rsidR="005F132C"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Pr>
          <w:rFonts w:ascii="Book Antiqua" w:eastAsia="Calibri" w:hAnsi="Book Antiqua" w:cs="Helvetica"/>
          <w:lang w:val="es-PR"/>
        </w:rPr>
        <w:tab/>
        <w:t xml:space="preserve">Sección </w:t>
      </w:r>
      <w:r w:rsidRPr="00F4553B">
        <w:rPr>
          <w:rFonts w:ascii="Book Antiqua" w:eastAsia="Calibri" w:hAnsi="Book Antiqua" w:cs="Helvetica"/>
          <w:strike/>
          <w:lang w:val="es-PR"/>
        </w:rPr>
        <w:t>9</w:t>
      </w:r>
      <w:r w:rsidR="00F4553B">
        <w:rPr>
          <w:rFonts w:ascii="Book Antiqua" w:eastAsia="Calibri" w:hAnsi="Book Antiqua" w:cs="Helvetica"/>
          <w:lang w:val="es-PR"/>
        </w:rPr>
        <w:t xml:space="preserve"> </w:t>
      </w:r>
      <w:r w:rsidR="00F4553B">
        <w:rPr>
          <w:rFonts w:ascii="Book Antiqua" w:eastAsia="Calibri" w:hAnsi="Book Antiqua" w:cs="Helvetica"/>
          <w:i/>
          <w:iCs/>
          <w:u w:val="single"/>
          <w:lang w:val="es-PR"/>
        </w:rPr>
        <w:t>6</w:t>
      </w:r>
      <w:r>
        <w:rPr>
          <w:rFonts w:ascii="Book Antiqua" w:eastAsia="Calibri" w:hAnsi="Book Antiqua" w:cs="Helvetica"/>
          <w:lang w:val="es-PR"/>
        </w:rPr>
        <w:t>. – Separabilidad</w:t>
      </w:r>
    </w:p>
    <w:p w14:paraId="5FA26108" w14:textId="77777777" w:rsidR="005F132C"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Pr>
          <w:rFonts w:ascii="Book Antiqua" w:eastAsia="Calibri" w:hAnsi="Book Antiqua" w:cs="Helvetica"/>
          <w:lang w:val="es-PR"/>
        </w:rPr>
        <w:tab/>
        <w:t>Si cualquier parte de esta Ley fuese declarada nula o inconstitucional por un tribunal con jurisdicción, esto no invalidará el resto de las disposiciones de esta Ley.</w:t>
      </w:r>
    </w:p>
    <w:p w14:paraId="737159B4" w14:textId="375B07DA" w:rsidR="005F132C" w:rsidRDefault="00AD4FC7"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hAnsi="Book Antiqua"/>
          <w:lang w:val="es-PR"/>
        </w:rPr>
      </w:pPr>
      <w:r>
        <w:rPr>
          <w:rFonts w:ascii="Book Antiqua" w:eastAsia="Calibri" w:hAnsi="Book Antiqua" w:cs="Helvetica"/>
          <w:lang w:val="es-PR"/>
        </w:rPr>
        <w:tab/>
      </w:r>
      <w:r w:rsidR="00E06DFC">
        <w:rPr>
          <w:rFonts w:ascii="Book Antiqua" w:hAnsi="Book Antiqua"/>
          <w:lang w:val="es-PR"/>
        </w:rPr>
        <w:t xml:space="preserve">Sección </w:t>
      </w:r>
      <w:r w:rsidR="005F132C" w:rsidRPr="00F4553B">
        <w:rPr>
          <w:rFonts w:ascii="Book Antiqua" w:hAnsi="Book Antiqua"/>
          <w:strike/>
          <w:lang w:val="es-PR"/>
        </w:rPr>
        <w:t>10</w:t>
      </w:r>
      <w:r w:rsidR="00F4553B">
        <w:rPr>
          <w:rFonts w:ascii="Book Antiqua" w:hAnsi="Book Antiqua"/>
          <w:lang w:val="es-PR"/>
        </w:rPr>
        <w:t xml:space="preserve"> </w:t>
      </w:r>
      <w:r w:rsidR="00F4553B">
        <w:rPr>
          <w:rFonts w:ascii="Book Antiqua" w:hAnsi="Book Antiqua"/>
          <w:i/>
          <w:iCs/>
          <w:u w:val="single"/>
          <w:lang w:val="es-PR"/>
        </w:rPr>
        <w:t>7</w:t>
      </w:r>
      <w:r w:rsidR="00E06DFC">
        <w:rPr>
          <w:rFonts w:ascii="Book Antiqua" w:hAnsi="Book Antiqua"/>
          <w:lang w:val="es-PR"/>
        </w:rPr>
        <w:t xml:space="preserve">. </w:t>
      </w:r>
      <w:r w:rsidR="003F1DF5" w:rsidRPr="003F1DF5">
        <w:rPr>
          <w:rFonts w:ascii="Book Antiqua" w:hAnsi="Book Antiqua"/>
          <w:lang w:val="es-PR"/>
        </w:rPr>
        <w:t xml:space="preserve">– </w:t>
      </w:r>
      <w:r w:rsidR="005F132C">
        <w:rPr>
          <w:rFonts w:ascii="Book Antiqua" w:hAnsi="Book Antiqua"/>
          <w:lang w:val="es-PR"/>
        </w:rPr>
        <w:t xml:space="preserve">Vigencia </w:t>
      </w:r>
    </w:p>
    <w:p w14:paraId="5E8B3A83" w14:textId="77777777" w:rsidR="00A65C17" w:rsidRPr="00AD4FC7" w:rsidRDefault="005F132C" w:rsidP="00AD4F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Calibri" w:hAnsi="Book Antiqua" w:cs="Helvetica"/>
          <w:lang w:val="es-PR"/>
        </w:rPr>
      </w:pPr>
      <w:r>
        <w:rPr>
          <w:rFonts w:ascii="Book Antiqua" w:hAnsi="Book Antiqua"/>
          <w:lang w:val="es-PR"/>
        </w:rPr>
        <w:tab/>
      </w:r>
      <w:r w:rsidR="003F1DF5" w:rsidRPr="003F1DF5">
        <w:rPr>
          <w:rFonts w:ascii="Book Antiqua" w:hAnsi="Book Antiqua"/>
          <w:lang w:val="es-PR"/>
        </w:rPr>
        <w:t xml:space="preserve">Esta </w:t>
      </w:r>
      <w:r w:rsidR="0034766F">
        <w:rPr>
          <w:rFonts w:ascii="Book Antiqua" w:hAnsi="Book Antiqua"/>
          <w:lang w:val="es-PR"/>
        </w:rPr>
        <w:t>Ley</w:t>
      </w:r>
      <w:r w:rsidR="003F1DF5" w:rsidRPr="003F1DF5">
        <w:rPr>
          <w:rFonts w:ascii="Book Antiqua" w:hAnsi="Book Antiqua"/>
          <w:lang w:val="es-PR"/>
        </w:rPr>
        <w:t xml:space="preserve"> comenzará a regir inmediatamente después de su aprobación.</w:t>
      </w:r>
    </w:p>
    <w:sectPr w:rsidR="00A65C17" w:rsidRPr="00AD4FC7" w:rsidSect="002F427E">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4FCA4" w14:textId="77777777" w:rsidR="009131FE" w:rsidRDefault="009131FE" w:rsidP="00160183">
      <w:r>
        <w:separator/>
      </w:r>
    </w:p>
  </w:endnote>
  <w:endnote w:type="continuationSeparator" w:id="0">
    <w:p w14:paraId="492256BA" w14:textId="77777777" w:rsidR="009131FE" w:rsidRDefault="009131FE" w:rsidP="00160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1C86B" w14:textId="77777777" w:rsidR="009131FE" w:rsidRDefault="009131FE" w:rsidP="00160183">
      <w:r>
        <w:separator/>
      </w:r>
    </w:p>
  </w:footnote>
  <w:footnote w:type="continuationSeparator" w:id="0">
    <w:p w14:paraId="15F7BB4A" w14:textId="77777777" w:rsidR="009131FE" w:rsidRDefault="009131FE" w:rsidP="00160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EDFC" w14:textId="77777777" w:rsidR="00F1467F" w:rsidRDefault="00F1467F">
    <w:pPr>
      <w:pStyle w:val="Header"/>
      <w:jc w:val="center"/>
    </w:pPr>
    <w:r>
      <w:fldChar w:fldCharType="begin"/>
    </w:r>
    <w:r>
      <w:instrText xml:space="preserve"> PAGE   \* MERGEFORMAT </w:instrText>
    </w:r>
    <w:r>
      <w:fldChar w:fldCharType="separate"/>
    </w:r>
    <w:r>
      <w:rPr>
        <w:noProof/>
      </w:rPr>
      <w:t>2</w:t>
    </w:r>
    <w:r>
      <w:rPr>
        <w:noProof/>
      </w:rPr>
      <w:fldChar w:fldCharType="end"/>
    </w:r>
  </w:p>
  <w:p w14:paraId="41B588FB" w14:textId="77777777" w:rsidR="00F1467F" w:rsidRDefault="00F1467F" w:rsidP="00F1467F">
    <w:pPr>
      <w:pStyle w:val="Header"/>
      <w:tabs>
        <w:tab w:val="clear" w:pos="4680"/>
        <w:tab w:val="clear" w:pos="9360"/>
        <w:tab w:val="left" w:pos="630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A4E8E"/>
    <w:multiLevelType w:val="hybridMultilevel"/>
    <w:tmpl w:val="D8F4B280"/>
    <w:lvl w:ilvl="0" w:tplc="FB940A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2552DF7"/>
    <w:multiLevelType w:val="hybridMultilevel"/>
    <w:tmpl w:val="5D74B610"/>
    <w:lvl w:ilvl="0" w:tplc="E354A8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42723526">
    <w:abstractNumId w:val="0"/>
  </w:num>
  <w:num w:numId="2" w16cid:durableId="689336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83"/>
    <w:rsid w:val="000077F1"/>
    <w:rsid w:val="00035BBF"/>
    <w:rsid w:val="000456AB"/>
    <w:rsid w:val="000463F6"/>
    <w:rsid w:val="00047FAC"/>
    <w:rsid w:val="000563DE"/>
    <w:rsid w:val="00057117"/>
    <w:rsid w:val="00064B00"/>
    <w:rsid w:val="00066950"/>
    <w:rsid w:val="00071632"/>
    <w:rsid w:val="00081176"/>
    <w:rsid w:val="000A0735"/>
    <w:rsid w:val="000A2096"/>
    <w:rsid w:val="000B3FFA"/>
    <w:rsid w:val="000C2400"/>
    <w:rsid w:val="000F0DCA"/>
    <w:rsid w:val="000F2B94"/>
    <w:rsid w:val="000F756C"/>
    <w:rsid w:val="00106EF2"/>
    <w:rsid w:val="0011613D"/>
    <w:rsid w:val="00132824"/>
    <w:rsid w:val="0014446A"/>
    <w:rsid w:val="00146B62"/>
    <w:rsid w:val="00160183"/>
    <w:rsid w:val="001603ED"/>
    <w:rsid w:val="00174765"/>
    <w:rsid w:val="00186D0B"/>
    <w:rsid w:val="001A2C5E"/>
    <w:rsid w:val="001A723F"/>
    <w:rsid w:val="001B7AFE"/>
    <w:rsid w:val="001C01A2"/>
    <w:rsid w:val="001C1424"/>
    <w:rsid w:val="001C1642"/>
    <w:rsid w:val="001C19B9"/>
    <w:rsid w:val="001E6A61"/>
    <w:rsid w:val="001E6DF8"/>
    <w:rsid w:val="0023363D"/>
    <w:rsid w:val="00240215"/>
    <w:rsid w:val="0026494F"/>
    <w:rsid w:val="002753D6"/>
    <w:rsid w:val="00285E7A"/>
    <w:rsid w:val="00286EAA"/>
    <w:rsid w:val="00286F7D"/>
    <w:rsid w:val="002901A8"/>
    <w:rsid w:val="00294499"/>
    <w:rsid w:val="002A43D9"/>
    <w:rsid w:val="002B4E8B"/>
    <w:rsid w:val="002D6E76"/>
    <w:rsid w:val="002E6AB0"/>
    <w:rsid w:val="002F427E"/>
    <w:rsid w:val="00311D7D"/>
    <w:rsid w:val="0031651A"/>
    <w:rsid w:val="00321E99"/>
    <w:rsid w:val="0034135D"/>
    <w:rsid w:val="0034766F"/>
    <w:rsid w:val="00363D57"/>
    <w:rsid w:val="00371111"/>
    <w:rsid w:val="003839BF"/>
    <w:rsid w:val="00384C8E"/>
    <w:rsid w:val="003913BA"/>
    <w:rsid w:val="003A2E20"/>
    <w:rsid w:val="003C55DB"/>
    <w:rsid w:val="003D026C"/>
    <w:rsid w:val="003D1925"/>
    <w:rsid w:val="003D7A32"/>
    <w:rsid w:val="003E4489"/>
    <w:rsid w:val="003E4CC9"/>
    <w:rsid w:val="003E7FC2"/>
    <w:rsid w:val="003F0D9F"/>
    <w:rsid w:val="003F1DF5"/>
    <w:rsid w:val="003F621A"/>
    <w:rsid w:val="00410D48"/>
    <w:rsid w:val="00416A0A"/>
    <w:rsid w:val="00440F39"/>
    <w:rsid w:val="00453483"/>
    <w:rsid w:val="0045480E"/>
    <w:rsid w:val="00473AB1"/>
    <w:rsid w:val="0047495B"/>
    <w:rsid w:val="00477933"/>
    <w:rsid w:val="00482205"/>
    <w:rsid w:val="00484195"/>
    <w:rsid w:val="00486320"/>
    <w:rsid w:val="00490048"/>
    <w:rsid w:val="00490E1F"/>
    <w:rsid w:val="004A1416"/>
    <w:rsid w:val="004A72AA"/>
    <w:rsid w:val="004B3416"/>
    <w:rsid w:val="004C0DA1"/>
    <w:rsid w:val="004E6651"/>
    <w:rsid w:val="004E7803"/>
    <w:rsid w:val="004F7034"/>
    <w:rsid w:val="00500693"/>
    <w:rsid w:val="00504582"/>
    <w:rsid w:val="00504E34"/>
    <w:rsid w:val="005209C3"/>
    <w:rsid w:val="005253B4"/>
    <w:rsid w:val="00590CC9"/>
    <w:rsid w:val="005A568C"/>
    <w:rsid w:val="005C1391"/>
    <w:rsid w:val="005C5979"/>
    <w:rsid w:val="005D4D19"/>
    <w:rsid w:val="005D536D"/>
    <w:rsid w:val="005E0C51"/>
    <w:rsid w:val="005F132C"/>
    <w:rsid w:val="0061288F"/>
    <w:rsid w:val="006130C8"/>
    <w:rsid w:val="00626036"/>
    <w:rsid w:val="006310CF"/>
    <w:rsid w:val="006350EA"/>
    <w:rsid w:val="006458B7"/>
    <w:rsid w:val="00651B9A"/>
    <w:rsid w:val="00652128"/>
    <w:rsid w:val="0065459C"/>
    <w:rsid w:val="00685BB5"/>
    <w:rsid w:val="00691C3E"/>
    <w:rsid w:val="006A0473"/>
    <w:rsid w:val="006A0CA9"/>
    <w:rsid w:val="006A2C13"/>
    <w:rsid w:val="006B415F"/>
    <w:rsid w:val="006C5627"/>
    <w:rsid w:val="006C5D03"/>
    <w:rsid w:val="006F42DB"/>
    <w:rsid w:val="00726BDC"/>
    <w:rsid w:val="007413A1"/>
    <w:rsid w:val="007441FA"/>
    <w:rsid w:val="007766CD"/>
    <w:rsid w:val="00782BDD"/>
    <w:rsid w:val="00793044"/>
    <w:rsid w:val="007A0799"/>
    <w:rsid w:val="007B7B6D"/>
    <w:rsid w:val="007C030E"/>
    <w:rsid w:val="007C17AB"/>
    <w:rsid w:val="007C5242"/>
    <w:rsid w:val="007F3486"/>
    <w:rsid w:val="007F39DA"/>
    <w:rsid w:val="00800E18"/>
    <w:rsid w:val="008016FA"/>
    <w:rsid w:val="00804E1E"/>
    <w:rsid w:val="00810A7B"/>
    <w:rsid w:val="00815C20"/>
    <w:rsid w:val="008449DE"/>
    <w:rsid w:val="008467DF"/>
    <w:rsid w:val="00850968"/>
    <w:rsid w:val="0085155A"/>
    <w:rsid w:val="0085168D"/>
    <w:rsid w:val="00854F9A"/>
    <w:rsid w:val="00857DC9"/>
    <w:rsid w:val="008741F4"/>
    <w:rsid w:val="00877258"/>
    <w:rsid w:val="00882E69"/>
    <w:rsid w:val="008A493A"/>
    <w:rsid w:val="008A50D2"/>
    <w:rsid w:val="008B2161"/>
    <w:rsid w:val="008C0927"/>
    <w:rsid w:val="008C5335"/>
    <w:rsid w:val="008E1A95"/>
    <w:rsid w:val="008F2FAD"/>
    <w:rsid w:val="008F3F3A"/>
    <w:rsid w:val="009022AB"/>
    <w:rsid w:val="009131FE"/>
    <w:rsid w:val="00940AC5"/>
    <w:rsid w:val="00950FDF"/>
    <w:rsid w:val="009510F3"/>
    <w:rsid w:val="009869DD"/>
    <w:rsid w:val="00995974"/>
    <w:rsid w:val="009A3042"/>
    <w:rsid w:val="009B2CB1"/>
    <w:rsid w:val="009D34AC"/>
    <w:rsid w:val="009E49E8"/>
    <w:rsid w:val="009F5673"/>
    <w:rsid w:val="00A038FE"/>
    <w:rsid w:val="00A156F9"/>
    <w:rsid w:val="00A1641E"/>
    <w:rsid w:val="00A16A4C"/>
    <w:rsid w:val="00A218BE"/>
    <w:rsid w:val="00A369AE"/>
    <w:rsid w:val="00A65C17"/>
    <w:rsid w:val="00A90EEC"/>
    <w:rsid w:val="00A91F21"/>
    <w:rsid w:val="00AA51D5"/>
    <w:rsid w:val="00AC0EF7"/>
    <w:rsid w:val="00AD4FC7"/>
    <w:rsid w:val="00AD5386"/>
    <w:rsid w:val="00AE1FD1"/>
    <w:rsid w:val="00AE2FBB"/>
    <w:rsid w:val="00AE38B1"/>
    <w:rsid w:val="00B2326B"/>
    <w:rsid w:val="00B35F19"/>
    <w:rsid w:val="00B40593"/>
    <w:rsid w:val="00B539A9"/>
    <w:rsid w:val="00B57E6A"/>
    <w:rsid w:val="00BD794D"/>
    <w:rsid w:val="00BE4F67"/>
    <w:rsid w:val="00BF0E5A"/>
    <w:rsid w:val="00C056F0"/>
    <w:rsid w:val="00C0721E"/>
    <w:rsid w:val="00C1668C"/>
    <w:rsid w:val="00C41F63"/>
    <w:rsid w:val="00C43B78"/>
    <w:rsid w:val="00C45075"/>
    <w:rsid w:val="00C50D81"/>
    <w:rsid w:val="00C56594"/>
    <w:rsid w:val="00C60F6B"/>
    <w:rsid w:val="00C73CFE"/>
    <w:rsid w:val="00C7572B"/>
    <w:rsid w:val="00C84931"/>
    <w:rsid w:val="00C86EA7"/>
    <w:rsid w:val="00C910A3"/>
    <w:rsid w:val="00CB7B39"/>
    <w:rsid w:val="00CC681D"/>
    <w:rsid w:val="00CD3979"/>
    <w:rsid w:val="00CD4E9C"/>
    <w:rsid w:val="00CE48B8"/>
    <w:rsid w:val="00D02076"/>
    <w:rsid w:val="00D0675E"/>
    <w:rsid w:val="00D177F8"/>
    <w:rsid w:val="00D26D13"/>
    <w:rsid w:val="00D340AB"/>
    <w:rsid w:val="00D44C10"/>
    <w:rsid w:val="00D55EF1"/>
    <w:rsid w:val="00D62B6C"/>
    <w:rsid w:val="00D663FF"/>
    <w:rsid w:val="00D7044F"/>
    <w:rsid w:val="00D83D17"/>
    <w:rsid w:val="00D86B27"/>
    <w:rsid w:val="00D86E50"/>
    <w:rsid w:val="00D90EE3"/>
    <w:rsid w:val="00D969D3"/>
    <w:rsid w:val="00D97152"/>
    <w:rsid w:val="00DA5349"/>
    <w:rsid w:val="00DB7F42"/>
    <w:rsid w:val="00DE671C"/>
    <w:rsid w:val="00DF623D"/>
    <w:rsid w:val="00E01FF8"/>
    <w:rsid w:val="00E04CDC"/>
    <w:rsid w:val="00E06DFC"/>
    <w:rsid w:val="00E17211"/>
    <w:rsid w:val="00E40B0D"/>
    <w:rsid w:val="00E44FED"/>
    <w:rsid w:val="00E45D34"/>
    <w:rsid w:val="00E63060"/>
    <w:rsid w:val="00E66F38"/>
    <w:rsid w:val="00E727CD"/>
    <w:rsid w:val="00E776FE"/>
    <w:rsid w:val="00E80087"/>
    <w:rsid w:val="00E81082"/>
    <w:rsid w:val="00E9410A"/>
    <w:rsid w:val="00E95C0C"/>
    <w:rsid w:val="00EB1D29"/>
    <w:rsid w:val="00EB6495"/>
    <w:rsid w:val="00EB7413"/>
    <w:rsid w:val="00ED7D64"/>
    <w:rsid w:val="00F030AC"/>
    <w:rsid w:val="00F10D6D"/>
    <w:rsid w:val="00F12187"/>
    <w:rsid w:val="00F1467F"/>
    <w:rsid w:val="00F240B4"/>
    <w:rsid w:val="00F246E2"/>
    <w:rsid w:val="00F30BC8"/>
    <w:rsid w:val="00F31AA7"/>
    <w:rsid w:val="00F37362"/>
    <w:rsid w:val="00F4553B"/>
    <w:rsid w:val="00F47339"/>
    <w:rsid w:val="00F60AF8"/>
    <w:rsid w:val="00F72098"/>
    <w:rsid w:val="00F84D54"/>
    <w:rsid w:val="00F90F15"/>
    <w:rsid w:val="00F95CB1"/>
    <w:rsid w:val="00FB455E"/>
    <w:rsid w:val="00FB4FF7"/>
    <w:rsid w:val="00FD1D53"/>
    <w:rsid w:val="00FD4BFA"/>
    <w:rsid w:val="00FE1D55"/>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822E"/>
  <w15:chartTrackingRefBased/>
  <w15:docId w15:val="{78679C5E-8359-4ACE-AB1A-509AA13C8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32C"/>
    <w:rPr>
      <w:rFonts w:ascii="Times New Roman" w:eastAsia="Times New Roman" w:hAnsi="Times New Roman"/>
      <w:sz w:val="24"/>
      <w:szCs w:val="24"/>
      <w:lang w:val="en-US" w:eastAsia="en-US"/>
    </w:rPr>
  </w:style>
  <w:style w:type="paragraph" w:styleId="Heading3">
    <w:name w:val="heading 3"/>
    <w:basedOn w:val="Normal"/>
    <w:link w:val="Heading3Char"/>
    <w:uiPriority w:val="9"/>
    <w:qFormat/>
    <w:rsid w:val="0034766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160183"/>
    <w:rPr>
      <w:rFonts w:ascii="Times New Roman" w:hAnsi="Times New Roman"/>
      <w:sz w:val="22"/>
      <w:szCs w:val="22"/>
      <w:lang w:val="en-US" w:eastAsia="en-US"/>
    </w:rPr>
  </w:style>
  <w:style w:type="paragraph" w:customStyle="1" w:styleId="Title2">
    <w:name w:val="Title2"/>
    <w:basedOn w:val="Normal"/>
    <w:next w:val="Normal"/>
    <w:rsid w:val="00160183"/>
    <w:pPr>
      <w:tabs>
        <w:tab w:val="left" w:pos="648"/>
        <w:tab w:val="right" w:pos="7776"/>
        <w:tab w:val="left" w:pos="7848"/>
      </w:tabs>
    </w:pPr>
  </w:style>
  <w:style w:type="paragraph" w:customStyle="1" w:styleId="Default">
    <w:name w:val="Default"/>
    <w:rsid w:val="00160183"/>
    <w:pPr>
      <w:autoSpaceDE w:val="0"/>
      <w:autoSpaceDN w:val="0"/>
      <w:adjustRightInd w:val="0"/>
    </w:pPr>
    <w:rPr>
      <w:rFonts w:ascii="Times New Roman" w:hAnsi="Times New Roman"/>
      <w:color w:val="000000"/>
      <w:sz w:val="24"/>
      <w:szCs w:val="24"/>
      <w:lang w:val="en-US" w:eastAsia="en-US"/>
    </w:rPr>
  </w:style>
  <w:style w:type="character" w:styleId="LineNumber">
    <w:name w:val="line number"/>
    <w:basedOn w:val="DefaultParagraphFont"/>
    <w:uiPriority w:val="99"/>
    <w:semiHidden/>
    <w:unhideWhenUsed/>
    <w:rsid w:val="00160183"/>
  </w:style>
  <w:style w:type="paragraph" w:styleId="Header">
    <w:name w:val="header"/>
    <w:basedOn w:val="Normal"/>
    <w:link w:val="HeaderChar"/>
    <w:uiPriority w:val="99"/>
    <w:unhideWhenUsed/>
    <w:rsid w:val="00160183"/>
    <w:pPr>
      <w:tabs>
        <w:tab w:val="center" w:pos="4680"/>
        <w:tab w:val="right" w:pos="9360"/>
      </w:tabs>
    </w:pPr>
  </w:style>
  <w:style w:type="character" w:customStyle="1" w:styleId="HeaderChar">
    <w:name w:val="Header Char"/>
    <w:link w:val="Header"/>
    <w:uiPriority w:val="99"/>
    <w:rsid w:val="0016018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160183"/>
    <w:pPr>
      <w:tabs>
        <w:tab w:val="center" w:pos="4680"/>
        <w:tab w:val="right" w:pos="9360"/>
      </w:tabs>
    </w:pPr>
  </w:style>
  <w:style w:type="character" w:customStyle="1" w:styleId="FooterChar">
    <w:name w:val="Footer Char"/>
    <w:link w:val="Footer"/>
    <w:uiPriority w:val="99"/>
    <w:rsid w:val="00160183"/>
    <w:rPr>
      <w:rFonts w:ascii="Times New Roman" w:eastAsia="Times New Roman" w:hAnsi="Times New Roman" w:cs="Times New Roman"/>
      <w:sz w:val="24"/>
      <w:szCs w:val="20"/>
    </w:rPr>
  </w:style>
  <w:style w:type="paragraph" w:customStyle="1" w:styleId="sectext">
    <w:name w:val="sectext"/>
    <w:rsid w:val="000463F6"/>
    <w:pPr>
      <w:widowControl w:val="0"/>
      <w:autoSpaceDE w:val="0"/>
      <w:autoSpaceDN w:val="0"/>
      <w:adjustRightInd w:val="0"/>
    </w:pPr>
    <w:rPr>
      <w:rFonts w:ascii="Times New Roman" w:eastAsia="Times New Roman" w:hAnsi="Times New Roman"/>
      <w:szCs w:val="24"/>
      <w:lang w:val="en-US" w:eastAsia="en-US"/>
    </w:rPr>
  </w:style>
  <w:style w:type="paragraph" w:customStyle="1" w:styleId="Style3">
    <w:name w:val="Style 3"/>
    <w:basedOn w:val="Normal"/>
    <w:uiPriority w:val="99"/>
    <w:rsid w:val="00F240B4"/>
    <w:pPr>
      <w:widowControl w:val="0"/>
      <w:autoSpaceDE w:val="0"/>
      <w:autoSpaceDN w:val="0"/>
      <w:spacing w:line="360" w:lineRule="auto"/>
      <w:jc w:val="both"/>
    </w:pPr>
  </w:style>
  <w:style w:type="paragraph" w:styleId="NormalWeb">
    <w:name w:val="Normal (Web)"/>
    <w:basedOn w:val="Normal"/>
    <w:uiPriority w:val="99"/>
    <w:unhideWhenUsed/>
    <w:rsid w:val="00D97152"/>
    <w:pPr>
      <w:spacing w:before="100" w:beforeAutospacing="1" w:after="100" w:afterAutospacing="1"/>
    </w:pPr>
  </w:style>
  <w:style w:type="character" w:customStyle="1" w:styleId="Heading3Char">
    <w:name w:val="Heading 3 Char"/>
    <w:link w:val="Heading3"/>
    <w:uiPriority w:val="9"/>
    <w:rsid w:val="0034766F"/>
    <w:rPr>
      <w:rFonts w:ascii="Times New Roman" w:eastAsia="Times New Roman" w:hAnsi="Times New Roman"/>
      <w:b/>
      <w:bCs/>
      <w:sz w:val="27"/>
      <w:szCs w:val="27"/>
    </w:rPr>
  </w:style>
  <w:style w:type="character" w:customStyle="1" w:styleId="apple-converted-space">
    <w:name w:val="apple-converted-space"/>
    <w:basedOn w:val="DefaultParagraphFont"/>
    <w:rsid w:val="00AD4FC7"/>
  </w:style>
  <w:style w:type="character" w:styleId="Strong">
    <w:name w:val="Strong"/>
    <w:uiPriority w:val="22"/>
    <w:qFormat/>
    <w:rsid w:val="00AD4FC7"/>
    <w:rPr>
      <w:b/>
      <w:bCs/>
    </w:rPr>
  </w:style>
  <w:style w:type="character" w:styleId="Emphasis">
    <w:name w:val="Emphasis"/>
    <w:uiPriority w:val="20"/>
    <w:qFormat/>
    <w:rsid w:val="00AD4F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081130">
      <w:bodyDiv w:val="1"/>
      <w:marLeft w:val="0"/>
      <w:marRight w:val="0"/>
      <w:marTop w:val="0"/>
      <w:marBottom w:val="0"/>
      <w:divBdr>
        <w:top w:val="none" w:sz="0" w:space="0" w:color="auto"/>
        <w:left w:val="none" w:sz="0" w:space="0" w:color="auto"/>
        <w:bottom w:val="none" w:sz="0" w:space="0" w:color="auto"/>
        <w:right w:val="none" w:sz="0" w:space="0" w:color="auto"/>
      </w:divBdr>
    </w:div>
    <w:div w:id="639844198">
      <w:bodyDiv w:val="1"/>
      <w:marLeft w:val="0"/>
      <w:marRight w:val="0"/>
      <w:marTop w:val="0"/>
      <w:marBottom w:val="0"/>
      <w:divBdr>
        <w:top w:val="none" w:sz="0" w:space="0" w:color="auto"/>
        <w:left w:val="none" w:sz="0" w:space="0" w:color="auto"/>
        <w:bottom w:val="none" w:sz="0" w:space="0" w:color="auto"/>
        <w:right w:val="none" w:sz="0" w:space="0" w:color="auto"/>
      </w:divBdr>
    </w:div>
    <w:div w:id="697971492">
      <w:bodyDiv w:val="1"/>
      <w:marLeft w:val="0"/>
      <w:marRight w:val="0"/>
      <w:marTop w:val="0"/>
      <w:marBottom w:val="0"/>
      <w:divBdr>
        <w:top w:val="none" w:sz="0" w:space="0" w:color="auto"/>
        <w:left w:val="none" w:sz="0" w:space="0" w:color="auto"/>
        <w:bottom w:val="none" w:sz="0" w:space="0" w:color="auto"/>
        <w:right w:val="none" w:sz="0" w:space="0" w:color="auto"/>
      </w:divBdr>
    </w:div>
    <w:div w:id="797340244">
      <w:bodyDiv w:val="1"/>
      <w:marLeft w:val="0"/>
      <w:marRight w:val="0"/>
      <w:marTop w:val="0"/>
      <w:marBottom w:val="0"/>
      <w:divBdr>
        <w:top w:val="none" w:sz="0" w:space="0" w:color="auto"/>
        <w:left w:val="none" w:sz="0" w:space="0" w:color="auto"/>
        <w:bottom w:val="none" w:sz="0" w:space="0" w:color="auto"/>
        <w:right w:val="none" w:sz="0" w:space="0" w:color="auto"/>
      </w:divBdr>
    </w:div>
    <w:div w:id="955722482">
      <w:bodyDiv w:val="1"/>
      <w:marLeft w:val="0"/>
      <w:marRight w:val="0"/>
      <w:marTop w:val="0"/>
      <w:marBottom w:val="0"/>
      <w:divBdr>
        <w:top w:val="none" w:sz="0" w:space="0" w:color="auto"/>
        <w:left w:val="none" w:sz="0" w:space="0" w:color="auto"/>
        <w:bottom w:val="none" w:sz="0" w:space="0" w:color="auto"/>
        <w:right w:val="none" w:sz="0" w:space="0" w:color="auto"/>
      </w:divBdr>
    </w:div>
    <w:div w:id="1105999822">
      <w:bodyDiv w:val="1"/>
      <w:marLeft w:val="0"/>
      <w:marRight w:val="0"/>
      <w:marTop w:val="0"/>
      <w:marBottom w:val="0"/>
      <w:divBdr>
        <w:top w:val="none" w:sz="0" w:space="0" w:color="auto"/>
        <w:left w:val="none" w:sz="0" w:space="0" w:color="auto"/>
        <w:bottom w:val="none" w:sz="0" w:space="0" w:color="auto"/>
        <w:right w:val="none" w:sz="0" w:space="0" w:color="auto"/>
      </w:divBdr>
    </w:div>
    <w:div w:id="1243759826">
      <w:bodyDiv w:val="1"/>
      <w:marLeft w:val="0"/>
      <w:marRight w:val="0"/>
      <w:marTop w:val="0"/>
      <w:marBottom w:val="0"/>
      <w:divBdr>
        <w:top w:val="none" w:sz="0" w:space="0" w:color="auto"/>
        <w:left w:val="none" w:sz="0" w:space="0" w:color="auto"/>
        <w:bottom w:val="none" w:sz="0" w:space="0" w:color="auto"/>
        <w:right w:val="none" w:sz="0" w:space="0" w:color="auto"/>
      </w:divBdr>
    </w:div>
    <w:div w:id="1503740111">
      <w:bodyDiv w:val="1"/>
      <w:marLeft w:val="0"/>
      <w:marRight w:val="0"/>
      <w:marTop w:val="0"/>
      <w:marBottom w:val="0"/>
      <w:divBdr>
        <w:top w:val="none" w:sz="0" w:space="0" w:color="auto"/>
        <w:left w:val="none" w:sz="0" w:space="0" w:color="auto"/>
        <w:bottom w:val="none" w:sz="0" w:space="0" w:color="auto"/>
        <w:right w:val="none" w:sz="0" w:space="0" w:color="auto"/>
      </w:divBdr>
    </w:div>
    <w:div w:id="1522166910">
      <w:bodyDiv w:val="1"/>
      <w:marLeft w:val="0"/>
      <w:marRight w:val="0"/>
      <w:marTop w:val="0"/>
      <w:marBottom w:val="0"/>
      <w:divBdr>
        <w:top w:val="none" w:sz="0" w:space="0" w:color="auto"/>
        <w:left w:val="none" w:sz="0" w:space="0" w:color="auto"/>
        <w:bottom w:val="none" w:sz="0" w:space="0" w:color="auto"/>
        <w:right w:val="none" w:sz="0" w:space="0" w:color="auto"/>
      </w:divBdr>
    </w:div>
    <w:div w:id="1575705431">
      <w:bodyDiv w:val="1"/>
      <w:marLeft w:val="0"/>
      <w:marRight w:val="0"/>
      <w:marTop w:val="0"/>
      <w:marBottom w:val="0"/>
      <w:divBdr>
        <w:top w:val="none" w:sz="0" w:space="0" w:color="auto"/>
        <w:left w:val="none" w:sz="0" w:space="0" w:color="auto"/>
        <w:bottom w:val="none" w:sz="0" w:space="0" w:color="auto"/>
        <w:right w:val="none" w:sz="0" w:space="0" w:color="auto"/>
      </w:divBdr>
    </w:div>
    <w:div w:id="1671635284">
      <w:bodyDiv w:val="1"/>
      <w:marLeft w:val="0"/>
      <w:marRight w:val="0"/>
      <w:marTop w:val="0"/>
      <w:marBottom w:val="0"/>
      <w:divBdr>
        <w:top w:val="none" w:sz="0" w:space="0" w:color="auto"/>
        <w:left w:val="none" w:sz="0" w:space="0" w:color="auto"/>
        <w:bottom w:val="none" w:sz="0" w:space="0" w:color="auto"/>
        <w:right w:val="none" w:sz="0" w:space="0" w:color="auto"/>
      </w:divBdr>
    </w:div>
    <w:div w:id="1795367886">
      <w:bodyDiv w:val="1"/>
      <w:marLeft w:val="0"/>
      <w:marRight w:val="0"/>
      <w:marTop w:val="0"/>
      <w:marBottom w:val="0"/>
      <w:divBdr>
        <w:top w:val="none" w:sz="0" w:space="0" w:color="auto"/>
        <w:left w:val="none" w:sz="0" w:space="0" w:color="auto"/>
        <w:bottom w:val="none" w:sz="0" w:space="0" w:color="auto"/>
        <w:right w:val="none" w:sz="0" w:space="0" w:color="auto"/>
      </w:divBdr>
    </w:div>
    <w:div w:id="1837846316">
      <w:bodyDiv w:val="1"/>
      <w:marLeft w:val="0"/>
      <w:marRight w:val="0"/>
      <w:marTop w:val="0"/>
      <w:marBottom w:val="0"/>
      <w:divBdr>
        <w:top w:val="none" w:sz="0" w:space="0" w:color="auto"/>
        <w:left w:val="none" w:sz="0" w:space="0" w:color="auto"/>
        <w:bottom w:val="none" w:sz="0" w:space="0" w:color="auto"/>
        <w:right w:val="none" w:sz="0" w:space="0" w:color="auto"/>
      </w:divBdr>
    </w:div>
    <w:div w:id="1847329428">
      <w:bodyDiv w:val="1"/>
      <w:marLeft w:val="0"/>
      <w:marRight w:val="0"/>
      <w:marTop w:val="0"/>
      <w:marBottom w:val="0"/>
      <w:divBdr>
        <w:top w:val="none" w:sz="0" w:space="0" w:color="auto"/>
        <w:left w:val="none" w:sz="0" w:space="0" w:color="auto"/>
        <w:bottom w:val="none" w:sz="0" w:space="0" w:color="auto"/>
        <w:right w:val="none" w:sz="0" w:space="0" w:color="auto"/>
      </w:divBdr>
    </w:div>
    <w:div w:id="191616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4SQX5P7U7WPY-958212181-822292</_dlc_DocId>
    <_dlc_DocIdUrl xmlns="c890fddd-4e87-4e08-8b51-545f2a3f7b06">
      <Url>https://senpr.sharepoint.com/sites/obralegislativa/_layouts/15/DocIdRedir.aspx?ID=4SQX5P7U7WPY-958212181-822292</Url>
      <Description>4SQX5P7U7WPY-958212181-822292</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CFE8B-65C9-423B-B7AD-38447E861570}"/>
</file>

<file path=customXml/itemProps2.xml><?xml version="1.0" encoding="utf-8"?>
<ds:datastoreItem xmlns:ds="http://schemas.openxmlformats.org/officeDocument/2006/customXml" ds:itemID="{B96FB79F-EB85-45E5-A9AA-2EA42898F491}">
  <ds:schemaRefs>
    <ds:schemaRef ds:uri="http://schemas.microsoft.com/office/2006/metadata/longProperties"/>
  </ds:schemaRefs>
</ds:datastoreItem>
</file>

<file path=customXml/itemProps3.xml><?xml version="1.0" encoding="utf-8"?>
<ds:datastoreItem xmlns:ds="http://schemas.openxmlformats.org/officeDocument/2006/customXml" ds:itemID="{504982D8-ADE9-4DFF-B289-803986549BD9}">
  <ds:schemaRefs>
    <ds:schemaRef ds:uri="http://schemas.microsoft.com/sharepoint/v3/contenttype/forms"/>
  </ds:schemaRefs>
</ds:datastoreItem>
</file>

<file path=customXml/itemProps4.xml><?xml version="1.0" encoding="utf-8"?>
<ds:datastoreItem xmlns:ds="http://schemas.openxmlformats.org/officeDocument/2006/customXml" ds:itemID="{088D7BE1-742F-4312-9FDE-7E8C8AC8E4C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52EA7024-B29C-458E-A7C6-88BF7D915A17}">
  <ds:schemaRefs>
    <ds:schemaRef ds:uri="http://schemas.microsoft.com/sharepoint/events"/>
  </ds:schemaRefs>
</ds:datastoreItem>
</file>

<file path=customXml/itemProps6.xml><?xml version="1.0" encoding="utf-8"?>
<ds:datastoreItem xmlns:ds="http://schemas.openxmlformats.org/officeDocument/2006/customXml" ds:itemID="{70059526-E38A-45BB-8DA2-FF48AB14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Monica Maldonado Gonzalez (Trámites y Récords)</cp:lastModifiedBy>
  <cp:revision>2</cp:revision>
  <cp:lastPrinted>2025-10-16T17:21:00Z</cp:lastPrinted>
  <dcterms:created xsi:type="dcterms:W3CDTF">2026-01-14T15:55:00Z</dcterms:created>
  <dcterms:modified xsi:type="dcterms:W3CDTF">2026-01-14T15:55:00Z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4SQX5P7U7WPY-958212181-820045</vt:lpwstr>
  </property>
  <property fmtid="{D5CDD505-2E9C-101B-9397-08002B2CF9AE}" pid="3" name="_dlc_DocIdItemGuid">
    <vt:lpwstr>f8956b1a-5cb6-406b-b15a-d2678af3e95c</vt:lpwstr>
  </property>
  <property fmtid="{D5CDD505-2E9C-101B-9397-08002B2CF9AE}" pid="4" name="_dlc_DocIdUrl">
    <vt:lpwstr>https://senpr.sharepoint.com/sites/obralegislativa/_layouts/15/DocIdRedir.aspx?ID=4SQX5P7U7WPY-958212181-820045, 4SQX5P7U7WPY-958212181-820045</vt:lpwstr>
  </property>
  <property fmtid="{D5CDD505-2E9C-101B-9397-08002B2CF9AE}" pid="5" name="MediaServiceImageTags">
    <vt:lpwstr/>
  </property>
  <property fmtid="{D5CDD505-2E9C-101B-9397-08002B2CF9AE}" pid="6" name="ContentTypeId">
    <vt:lpwstr>0x0101008C58FC75B682744FB4A53C756BEDC3A3</vt:lpwstr>
  </property>
</Properties>
</file>