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42EB63" w14:textId="6045C125" w:rsidR="00353D8B" w:rsidRPr="007E120F" w:rsidRDefault="00E95477" w:rsidP="00AB7899">
      <w:pPr>
        <w:jc w:val="center"/>
        <w:rPr>
          <w:rFonts w:ascii="Book Antiqua" w:hAnsi="Book Antiqua"/>
          <w:color w:val="000000" w:themeColor="text1"/>
          <w:sz w:val="28"/>
          <w:szCs w:val="28"/>
          <w:lang w:val="es-PR"/>
        </w:rPr>
      </w:pPr>
      <w:r w:rsidRPr="007E120F">
        <w:rPr>
          <w:rFonts w:ascii="Book Antiqua" w:hAnsi="Book Antiqua"/>
          <w:color w:val="000000" w:themeColor="text1"/>
          <w:sz w:val="28"/>
          <w:szCs w:val="28"/>
          <w:lang w:val="es-PR"/>
        </w:rPr>
        <w:t>GOBIERNO</w:t>
      </w:r>
      <w:r w:rsidR="00353D8B" w:rsidRPr="007E120F">
        <w:rPr>
          <w:rFonts w:ascii="Book Antiqua" w:hAnsi="Book Antiqua"/>
          <w:color w:val="000000" w:themeColor="text1"/>
          <w:sz w:val="28"/>
          <w:szCs w:val="28"/>
          <w:lang w:val="es-PR"/>
        </w:rPr>
        <w:t xml:space="preserve"> DE PUERTO RICO</w:t>
      </w:r>
    </w:p>
    <w:p w14:paraId="1E4CF5A1" w14:textId="77777777" w:rsidR="00353D8B" w:rsidRPr="007E120F" w:rsidRDefault="00353D8B" w:rsidP="00AB7899">
      <w:pPr>
        <w:jc w:val="center"/>
        <w:rPr>
          <w:rFonts w:ascii="Book Antiqua" w:hAnsi="Book Antiqua"/>
          <w:color w:val="000000" w:themeColor="text1"/>
          <w:szCs w:val="24"/>
          <w:lang w:val="es-PR"/>
        </w:rPr>
      </w:pPr>
    </w:p>
    <w:p w14:paraId="0977F1F7" w14:textId="027A1080" w:rsidR="00353D8B" w:rsidRPr="007E120F" w:rsidRDefault="00E95477" w:rsidP="00AB7899">
      <w:pPr>
        <w:pStyle w:val="Title2"/>
        <w:tabs>
          <w:tab w:val="clear" w:pos="648"/>
          <w:tab w:val="clear" w:pos="7776"/>
          <w:tab w:val="clear" w:pos="7848"/>
        </w:tabs>
        <w:jc w:val="both"/>
        <w:rPr>
          <w:rFonts w:ascii="Book Antiqua" w:hAnsi="Book Antiqua"/>
          <w:color w:val="000000" w:themeColor="text1"/>
          <w:lang w:val="es-PR"/>
        </w:rPr>
      </w:pPr>
      <w:r w:rsidRPr="007E120F">
        <w:rPr>
          <w:rFonts w:ascii="Book Antiqua" w:hAnsi="Book Antiqua"/>
          <w:color w:val="000000" w:themeColor="text1"/>
          <w:lang w:val="es-PR"/>
        </w:rPr>
        <w:t>20m</w:t>
      </w:r>
      <w:r w:rsidR="00353D8B" w:rsidRPr="007E120F">
        <w:rPr>
          <w:rFonts w:ascii="Book Antiqua" w:hAnsi="Book Antiqua"/>
          <w:color w:val="000000" w:themeColor="text1"/>
          <w:lang w:val="es-PR"/>
        </w:rPr>
        <w:t>a. Asamblea</w:t>
      </w:r>
      <w:r w:rsidR="00353D8B" w:rsidRPr="007E120F">
        <w:rPr>
          <w:rFonts w:ascii="Book Antiqua" w:hAnsi="Book Antiqua"/>
          <w:color w:val="000000" w:themeColor="text1"/>
          <w:lang w:val="es-PR"/>
        </w:rPr>
        <w:tab/>
        <w:t xml:space="preserve">                                                                                               </w:t>
      </w:r>
      <w:r w:rsidR="001F0289" w:rsidRPr="007E120F">
        <w:rPr>
          <w:rFonts w:ascii="Book Antiqua" w:hAnsi="Book Antiqua"/>
          <w:color w:val="000000" w:themeColor="text1"/>
          <w:lang w:val="es-PR"/>
        </w:rPr>
        <w:t>2d</w:t>
      </w:r>
      <w:r w:rsidR="00353D8B" w:rsidRPr="007E120F">
        <w:rPr>
          <w:rFonts w:ascii="Book Antiqua" w:hAnsi="Book Antiqua"/>
          <w:color w:val="000000" w:themeColor="text1"/>
          <w:lang w:val="es-PR"/>
        </w:rPr>
        <w:t>a. Sesión</w:t>
      </w:r>
    </w:p>
    <w:p w14:paraId="598A475A" w14:textId="43B680E7" w:rsidR="00353D8B" w:rsidRPr="007E120F" w:rsidRDefault="00353D8B" w:rsidP="00AB7899">
      <w:pPr>
        <w:pStyle w:val="Title2"/>
        <w:tabs>
          <w:tab w:val="clear" w:pos="648"/>
          <w:tab w:val="clear" w:pos="7776"/>
          <w:tab w:val="clear" w:pos="7848"/>
        </w:tabs>
        <w:jc w:val="both"/>
        <w:rPr>
          <w:rFonts w:ascii="Book Antiqua" w:hAnsi="Book Antiqua"/>
          <w:color w:val="000000" w:themeColor="text1"/>
          <w:lang w:val="es-PR"/>
        </w:rPr>
      </w:pPr>
      <w:r w:rsidRPr="007E120F">
        <w:rPr>
          <w:rFonts w:ascii="Book Antiqua" w:hAnsi="Book Antiqua"/>
          <w:color w:val="000000" w:themeColor="text1"/>
          <w:lang w:val="es-PR"/>
        </w:rPr>
        <w:t xml:space="preserve">          </w:t>
      </w:r>
      <w:r w:rsidR="0041701F" w:rsidRPr="007E120F">
        <w:rPr>
          <w:rFonts w:ascii="Book Antiqua" w:hAnsi="Book Antiqua"/>
          <w:color w:val="000000" w:themeColor="text1"/>
          <w:lang w:val="es-PR"/>
        </w:rPr>
        <w:t xml:space="preserve"> </w:t>
      </w:r>
      <w:r w:rsidRPr="007E120F">
        <w:rPr>
          <w:rFonts w:ascii="Book Antiqua" w:hAnsi="Book Antiqua"/>
          <w:color w:val="000000" w:themeColor="text1"/>
          <w:lang w:val="es-PR"/>
        </w:rPr>
        <w:t>Legislativa</w:t>
      </w:r>
      <w:r w:rsidRPr="007E120F">
        <w:rPr>
          <w:lang w:val="es-PR"/>
        </w:rPr>
        <w:tab/>
      </w:r>
      <w:r w:rsidRPr="007E120F">
        <w:rPr>
          <w:lang w:val="es-PR"/>
        </w:rPr>
        <w:tab/>
      </w:r>
      <w:r w:rsidRPr="007E120F">
        <w:rPr>
          <w:rFonts w:ascii="Book Antiqua" w:hAnsi="Book Antiqua"/>
          <w:color w:val="000000" w:themeColor="text1"/>
          <w:lang w:val="es-PR"/>
        </w:rPr>
        <w:t xml:space="preserve">                                                                </w:t>
      </w:r>
      <w:r w:rsidRPr="007E120F">
        <w:rPr>
          <w:lang w:val="es-PR"/>
        </w:rPr>
        <w:tab/>
      </w:r>
      <w:r w:rsidRPr="007E120F">
        <w:rPr>
          <w:rFonts w:ascii="Book Antiqua" w:hAnsi="Book Antiqua"/>
          <w:color w:val="000000" w:themeColor="text1"/>
          <w:lang w:val="es-PR"/>
        </w:rPr>
        <w:t xml:space="preserve">                </w:t>
      </w:r>
      <w:r w:rsidR="0041701F" w:rsidRPr="007E120F">
        <w:rPr>
          <w:rFonts w:ascii="Book Antiqua" w:hAnsi="Book Antiqua"/>
          <w:color w:val="000000" w:themeColor="text1"/>
          <w:lang w:val="es-PR"/>
        </w:rPr>
        <w:t xml:space="preserve">  </w:t>
      </w:r>
      <w:r w:rsidRPr="007E120F">
        <w:rPr>
          <w:rFonts w:ascii="Book Antiqua" w:hAnsi="Book Antiqua"/>
          <w:color w:val="000000" w:themeColor="text1"/>
          <w:lang w:val="es-PR"/>
        </w:rPr>
        <w:t>Ordinaria</w:t>
      </w:r>
    </w:p>
    <w:p w14:paraId="28E0317F" w14:textId="77777777" w:rsidR="00353D8B" w:rsidRPr="007E120F" w:rsidRDefault="00353D8B" w:rsidP="00AB7899">
      <w:pPr>
        <w:jc w:val="both"/>
        <w:rPr>
          <w:rFonts w:ascii="Book Antiqua" w:hAnsi="Book Antiqua"/>
          <w:color w:val="000000" w:themeColor="text1"/>
          <w:lang w:val="es-PR"/>
        </w:rPr>
      </w:pPr>
    </w:p>
    <w:p w14:paraId="3BD79AE5" w14:textId="77777777" w:rsidR="00353D8B" w:rsidRPr="007E120F" w:rsidRDefault="00353D8B" w:rsidP="00AB7899">
      <w:pPr>
        <w:jc w:val="center"/>
        <w:rPr>
          <w:rFonts w:ascii="Book Antiqua" w:hAnsi="Book Antiqua"/>
          <w:b/>
          <w:color w:val="000000" w:themeColor="text1"/>
          <w:sz w:val="36"/>
          <w:szCs w:val="36"/>
          <w:lang w:val="es-PR"/>
        </w:rPr>
      </w:pPr>
      <w:r w:rsidRPr="007E120F">
        <w:rPr>
          <w:rFonts w:ascii="Book Antiqua" w:hAnsi="Book Antiqua"/>
          <w:b/>
          <w:color w:val="000000" w:themeColor="text1"/>
          <w:sz w:val="36"/>
          <w:szCs w:val="36"/>
          <w:lang w:val="es-PR"/>
        </w:rPr>
        <w:t>CÁMARA DE REPRESENTANTES</w:t>
      </w:r>
    </w:p>
    <w:p w14:paraId="5F795221" w14:textId="77777777" w:rsidR="000A4590" w:rsidRPr="007E120F" w:rsidRDefault="000A4590" w:rsidP="00AB7899">
      <w:pPr>
        <w:jc w:val="center"/>
        <w:rPr>
          <w:rFonts w:ascii="Book Antiqua" w:hAnsi="Book Antiqua"/>
          <w:b/>
          <w:color w:val="000000" w:themeColor="text1"/>
          <w:szCs w:val="24"/>
          <w:lang w:val="es-PR"/>
        </w:rPr>
      </w:pPr>
    </w:p>
    <w:p w14:paraId="0C490CD3" w14:textId="19CD3AC5" w:rsidR="00302B56" w:rsidRPr="007E120F" w:rsidRDefault="000A4590" w:rsidP="00AB7899">
      <w:pPr>
        <w:jc w:val="center"/>
        <w:rPr>
          <w:rFonts w:ascii="Book Antiqua" w:hAnsi="Book Antiqua"/>
          <w:b/>
          <w:szCs w:val="24"/>
          <w:lang w:val="es-ES_tradnl"/>
        </w:rPr>
      </w:pPr>
      <w:r w:rsidRPr="007E120F">
        <w:rPr>
          <w:rFonts w:ascii="Book Antiqua" w:hAnsi="Book Antiqua"/>
          <w:b/>
          <w:sz w:val="52"/>
          <w:szCs w:val="52"/>
          <w:lang w:val="es-ES_tradnl"/>
        </w:rPr>
        <w:t>R. C. de la C.</w:t>
      </w:r>
      <w:r w:rsidR="00483D31" w:rsidRPr="007E120F">
        <w:rPr>
          <w:rFonts w:ascii="Book Antiqua" w:hAnsi="Book Antiqua"/>
          <w:b/>
          <w:sz w:val="52"/>
          <w:szCs w:val="52"/>
          <w:lang w:val="es-ES_tradnl"/>
        </w:rPr>
        <w:t xml:space="preserve"> </w:t>
      </w:r>
      <w:r w:rsidR="0023145D">
        <w:rPr>
          <w:rFonts w:ascii="Book Antiqua" w:hAnsi="Book Antiqua"/>
          <w:b/>
          <w:sz w:val="52"/>
          <w:szCs w:val="52"/>
          <w:lang w:val="es-ES_tradnl"/>
        </w:rPr>
        <w:t>224</w:t>
      </w:r>
    </w:p>
    <w:p w14:paraId="08D47A01" w14:textId="77777777" w:rsidR="00B10ACC" w:rsidRPr="007E120F" w:rsidRDefault="00B10ACC" w:rsidP="00AB7899">
      <w:pPr>
        <w:jc w:val="center"/>
        <w:rPr>
          <w:rFonts w:ascii="Book Antiqua" w:hAnsi="Book Antiqua"/>
          <w:lang w:val="es-ES_tradnl"/>
        </w:rPr>
      </w:pPr>
    </w:p>
    <w:p w14:paraId="5B92F45D" w14:textId="7FC9A8C0" w:rsidR="00443629" w:rsidRPr="007E120F" w:rsidRDefault="0023145D" w:rsidP="00AB7899">
      <w:pPr>
        <w:jc w:val="center"/>
        <w:rPr>
          <w:rFonts w:ascii="Book Antiqua" w:hAnsi="Book Antiqua"/>
          <w:lang w:val="es-ES_tradnl"/>
        </w:rPr>
      </w:pPr>
      <w:r>
        <w:rPr>
          <w:rFonts w:ascii="Book Antiqua" w:hAnsi="Book Antiqua"/>
          <w:lang w:val="es-ES_tradnl"/>
        </w:rPr>
        <w:t>16</w:t>
      </w:r>
      <w:r w:rsidR="00EB3BDA" w:rsidRPr="007E120F">
        <w:rPr>
          <w:rFonts w:ascii="Book Antiqua" w:hAnsi="Book Antiqua"/>
          <w:lang w:val="es-ES_tradnl"/>
        </w:rPr>
        <w:t xml:space="preserve"> </w:t>
      </w:r>
      <w:r w:rsidR="00956095" w:rsidRPr="007E120F">
        <w:rPr>
          <w:rFonts w:ascii="Book Antiqua" w:hAnsi="Book Antiqua"/>
          <w:lang w:val="es-ES_tradnl"/>
        </w:rPr>
        <w:t xml:space="preserve">DE </w:t>
      </w:r>
      <w:r w:rsidR="001F0289" w:rsidRPr="007E120F">
        <w:rPr>
          <w:rFonts w:ascii="Book Antiqua" w:hAnsi="Book Antiqua"/>
          <w:lang w:val="es-ES_tradnl"/>
        </w:rPr>
        <w:t>OCTUBRE</w:t>
      </w:r>
      <w:r w:rsidR="00956095" w:rsidRPr="007E120F">
        <w:rPr>
          <w:rFonts w:ascii="Book Antiqua" w:hAnsi="Book Antiqua"/>
          <w:lang w:val="es-ES_tradnl"/>
        </w:rPr>
        <w:t xml:space="preserve"> DE 202</w:t>
      </w:r>
      <w:r w:rsidR="00E95477" w:rsidRPr="007E120F">
        <w:rPr>
          <w:rFonts w:ascii="Book Antiqua" w:hAnsi="Book Antiqua"/>
          <w:lang w:val="es-ES_tradnl"/>
        </w:rPr>
        <w:t>5</w:t>
      </w:r>
    </w:p>
    <w:p w14:paraId="4A267339" w14:textId="77777777" w:rsidR="00443629" w:rsidRPr="007E120F" w:rsidRDefault="00443629" w:rsidP="00AB7899">
      <w:pPr>
        <w:jc w:val="center"/>
        <w:rPr>
          <w:rFonts w:ascii="Book Antiqua" w:hAnsi="Book Antiqua"/>
          <w:lang w:val="es-ES_tradnl"/>
        </w:rPr>
      </w:pPr>
    </w:p>
    <w:p w14:paraId="60AE5B92" w14:textId="09EBF1C3" w:rsidR="00443629" w:rsidRPr="007E120F" w:rsidRDefault="00956095" w:rsidP="00AB7899">
      <w:pPr>
        <w:jc w:val="center"/>
        <w:rPr>
          <w:rFonts w:ascii="Book Antiqua" w:hAnsi="Book Antiqua"/>
          <w:lang w:val="es-ES_tradnl"/>
        </w:rPr>
      </w:pPr>
      <w:r w:rsidRPr="007E120F">
        <w:rPr>
          <w:rFonts w:ascii="Book Antiqua" w:hAnsi="Book Antiqua"/>
          <w:lang w:val="es-ES_tradnl"/>
        </w:rPr>
        <w:t xml:space="preserve">Presentada por el representante </w:t>
      </w:r>
      <w:r w:rsidR="00483D31" w:rsidRPr="007E120F">
        <w:rPr>
          <w:rFonts w:ascii="Book Antiqua" w:hAnsi="Book Antiqua"/>
          <w:i/>
          <w:lang w:val="es-ES_tradnl"/>
        </w:rPr>
        <w:t>Rivera Ruiz de Porras</w:t>
      </w:r>
      <w:r w:rsidR="00353D8B" w:rsidRPr="007E120F">
        <w:rPr>
          <w:rFonts w:ascii="Book Antiqua" w:hAnsi="Book Antiqua"/>
          <w:i/>
          <w:lang w:val="es-ES_tradnl"/>
        </w:rPr>
        <w:t xml:space="preserve"> </w:t>
      </w:r>
    </w:p>
    <w:p w14:paraId="49E2C7B9" w14:textId="77777777" w:rsidR="00443629" w:rsidRPr="007E120F" w:rsidRDefault="00443629" w:rsidP="00AB7899">
      <w:pPr>
        <w:jc w:val="center"/>
        <w:rPr>
          <w:rFonts w:ascii="Book Antiqua" w:hAnsi="Book Antiqua"/>
          <w:lang w:val="es-ES_tradnl"/>
        </w:rPr>
      </w:pPr>
    </w:p>
    <w:p w14:paraId="3AC94360" w14:textId="5CB71E07" w:rsidR="00956095" w:rsidRPr="007E120F" w:rsidRDefault="00956095" w:rsidP="0041701F">
      <w:pPr>
        <w:jc w:val="center"/>
        <w:rPr>
          <w:rFonts w:ascii="Book Antiqua" w:hAnsi="Book Antiqua"/>
          <w:lang w:val="es-ES_tradnl"/>
        </w:rPr>
      </w:pPr>
      <w:r w:rsidRPr="007E120F">
        <w:rPr>
          <w:rFonts w:ascii="Book Antiqua" w:hAnsi="Book Antiqua"/>
          <w:lang w:val="es-ES_tradnl"/>
        </w:rPr>
        <w:t xml:space="preserve">Referida a </w:t>
      </w:r>
      <w:r w:rsidR="00DA21E8" w:rsidRPr="007E120F">
        <w:rPr>
          <w:rFonts w:ascii="Book Antiqua" w:hAnsi="Book Antiqua"/>
          <w:lang w:val="es-ES_tradnl"/>
        </w:rPr>
        <w:t>la Comisión de</w:t>
      </w:r>
      <w:r w:rsidR="009D173A" w:rsidRPr="007E120F">
        <w:rPr>
          <w:rFonts w:ascii="Book Antiqua" w:hAnsi="Book Antiqua"/>
          <w:lang w:val="es-ES_tradnl"/>
        </w:rPr>
        <w:t xml:space="preserve"> </w:t>
      </w:r>
      <w:r w:rsidR="00A5255F" w:rsidRPr="00A5255F">
        <w:rPr>
          <w:rFonts w:ascii="Book Antiqua" w:hAnsi="Book Antiqua"/>
          <w:lang w:val="es-ES_tradnl"/>
        </w:rPr>
        <w:t>Transportación e Infraestructura</w:t>
      </w:r>
    </w:p>
    <w:p w14:paraId="562A96A3" w14:textId="77777777" w:rsidR="00956095" w:rsidRPr="007E120F" w:rsidRDefault="00956095" w:rsidP="00AB7899">
      <w:pPr>
        <w:jc w:val="both"/>
        <w:rPr>
          <w:rFonts w:ascii="Book Antiqua" w:hAnsi="Book Antiqua"/>
          <w:lang w:val="es-ES_tradnl"/>
        </w:rPr>
      </w:pPr>
    </w:p>
    <w:p w14:paraId="3AE1C01C" w14:textId="77777777" w:rsidR="00956095" w:rsidRPr="007E120F" w:rsidRDefault="00956095" w:rsidP="00AB7899">
      <w:pPr>
        <w:jc w:val="center"/>
        <w:rPr>
          <w:rFonts w:ascii="Book Antiqua" w:hAnsi="Book Antiqua"/>
          <w:b/>
          <w:sz w:val="28"/>
          <w:lang w:val="es-ES_tradnl"/>
        </w:rPr>
      </w:pPr>
      <w:r w:rsidRPr="007E120F">
        <w:rPr>
          <w:rFonts w:ascii="Book Antiqua" w:hAnsi="Book Antiqua"/>
          <w:b/>
          <w:sz w:val="28"/>
          <w:lang w:val="es-ES_tradnl"/>
        </w:rPr>
        <w:t>RESOLUCIÓN CONJUNTA</w:t>
      </w:r>
    </w:p>
    <w:p w14:paraId="0193C44C" w14:textId="77777777" w:rsidR="00956095" w:rsidRPr="007E120F" w:rsidRDefault="00956095" w:rsidP="00AB7899">
      <w:pPr>
        <w:jc w:val="both"/>
        <w:rPr>
          <w:rFonts w:ascii="Book Antiqua" w:hAnsi="Book Antiqua"/>
          <w:lang w:val="es-ES_tradnl"/>
        </w:rPr>
      </w:pPr>
    </w:p>
    <w:p w14:paraId="1CDE4E16" w14:textId="69E2E991" w:rsidR="00956095" w:rsidRPr="007E120F" w:rsidRDefault="00956095" w:rsidP="00671C50">
      <w:pPr>
        <w:ind w:left="567" w:hanging="567"/>
        <w:jc w:val="both"/>
        <w:rPr>
          <w:rFonts w:ascii="Book Antiqua" w:hAnsi="Book Antiqua"/>
          <w:lang w:val="es-ES_tradnl"/>
        </w:rPr>
      </w:pPr>
      <w:r w:rsidRPr="007E120F">
        <w:rPr>
          <w:rFonts w:ascii="Book Antiqua" w:hAnsi="Book Antiqua"/>
          <w:lang w:val="es-ES_tradnl"/>
        </w:rPr>
        <w:t xml:space="preserve">Para ordenar </w:t>
      </w:r>
      <w:r w:rsidR="00671C50" w:rsidRPr="007E120F">
        <w:rPr>
          <w:rFonts w:ascii="Book Antiqua" w:hAnsi="Book Antiqua"/>
          <w:lang w:val="es-ES_tradnl"/>
        </w:rPr>
        <w:t xml:space="preserve">al Departamento de Transportación y Obras Públicas (DTOP), en coordinación con la Autoridad de Carreteras y Transportación (ACT) y el concesionario </w:t>
      </w:r>
      <w:proofErr w:type="spellStart"/>
      <w:r w:rsidR="000F581A" w:rsidRPr="007E120F">
        <w:rPr>
          <w:rFonts w:ascii="Book Antiqua" w:hAnsi="Book Antiqua"/>
          <w:lang w:val="es-ES_tradnl"/>
        </w:rPr>
        <w:t>Metropistas</w:t>
      </w:r>
      <w:proofErr w:type="spellEnd"/>
      <w:r w:rsidR="00671C50" w:rsidRPr="007E120F">
        <w:rPr>
          <w:rFonts w:ascii="Book Antiqua" w:hAnsi="Book Antiqua"/>
          <w:lang w:val="es-ES_tradnl"/>
        </w:rPr>
        <w:t xml:space="preserve">, </w:t>
      </w:r>
      <w:r w:rsidR="00353D8B" w:rsidRPr="007E120F">
        <w:rPr>
          <w:rFonts w:ascii="Book Antiqua" w:hAnsi="Book Antiqua"/>
          <w:lang w:val="es-ES_tradnl"/>
        </w:rPr>
        <w:t xml:space="preserve">poner en vigor lo establecido en </w:t>
      </w:r>
      <w:r w:rsidR="00671C50" w:rsidRPr="007E120F">
        <w:rPr>
          <w:rFonts w:ascii="Book Antiqua" w:hAnsi="Book Antiqua"/>
          <w:lang w:val="es-ES_tradnl"/>
        </w:rPr>
        <w:t>el inciso (8) del Artículo 22.02 de la</w:t>
      </w:r>
      <w:r w:rsidR="00353D8B" w:rsidRPr="007E120F">
        <w:rPr>
          <w:rFonts w:ascii="Book Antiqua" w:hAnsi="Book Antiqua"/>
          <w:lang w:val="es-ES_tradnl"/>
        </w:rPr>
        <w:t xml:space="preserve"> Ley</w:t>
      </w:r>
      <w:r w:rsidR="00483D31" w:rsidRPr="007E120F">
        <w:rPr>
          <w:rFonts w:ascii="Book Antiqua" w:hAnsi="Book Antiqua"/>
          <w:lang w:val="es-ES_tradnl"/>
        </w:rPr>
        <w:t xml:space="preserve"> </w:t>
      </w:r>
      <w:r w:rsidR="00671C50" w:rsidRPr="007E120F">
        <w:rPr>
          <w:rFonts w:ascii="Book Antiqua" w:hAnsi="Book Antiqua"/>
          <w:lang w:val="es-ES_tradnl"/>
        </w:rPr>
        <w:t xml:space="preserve">Núm. </w:t>
      </w:r>
      <w:r w:rsidR="00F00103" w:rsidRPr="007E120F">
        <w:rPr>
          <w:rFonts w:ascii="Book Antiqua" w:hAnsi="Book Antiqua"/>
          <w:lang w:val="es-ES_tradnl"/>
        </w:rPr>
        <w:t>22-2000, según enmendada, conocida como “Ley de Vehículos y Tránsito de Puerto Rico”, para que</w:t>
      </w:r>
      <w:r w:rsidR="00671C50" w:rsidRPr="007E120F">
        <w:rPr>
          <w:rFonts w:ascii="Book Antiqua" w:hAnsi="Book Antiqua"/>
          <w:lang w:val="es-ES_tradnl"/>
        </w:rPr>
        <w:t xml:space="preserve"> los conductores puedan conocer si tienen balance bajo en su cuenta de </w:t>
      </w:r>
      <w:proofErr w:type="spellStart"/>
      <w:r w:rsidR="00671C50" w:rsidRPr="007E120F">
        <w:rPr>
          <w:rFonts w:ascii="Book Antiqua" w:hAnsi="Book Antiqua"/>
          <w:lang w:val="es-ES_tradnl"/>
        </w:rPr>
        <w:t>AutoExpreso</w:t>
      </w:r>
      <w:proofErr w:type="spellEnd"/>
      <w:r w:rsidR="00671C50" w:rsidRPr="007E120F">
        <w:rPr>
          <w:rFonts w:ascii="Book Antiqua" w:hAnsi="Book Antiqua"/>
          <w:lang w:val="es-ES_tradnl"/>
        </w:rPr>
        <w:t xml:space="preserve"> al transitar por cada carretera que cuente con una estación de peaje; </w:t>
      </w:r>
      <w:r w:rsidR="004A5E1D" w:rsidRPr="007E120F">
        <w:rPr>
          <w:rFonts w:ascii="Book Antiqua" w:hAnsi="Book Antiqua"/>
          <w:lang w:val="es-ES_tradnl"/>
        </w:rPr>
        <w:t xml:space="preserve">y para otros fines relacionados. </w:t>
      </w:r>
    </w:p>
    <w:p w14:paraId="507B30C4" w14:textId="77777777" w:rsidR="001D0322" w:rsidRPr="007E120F" w:rsidRDefault="001D0322" w:rsidP="00AB7899">
      <w:pPr>
        <w:ind w:left="360" w:hanging="360"/>
        <w:jc w:val="both"/>
        <w:rPr>
          <w:rFonts w:ascii="Book Antiqua" w:hAnsi="Book Antiqua"/>
          <w:lang w:val="es-ES_tradnl"/>
        </w:rPr>
      </w:pPr>
    </w:p>
    <w:p w14:paraId="1766577F" w14:textId="77777777" w:rsidR="00956095" w:rsidRPr="007E120F" w:rsidRDefault="00956095" w:rsidP="00DA21E8">
      <w:pPr>
        <w:jc w:val="center"/>
        <w:rPr>
          <w:rFonts w:ascii="Book Antiqua" w:hAnsi="Book Antiqua"/>
          <w:lang w:val="es-ES_tradnl"/>
        </w:rPr>
      </w:pPr>
      <w:r w:rsidRPr="007E120F">
        <w:rPr>
          <w:rFonts w:ascii="Book Antiqua" w:hAnsi="Book Antiqua"/>
          <w:lang w:val="es-ES_tradnl"/>
        </w:rPr>
        <w:t>EXPOSICIÓN DE MOTIVOS</w:t>
      </w:r>
    </w:p>
    <w:p w14:paraId="33ECC659" w14:textId="77777777" w:rsidR="00AB7899" w:rsidRPr="007E120F" w:rsidRDefault="00AB7899" w:rsidP="00AB7899">
      <w:pPr>
        <w:ind w:firstLine="360"/>
        <w:jc w:val="center"/>
        <w:rPr>
          <w:rFonts w:ascii="Book Antiqua" w:hAnsi="Book Antiqua"/>
          <w:lang w:val="es-ES_tradnl"/>
        </w:rPr>
      </w:pPr>
    </w:p>
    <w:p w14:paraId="6C15ADCC" w14:textId="7582AD33" w:rsidR="000F581A" w:rsidRPr="007E120F" w:rsidRDefault="000F581A" w:rsidP="0038454A">
      <w:pPr>
        <w:ind w:firstLine="720"/>
        <w:jc w:val="both"/>
        <w:rPr>
          <w:rFonts w:ascii="Book Antiqua" w:hAnsi="Book Antiqua" w:cs="Segoe UI"/>
          <w:color w:val="0D0D0D"/>
          <w:lang w:val="es-PR"/>
        </w:rPr>
      </w:pPr>
      <w:r w:rsidRPr="007E120F">
        <w:rPr>
          <w:rFonts w:ascii="Book Antiqua" w:hAnsi="Book Antiqua" w:cs="Segoe UI"/>
          <w:color w:val="0D0D0D"/>
          <w:lang w:val="es-PR"/>
        </w:rPr>
        <w:t xml:space="preserve">La tecnología modificó la forma en que las personas pagaban los derechos por transitar por las autopistas equipadas con estaciones de peaje. Las tradicionales canastas donde las personas depositaban las monedas fueron sustituidas por pórticos aéreos electrónicos. Con ello, a su vez, llegó la incorporación de los sellos de </w:t>
      </w:r>
      <w:proofErr w:type="spellStart"/>
      <w:r w:rsidRPr="007E120F">
        <w:rPr>
          <w:rFonts w:ascii="Book Antiqua" w:hAnsi="Book Antiqua" w:cs="Segoe UI"/>
          <w:color w:val="0D0D0D"/>
          <w:lang w:val="es-PR"/>
        </w:rPr>
        <w:t>AutoExpreso</w:t>
      </w:r>
      <w:proofErr w:type="spellEnd"/>
      <w:r w:rsidRPr="007E120F">
        <w:rPr>
          <w:rFonts w:ascii="Book Antiqua" w:hAnsi="Book Antiqua" w:cs="Segoe UI"/>
          <w:color w:val="0D0D0D"/>
          <w:lang w:val="es-PR"/>
        </w:rPr>
        <w:t xml:space="preserve"> donde los ciudadanos pueden recargar mediante diversos métodos electrónicos sus respectivas cuentas, lo que les permite que la tarifa correspondiente sea debitada automáticamente de su </w:t>
      </w:r>
      <w:r w:rsidR="004E7D90" w:rsidRPr="007E120F">
        <w:rPr>
          <w:rFonts w:ascii="Book Antiqua" w:hAnsi="Book Antiqua" w:cs="Segoe UI"/>
          <w:color w:val="0D0D0D"/>
          <w:lang w:val="es-PR"/>
        </w:rPr>
        <w:t>balance</w:t>
      </w:r>
      <w:r w:rsidRPr="007E120F">
        <w:rPr>
          <w:rFonts w:ascii="Book Antiqua" w:hAnsi="Book Antiqua" w:cs="Segoe UI"/>
          <w:color w:val="0D0D0D"/>
          <w:lang w:val="es-PR"/>
        </w:rPr>
        <w:t xml:space="preserve">. </w:t>
      </w:r>
    </w:p>
    <w:p w14:paraId="07853CC5" w14:textId="77777777" w:rsidR="000F581A" w:rsidRPr="007E120F" w:rsidRDefault="000F581A" w:rsidP="0038454A">
      <w:pPr>
        <w:ind w:firstLine="720"/>
        <w:jc w:val="both"/>
        <w:rPr>
          <w:rFonts w:ascii="Book Antiqua" w:hAnsi="Book Antiqua" w:cs="Segoe UI"/>
          <w:color w:val="0D0D0D"/>
          <w:lang w:val="es-PR"/>
        </w:rPr>
      </w:pPr>
    </w:p>
    <w:p w14:paraId="477597A5" w14:textId="251427C1" w:rsidR="000F581A" w:rsidRPr="007E120F" w:rsidRDefault="000F581A" w:rsidP="0038454A">
      <w:pPr>
        <w:ind w:firstLine="720"/>
        <w:jc w:val="both"/>
        <w:rPr>
          <w:rFonts w:ascii="Book Antiqua" w:hAnsi="Book Antiqua" w:cs="Segoe UI"/>
          <w:color w:val="0D0D0D"/>
          <w:lang w:val="es-PR"/>
        </w:rPr>
      </w:pPr>
      <w:r w:rsidRPr="007E120F">
        <w:rPr>
          <w:rFonts w:ascii="Book Antiqua" w:hAnsi="Book Antiqua" w:cs="Segoe UI"/>
          <w:color w:val="0D0D0D"/>
          <w:lang w:val="es-PR"/>
        </w:rPr>
        <w:t>Ciertamente, esta implementación trajo consigo diversos retos que, sobre la marcha, se han ido atendiendo mediante legislación. Precisamente, uno de los problemas que más resaltaba la ciudadanía al pasar por una estación de peaje era que no conocían si contaban con balance insuficiente</w:t>
      </w:r>
      <w:r w:rsidR="004E7D90" w:rsidRPr="007E120F">
        <w:rPr>
          <w:rFonts w:ascii="Book Antiqua" w:hAnsi="Book Antiqua" w:cs="Segoe UI"/>
          <w:color w:val="0D0D0D"/>
          <w:lang w:val="es-PR"/>
        </w:rPr>
        <w:t>, asunto que acarreaba la imposición posterior de multas</w:t>
      </w:r>
      <w:r w:rsidRPr="007E120F">
        <w:rPr>
          <w:rFonts w:ascii="Book Antiqua" w:hAnsi="Book Antiqua" w:cs="Segoe UI"/>
          <w:color w:val="0D0D0D"/>
          <w:lang w:val="es-PR"/>
        </w:rPr>
        <w:t xml:space="preserve">. Para </w:t>
      </w:r>
      <w:r w:rsidR="004E7D90" w:rsidRPr="007E120F">
        <w:rPr>
          <w:rFonts w:ascii="Book Antiqua" w:hAnsi="Book Antiqua" w:cs="Segoe UI"/>
          <w:color w:val="0D0D0D"/>
          <w:lang w:val="es-PR"/>
        </w:rPr>
        <w:t xml:space="preserve">evitar </w:t>
      </w:r>
      <w:r w:rsidRPr="007E120F">
        <w:rPr>
          <w:rFonts w:ascii="Book Antiqua" w:hAnsi="Book Antiqua" w:cs="Segoe UI"/>
          <w:color w:val="0D0D0D"/>
          <w:lang w:val="es-PR"/>
        </w:rPr>
        <w:t>esto, se incorporaron los semáforos en las plazas de peaje para de alguna forma ayudar a los conductores a conocer este dato.</w:t>
      </w:r>
    </w:p>
    <w:p w14:paraId="236B3F85" w14:textId="385A8920" w:rsidR="000F581A" w:rsidRPr="007E120F" w:rsidRDefault="000F581A" w:rsidP="0038454A">
      <w:pPr>
        <w:ind w:firstLine="720"/>
        <w:jc w:val="both"/>
        <w:rPr>
          <w:rFonts w:ascii="Book Antiqua" w:hAnsi="Book Antiqua" w:cs="Segoe UI"/>
          <w:color w:val="0D0D0D"/>
          <w:lang w:val="es-PR"/>
        </w:rPr>
      </w:pPr>
      <w:r w:rsidRPr="007E120F">
        <w:rPr>
          <w:rFonts w:ascii="Book Antiqua" w:hAnsi="Book Antiqua" w:cs="Segoe UI"/>
          <w:color w:val="0D0D0D"/>
          <w:lang w:val="es-PR"/>
        </w:rPr>
        <w:lastRenderedPageBreak/>
        <w:t xml:space="preserve">Como parte de este esfuerzo, el Artículo 22.02 de la Ley 22-2000, según enmendada, conocida como “Ley de Vehículos y Tránsito de Puerto Rico” incorporó lo siguiente: </w:t>
      </w:r>
    </w:p>
    <w:p w14:paraId="5F34B1D1" w14:textId="77777777" w:rsidR="000F581A" w:rsidRPr="007E120F" w:rsidRDefault="000F581A" w:rsidP="0038454A">
      <w:pPr>
        <w:ind w:firstLine="720"/>
        <w:jc w:val="both"/>
        <w:rPr>
          <w:rFonts w:ascii="Book Antiqua" w:hAnsi="Book Antiqua" w:cs="Segoe UI"/>
          <w:color w:val="0D0D0D"/>
          <w:lang w:val="es-PR"/>
        </w:rPr>
      </w:pPr>
    </w:p>
    <w:p w14:paraId="5E26E41B" w14:textId="623E7327" w:rsidR="000F581A" w:rsidRPr="007E120F" w:rsidRDefault="000F581A" w:rsidP="000F581A">
      <w:pPr>
        <w:ind w:left="720" w:right="720"/>
        <w:jc w:val="both"/>
        <w:rPr>
          <w:rFonts w:ascii="Book Antiqua" w:hAnsi="Book Antiqua"/>
          <w:szCs w:val="24"/>
          <w:lang w:val="es-ES"/>
        </w:rPr>
      </w:pPr>
      <w:r w:rsidRPr="007E120F">
        <w:rPr>
          <w:rFonts w:ascii="Book Antiqua" w:hAnsi="Book Antiqua" w:cs="Segoe UI"/>
          <w:color w:val="0D0D0D"/>
          <w:szCs w:val="24"/>
          <w:lang w:val="es-PR"/>
        </w:rPr>
        <w:t xml:space="preserve">(8) </w:t>
      </w:r>
      <w:r w:rsidRPr="007E120F">
        <w:rPr>
          <w:rFonts w:ascii="Book Antiqua" w:hAnsi="Book Antiqua"/>
          <w:szCs w:val="24"/>
          <w:lang w:val="es-ES"/>
        </w:rPr>
        <w:t xml:space="preserve">El Departamento de Transportación y Obras Públicas, en coordinación con la Autoridad de Carreteras y Transportación y el concesionario de autopista en aquellos casos que aplique, </w:t>
      </w:r>
      <w:r w:rsidRPr="007E120F">
        <w:rPr>
          <w:rFonts w:ascii="Book Antiqua" w:hAnsi="Book Antiqua"/>
          <w:b/>
          <w:bCs/>
          <w:szCs w:val="24"/>
          <w:lang w:val="es-ES"/>
        </w:rPr>
        <w:t>deberá instalar y mantener un sistema que permita a los usuarios conocer si tiene balance bajo en cada estación de peaje. A tales efectos instalará por lo menos un aviso tipo semáforo y de cualquier otra índole que avise si se cuenta con balance bajo en el momento de pasar en las estaciones de peaje ya existentes.</w:t>
      </w:r>
      <w:r w:rsidRPr="007E120F">
        <w:rPr>
          <w:rFonts w:ascii="Book Antiqua" w:hAnsi="Book Antiqua"/>
          <w:szCs w:val="24"/>
          <w:lang w:val="es-ES"/>
        </w:rPr>
        <w:t xml:space="preserve"> Asimismo, el Departamento de Transportación y Obras Públicas, en coordinación con la Autoridad de Carreteras y Transportación y el concesionario de autopista en aquellos casos que aplique, tendrán la obligación de notificar de forma electrónica al titular del vehículo debidamente registrado con el sistema de peaje automatizado </w:t>
      </w:r>
      <w:r w:rsidRPr="007E120F">
        <w:rPr>
          <w:rFonts w:ascii="Book Antiqua" w:hAnsi="Book Antiqua"/>
          <w:b/>
          <w:bCs/>
          <w:szCs w:val="24"/>
          <w:lang w:val="es-ES"/>
        </w:rPr>
        <w:t>(énfasis nuestro)</w:t>
      </w:r>
      <w:r w:rsidRPr="007E120F">
        <w:rPr>
          <w:rFonts w:ascii="Book Antiqua" w:hAnsi="Book Antiqua"/>
          <w:szCs w:val="24"/>
          <w:lang w:val="es-ES"/>
        </w:rPr>
        <w:t>.</w:t>
      </w:r>
    </w:p>
    <w:p w14:paraId="3320B016" w14:textId="77777777" w:rsidR="000F581A" w:rsidRPr="007E120F" w:rsidRDefault="000F581A" w:rsidP="00532034">
      <w:pPr>
        <w:ind w:firstLine="567"/>
        <w:jc w:val="both"/>
        <w:rPr>
          <w:rFonts w:ascii="Book Antiqua" w:hAnsi="Book Antiqua" w:cs="Segoe UI"/>
          <w:color w:val="0D0D0D"/>
          <w:lang w:val="es-PR"/>
        </w:rPr>
      </w:pPr>
    </w:p>
    <w:p w14:paraId="6EE815A8" w14:textId="7AA5BDD5" w:rsidR="000F581A" w:rsidRPr="007E120F" w:rsidRDefault="00D0175A" w:rsidP="000F581A">
      <w:pPr>
        <w:ind w:firstLine="567"/>
        <w:jc w:val="both"/>
        <w:rPr>
          <w:rFonts w:ascii="Book Antiqua" w:hAnsi="Book Antiqua" w:cs="Segoe UI"/>
          <w:color w:val="0D0D0D"/>
          <w:lang w:val="es-PR"/>
        </w:rPr>
      </w:pPr>
      <w:r w:rsidRPr="007E120F">
        <w:rPr>
          <w:rFonts w:ascii="Book Antiqua" w:hAnsi="Book Antiqua" w:cs="Segoe UI"/>
          <w:color w:val="0D0D0D"/>
          <w:lang w:val="es-PR"/>
        </w:rPr>
        <w:t xml:space="preserve">Sin embargo, a pesar de </w:t>
      </w:r>
      <w:r w:rsidR="000F581A" w:rsidRPr="007E120F">
        <w:rPr>
          <w:rFonts w:ascii="Book Antiqua" w:hAnsi="Book Antiqua" w:cs="Segoe UI"/>
          <w:color w:val="0D0D0D"/>
          <w:lang w:val="es-PR"/>
        </w:rPr>
        <w:t>la aprobación de esta disposición, al momento no todas las estaciones de peaje o pórticos electrónicos cuentan con un mecanismo de aviso mediante semáforo u otra índole. A modo de ejemplo, la estación de peaje conocida comúnmente como Buchanan,</w:t>
      </w:r>
      <w:r w:rsidR="004E7D90" w:rsidRPr="007E120F">
        <w:rPr>
          <w:rFonts w:ascii="Book Antiqua" w:hAnsi="Book Antiqua" w:cs="Segoe UI"/>
          <w:color w:val="0D0D0D"/>
          <w:lang w:val="es-PR"/>
        </w:rPr>
        <w:t xml:space="preserve"> así como todas las estaciones de peaje de la PR-22,</w:t>
      </w:r>
      <w:r w:rsidR="000F581A" w:rsidRPr="007E120F">
        <w:rPr>
          <w:rFonts w:ascii="Book Antiqua" w:hAnsi="Book Antiqua" w:cs="Segoe UI"/>
          <w:color w:val="0D0D0D"/>
          <w:lang w:val="es-PR"/>
        </w:rPr>
        <w:t xml:space="preserve"> cuenta</w:t>
      </w:r>
      <w:r w:rsidR="004E7D90" w:rsidRPr="007E120F">
        <w:rPr>
          <w:rFonts w:ascii="Book Antiqua" w:hAnsi="Book Antiqua" w:cs="Segoe UI"/>
          <w:color w:val="0D0D0D"/>
          <w:lang w:val="es-PR"/>
        </w:rPr>
        <w:t>n</w:t>
      </w:r>
      <w:r w:rsidR="000F581A" w:rsidRPr="007E120F">
        <w:rPr>
          <w:rFonts w:ascii="Book Antiqua" w:hAnsi="Book Antiqua" w:cs="Segoe UI"/>
          <w:color w:val="0D0D0D"/>
          <w:lang w:val="es-PR"/>
        </w:rPr>
        <w:t xml:space="preserve"> con un área designada para aquellos conductores que así opten por conocer el estatus de su balance puedan conocerlo con solo transitar por este carril, sin la necesidad de distraerse llamando por teléfono o accediendo a su cuenta, poniendo su seguridad y la vida de otros conductores en riesgo. No obstante, otras autopistas como la PR-52 no cuentan con un aviso de este tipo. </w:t>
      </w:r>
    </w:p>
    <w:p w14:paraId="0D0F649B" w14:textId="77777777" w:rsidR="000F581A" w:rsidRPr="007E120F" w:rsidRDefault="000F581A" w:rsidP="00532034">
      <w:pPr>
        <w:ind w:firstLine="567"/>
        <w:jc w:val="both"/>
        <w:rPr>
          <w:rFonts w:ascii="Book Antiqua" w:hAnsi="Book Antiqua" w:cs="Segoe UI"/>
          <w:color w:val="0D0D0D"/>
          <w:lang w:val="es-PR"/>
        </w:rPr>
      </w:pPr>
    </w:p>
    <w:p w14:paraId="7E578837" w14:textId="757B93EA" w:rsidR="001E7B65" w:rsidRPr="007E120F" w:rsidRDefault="000F581A" w:rsidP="000F581A">
      <w:pPr>
        <w:ind w:firstLine="567"/>
        <w:jc w:val="both"/>
        <w:rPr>
          <w:rFonts w:ascii="Book Antiqua" w:hAnsi="Book Antiqua" w:cs="Segoe UI"/>
          <w:color w:val="0D0D0D"/>
          <w:lang w:val="es-PR"/>
        </w:rPr>
      </w:pPr>
      <w:r w:rsidRPr="007E120F">
        <w:rPr>
          <w:rFonts w:ascii="Book Antiqua" w:hAnsi="Book Antiqua" w:cs="Segoe UI"/>
          <w:color w:val="0D0D0D"/>
          <w:lang w:val="es-PR"/>
        </w:rPr>
        <w:t xml:space="preserve">Por consiguiente, esta Asamblea Legislativa considera importante que el </w:t>
      </w:r>
      <w:r w:rsidRPr="007E120F">
        <w:rPr>
          <w:rFonts w:ascii="Book Antiqua" w:hAnsi="Book Antiqua"/>
          <w:lang w:val="es-ES_tradnl"/>
        </w:rPr>
        <w:t xml:space="preserve">Departamento de Transportación y Obras Públicas (DTOP), en coordinación con la Autoridad de Carreteras y Transportación (ACT) y el concesionario </w:t>
      </w:r>
      <w:proofErr w:type="spellStart"/>
      <w:r w:rsidRPr="007E120F">
        <w:rPr>
          <w:rFonts w:ascii="Book Antiqua" w:hAnsi="Book Antiqua"/>
          <w:lang w:val="es-ES_tradnl"/>
        </w:rPr>
        <w:t>Metropistas</w:t>
      </w:r>
      <w:proofErr w:type="spellEnd"/>
      <w:r w:rsidRPr="007E120F">
        <w:rPr>
          <w:rFonts w:ascii="Book Antiqua" w:hAnsi="Book Antiqua"/>
          <w:lang w:val="es-ES_tradnl"/>
        </w:rPr>
        <w:t xml:space="preserve">, cumpla cabalmente con este estatuto. </w:t>
      </w:r>
    </w:p>
    <w:p w14:paraId="4EED3284" w14:textId="77777777" w:rsidR="0041701F" w:rsidRPr="007E120F" w:rsidRDefault="0041701F" w:rsidP="000F581A">
      <w:pPr>
        <w:jc w:val="both"/>
        <w:rPr>
          <w:rFonts w:ascii="Book Antiqua" w:hAnsi="Book Antiqua" w:cs="Segoe UI"/>
          <w:color w:val="0D0D0D"/>
          <w:shd w:val="clear" w:color="auto" w:fill="FFFFFF"/>
          <w:lang w:val="es-PR"/>
        </w:rPr>
      </w:pPr>
    </w:p>
    <w:p w14:paraId="352B58BA" w14:textId="70349ECB" w:rsidR="00956095" w:rsidRPr="007E120F" w:rsidRDefault="00956095" w:rsidP="007A7DDD">
      <w:pPr>
        <w:spacing w:line="480" w:lineRule="auto"/>
        <w:rPr>
          <w:rFonts w:ascii="Book Antiqua" w:hAnsi="Book Antiqua"/>
          <w:lang w:val="es-ES_tradnl"/>
        </w:rPr>
      </w:pPr>
      <w:r w:rsidRPr="007E120F">
        <w:rPr>
          <w:rFonts w:ascii="Book Antiqua" w:hAnsi="Book Antiqua"/>
          <w:i/>
          <w:lang w:val="es-ES_tradnl"/>
        </w:rPr>
        <w:t>RESUÉLVESE POR LA ASAMBLEA LEGISLATIVA DE PUERTO RICO:</w:t>
      </w:r>
    </w:p>
    <w:p w14:paraId="3BB93A5F" w14:textId="77777777" w:rsidR="0041701F" w:rsidRPr="007E120F" w:rsidRDefault="0041701F" w:rsidP="007A7DDD">
      <w:pPr>
        <w:spacing w:line="480" w:lineRule="auto"/>
        <w:jc w:val="both"/>
        <w:rPr>
          <w:rFonts w:ascii="Book Antiqua" w:hAnsi="Book Antiqua"/>
          <w:lang w:val="es-ES_tradnl"/>
        </w:rPr>
        <w:sectPr w:rsidR="0041701F" w:rsidRPr="007E120F" w:rsidSect="00AB7899">
          <w:headerReference w:type="default" r:id="rId7"/>
          <w:type w:val="continuous"/>
          <w:pgSz w:w="12240" w:h="15840" w:code="1"/>
          <w:pgMar w:top="1440" w:right="1440" w:bottom="1152" w:left="1440" w:header="720" w:footer="720" w:gutter="0"/>
          <w:cols w:space="720"/>
          <w:titlePg/>
        </w:sectPr>
      </w:pPr>
    </w:p>
    <w:p w14:paraId="4C011851" w14:textId="20E65E23" w:rsidR="00956095" w:rsidRPr="007E120F" w:rsidRDefault="00956095" w:rsidP="007A7DDD">
      <w:pPr>
        <w:spacing w:line="480" w:lineRule="auto"/>
        <w:ind w:firstLine="567"/>
        <w:jc w:val="both"/>
        <w:rPr>
          <w:rFonts w:ascii="Book Antiqua" w:hAnsi="Book Antiqua"/>
          <w:lang w:val="es-ES_tradnl"/>
        </w:rPr>
      </w:pPr>
      <w:r w:rsidRPr="007E120F">
        <w:rPr>
          <w:rFonts w:ascii="Book Antiqua" w:hAnsi="Book Antiqua"/>
          <w:lang w:val="es-ES_tradnl"/>
        </w:rPr>
        <w:t xml:space="preserve">Sección 1.-Se ordena </w:t>
      </w:r>
      <w:r w:rsidR="004A5E1D" w:rsidRPr="007E120F">
        <w:rPr>
          <w:rFonts w:ascii="Book Antiqua" w:hAnsi="Book Antiqua"/>
          <w:lang w:val="es-ES_tradnl"/>
        </w:rPr>
        <w:t>al Departamento de Transportación y Obras Públicas (DTOP)</w:t>
      </w:r>
      <w:r w:rsidR="001F0289" w:rsidRPr="007E120F">
        <w:rPr>
          <w:rFonts w:ascii="Book Antiqua" w:hAnsi="Book Antiqua"/>
          <w:lang w:val="es-ES_tradnl"/>
        </w:rPr>
        <w:t xml:space="preserve">, en coordinación con la Autoridad de Carreteras y Transportación (ACT) y el concesionario </w:t>
      </w:r>
      <w:proofErr w:type="spellStart"/>
      <w:r w:rsidR="000F581A" w:rsidRPr="007E120F">
        <w:rPr>
          <w:rFonts w:ascii="Book Antiqua" w:hAnsi="Book Antiqua"/>
          <w:lang w:val="es-ES_tradnl"/>
        </w:rPr>
        <w:t>Metropistas</w:t>
      </w:r>
      <w:proofErr w:type="spellEnd"/>
      <w:r w:rsidR="000F581A" w:rsidRPr="007E120F">
        <w:rPr>
          <w:rFonts w:ascii="Book Antiqua" w:hAnsi="Book Antiqua"/>
          <w:lang w:val="es-ES_tradnl"/>
        </w:rPr>
        <w:t>,</w:t>
      </w:r>
      <w:r w:rsidR="001F0289" w:rsidRPr="007E120F">
        <w:rPr>
          <w:rFonts w:ascii="Book Antiqua" w:hAnsi="Book Antiqua"/>
          <w:lang w:val="es-ES_tradnl"/>
        </w:rPr>
        <w:t xml:space="preserve"> a instalar un sistema que permita a los usuarios conocer si tiene balance bajo en cada estación de peaje, conforme dispone</w:t>
      </w:r>
      <w:r w:rsidR="000F581A" w:rsidRPr="007E120F">
        <w:rPr>
          <w:rFonts w:ascii="Book Antiqua" w:hAnsi="Book Antiqua"/>
          <w:lang w:val="es-ES_tradnl"/>
        </w:rPr>
        <w:t xml:space="preserve"> el inciso (8) del Artículo </w:t>
      </w:r>
      <w:r w:rsidR="000F581A" w:rsidRPr="007E120F">
        <w:rPr>
          <w:rFonts w:ascii="Book Antiqua" w:hAnsi="Book Antiqua"/>
          <w:lang w:val="es-ES_tradnl"/>
        </w:rPr>
        <w:lastRenderedPageBreak/>
        <w:t>22.02</w:t>
      </w:r>
      <w:r w:rsidR="004A5E1D" w:rsidRPr="007E120F">
        <w:rPr>
          <w:rFonts w:ascii="Book Antiqua" w:hAnsi="Book Antiqua"/>
          <w:lang w:val="es-ES_tradnl"/>
        </w:rPr>
        <w:t xml:space="preserve"> la Ley</w:t>
      </w:r>
      <w:r w:rsidR="001F0289" w:rsidRPr="007E120F">
        <w:rPr>
          <w:rFonts w:ascii="Book Antiqua" w:hAnsi="Book Antiqua"/>
          <w:lang w:val="es-ES_tradnl"/>
        </w:rPr>
        <w:t xml:space="preserve"> Núm.</w:t>
      </w:r>
      <w:r w:rsidR="004A5E1D" w:rsidRPr="007E120F">
        <w:rPr>
          <w:rFonts w:ascii="Book Antiqua" w:hAnsi="Book Antiqua"/>
          <w:lang w:val="es-ES_tradnl"/>
        </w:rPr>
        <w:t xml:space="preserve"> 22-2000, según enmendada, conocida como “Ley de Vehículos y Tránsito de Puerto Rico”</w:t>
      </w:r>
      <w:r w:rsidR="001F0289" w:rsidRPr="007E120F">
        <w:rPr>
          <w:rFonts w:ascii="Book Antiqua" w:hAnsi="Book Antiqua"/>
          <w:lang w:val="es-ES_tradnl"/>
        </w:rPr>
        <w:t>.</w:t>
      </w:r>
      <w:r w:rsidR="004A5E1D" w:rsidRPr="007E120F">
        <w:rPr>
          <w:rFonts w:ascii="Book Antiqua" w:hAnsi="Book Antiqua"/>
          <w:lang w:val="es-ES_tradnl"/>
        </w:rPr>
        <w:t xml:space="preserve"> </w:t>
      </w:r>
    </w:p>
    <w:p w14:paraId="0BD128F1" w14:textId="133AC702" w:rsidR="00956095" w:rsidRPr="00956095" w:rsidRDefault="00B85474" w:rsidP="001F0289">
      <w:pPr>
        <w:spacing w:line="480" w:lineRule="auto"/>
        <w:ind w:firstLine="567"/>
        <w:jc w:val="both"/>
        <w:rPr>
          <w:rFonts w:ascii="Book Antiqua" w:hAnsi="Book Antiqua"/>
          <w:lang w:val="es-ES_tradnl"/>
        </w:rPr>
      </w:pPr>
      <w:r w:rsidRPr="007E120F">
        <w:rPr>
          <w:rFonts w:ascii="Book Antiqua" w:hAnsi="Book Antiqua"/>
          <w:lang w:val="es-ES_tradnl"/>
        </w:rPr>
        <w:t xml:space="preserve">Sección 2.- </w:t>
      </w:r>
      <w:r w:rsidR="00956095" w:rsidRPr="007E120F">
        <w:rPr>
          <w:rFonts w:ascii="Book Antiqua" w:hAnsi="Book Antiqua"/>
          <w:lang w:val="es-ES_tradnl"/>
        </w:rPr>
        <w:t>Esta Resolución Conjunta comenzará a regir inmediatamente después de su aprobación.</w:t>
      </w:r>
      <w:r w:rsidR="00956095" w:rsidRPr="008B701C">
        <w:rPr>
          <w:rFonts w:ascii="Book Antiqua" w:hAnsi="Book Antiqua"/>
          <w:lang w:val="es-ES_tradnl"/>
        </w:rPr>
        <w:t xml:space="preserve">  </w:t>
      </w:r>
    </w:p>
    <w:sectPr w:rsidR="00956095" w:rsidRPr="00956095" w:rsidSect="00255223">
      <w:type w:val="continuous"/>
      <w:pgSz w:w="12240" w:h="15840" w:code="1"/>
      <w:pgMar w:top="1440" w:right="1440" w:bottom="720" w:left="1440" w:header="720" w:footer="720" w:gutter="0"/>
      <w:lnNumType w:countBy="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BD467" w14:textId="77777777" w:rsidR="007037A6" w:rsidRDefault="007037A6">
      <w:r>
        <w:separator/>
      </w:r>
    </w:p>
  </w:endnote>
  <w:endnote w:type="continuationSeparator" w:id="0">
    <w:p w14:paraId="08B53FB9" w14:textId="77777777" w:rsidR="007037A6" w:rsidRDefault="00703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D5635C" w14:textId="77777777" w:rsidR="007037A6" w:rsidRDefault="007037A6">
      <w:r>
        <w:separator/>
      </w:r>
    </w:p>
  </w:footnote>
  <w:footnote w:type="continuationSeparator" w:id="0">
    <w:p w14:paraId="5AE8F86E" w14:textId="77777777" w:rsidR="007037A6" w:rsidRDefault="007037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B168A"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6860FD">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56095"/>
    <w:rsid w:val="00000512"/>
    <w:rsid w:val="00005AF6"/>
    <w:rsid w:val="00020BBB"/>
    <w:rsid w:val="000444F2"/>
    <w:rsid w:val="00056024"/>
    <w:rsid w:val="00071E8D"/>
    <w:rsid w:val="000828A4"/>
    <w:rsid w:val="00095AE1"/>
    <w:rsid w:val="000A4590"/>
    <w:rsid w:val="000A6B6C"/>
    <w:rsid w:val="000A71F1"/>
    <w:rsid w:val="000B0DBB"/>
    <w:rsid w:val="000C6CD4"/>
    <w:rsid w:val="000D6B06"/>
    <w:rsid w:val="000F41D3"/>
    <w:rsid w:val="000F581A"/>
    <w:rsid w:val="00111E71"/>
    <w:rsid w:val="00127C6A"/>
    <w:rsid w:val="00132C3F"/>
    <w:rsid w:val="001363FE"/>
    <w:rsid w:val="001375C4"/>
    <w:rsid w:val="00160911"/>
    <w:rsid w:val="001636B1"/>
    <w:rsid w:val="0017132B"/>
    <w:rsid w:val="00180439"/>
    <w:rsid w:val="00194598"/>
    <w:rsid w:val="001B1D6F"/>
    <w:rsid w:val="001D0322"/>
    <w:rsid w:val="001E7B65"/>
    <w:rsid w:val="001F0289"/>
    <w:rsid w:val="001F4CA3"/>
    <w:rsid w:val="001F6006"/>
    <w:rsid w:val="001F612A"/>
    <w:rsid w:val="00207D55"/>
    <w:rsid w:val="00211396"/>
    <w:rsid w:val="00226AE6"/>
    <w:rsid w:val="0023145D"/>
    <w:rsid w:val="00245B34"/>
    <w:rsid w:val="00255223"/>
    <w:rsid w:val="00263355"/>
    <w:rsid w:val="00273792"/>
    <w:rsid w:val="0027511D"/>
    <w:rsid w:val="002D4AC8"/>
    <w:rsid w:val="002F5767"/>
    <w:rsid w:val="002F732C"/>
    <w:rsid w:val="00302B56"/>
    <w:rsid w:val="00320D78"/>
    <w:rsid w:val="00322AFF"/>
    <w:rsid w:val="00353D8B"/>
    <w:rsid w:val="00376185"/>
    <w:rsid w:val="00380FE5"/>
    <w:rsid w:val="0038454A"/>
    <w:rsid w:val="003924DD"/>
    <w:rsid w:val="00394FCB"/>
    <w:rsid w:val="003963F4"/>
    <w:rsid w:val="003A68C9"/>
    <w:rsid w:val="003B5254"/>
    <w:rsid w:val="003B75A6"/>
    <w:rsid w:val="003C0385"/>
    <w:rsid w:val="003D2868"/>
    <w:rsid w:val="003E5D6B"/>
    <w:rsid w:val="004061CA"/>
    <w:rsid w:val="00415689"/>
    <w:rsid w:val="0041701F"/>
    <w:rsid w:val="00443629"/>
    <w:rsid w:val="004440CB"/>
    <w:rsid w:val="004520B8"/>
    <w:rsid w:val="00470E3D"/>
    <w:rsid w:val="004713D2"/>
    <w:rsid w:val="00476CB7"/>
    <w:rsid w:val="00483D31"/>
    <w:rsid w:val="004A2234"/>
    <w:rsid w:val="004A5E1D"/>
    <w:rsid w:val="004B0387"/>
    <w:rsid w:val="004E7D90"/>
    <w:rsid w:val="004F6187"/>
    <w:rsid w:val="00521639"/>
    <w:rsid w:val="00532034"/>
    <w:rsid w:val="00532BB7"/>
    <w:rsid w:val="005332E4"/>
    <w:rsid w:val="0053550C"/>
    <w:rsid w:val="00543863"/>
    <w:rsid w:val="0054482E"/>
    <w:rsid w:val="00555018"/>
    <w:rsid w:val="005723DC"/>
    <w:rsid w:val="005D4B22"/>
    <w:rsid w:val="006210DC"/>
    <w:rsid w:val="006240C9"/>
    <w:rsid w:val="0064349D"/>
    <w:rsid w:val="00671C50"/>
    <w:rsid w:val="00683D63"/>
    <w:rsid w:val="00685549"/>
    <w:rsid w:val="006860FD"/>
    <w:rsid w:val="00692CA1"/>
    <w:rsid w:val="006B7365"/>
    <w:rsid w:val="006C2D81"/>
    <w:rsid w:val="006C7DF8"/>
    <w:rsid w:val="007037A6"/>
    <w:rsid w:val="00704C6B"/>
    <w:rsid w:val="0071604D"/>
    <w:rsid w:val="00723FF0"/>
    <w:rsid w:val="00750FC8"/>
    <w:rsid w:val="007533D0"/>
    <w:rsid w:val="00755069"/>
    <w:rsid w:val="007A7DDD"/>
    <w:rsid w:val="007B0660"/>
    <w:rsid w:val="007D4FB4"/>
    <w:rsid w:val="007E120F"/>
    <w:rsid w:val="007E3868"/>
    <w:rsid w:val="008132C2"/>
    <w:rsid w:val="00820C41"/>
    <w:rsid w:val="0084537C"/>
    <w:rsid w:val="008472B3"/>
    <w:rsid w:val="00850256"/>
    <w:rsid w:val="0085599E"/>
    <w:rsid w:val="00907F02"/>
    <w:rsid w:val="0093686F"/>
    <w:rsid w:val="00942FD4"/>
    <w:rsid w:val="00951997"/>
    <w:rsid w:val="00956095"/>
    <w:rsid w:val="00974434"/>
    <w:rsid w:val="00975D65"/>
    <w:rsid w:val="00990352"/>
    <w:rsid w:val="009B3571"/>
    <w:rsid w:val="009D173A"/>
    <w:rsid w:val="009F01D3"/>
    <w:rsid w:val="00A03405"/>
    <w:rsid w:val="00A1528A"/>
    <w:rsid w:val="00A33918"/>
    <w:rsid w:val="00A4083C"/>
    <w:rsid w:val="00A5255F"/>
    <w:rsid w:val="00A724A1"/>
    <w:rsid w:val="00A7629F"/>
    <w:rsid w:val="00AB7899"/>
    <w:rsid w:val="00AF0CEE"/>
    <w:rsid w:val="00B04E8E"/>
    <w:rsid w:val="00B10ACC"/>
    <w:rsid w:val="00B14AEE"/>
    <w:rsid w:val="00B479C4"/>
    <w:rsid w:val="00B667AD"/>
    <w:rsid w:val="00B84C38"/>
    <w:rsid w:val="00B85474"/>
    <w:rsid w:val="00B86247"/>
    <w:rsid w:val="00B86C00"/>
    <w:rsid w:val="00B947F6"/>
    <w:rsid w:val="00B96654"/>
    <w:rsid w:val="00BC1196"/>
    <w:rsid w:val="00BE33C8"/>
    <w:rsid w:val="00BF16AA"/>
    <w:rsid w:val="00C01664"/>
    <w:rsid w:val="00C124C3"/>
    <w:rsid w:val="00C26177"/>
    <w:rsid w:val="00C354B8"/>
    <w:rsid w:val="00C52517"/>
    <w:rsid w:val="00C60921"/>
    <w:rsid w:val="00C62936"/>
    <w:rsid w:val="00C653F2"/>
    <w:rsid w:val="00C679E6"/>
    <w:rsid w:val="00C908F9"/>
    <w:rsid w:val="00CA0917"/>
    <w:rsid w:val="00CA1099"/>
    <w:rsid w:val="00CB770E"/>
    <w:rsid w:val="00D0175A"/>
    <w:rsid w:val="00D12664"/>
    <w:rsid w:val="00D34F01"/>
    <w:rsid w:val="00D417C2"/>
    <w:rsid w:val="00D42A75"/>
    <w:rsid w:val="00D5245D"/>
    <w:rsid w:val="00D55DE4"/>
    <w:rsid w:val="00D60936"/>
    <w:rsid w:val="00D67574"/>
    <w:rsid w:val="00D709EB"/>
    <w:rsid w:val="00D74714"/>
    <w:rsid w:val="00D82F3F"/>
    <w:rsid w:val="00D921C6"/>
    <w:rsid w:val="00D958C2"/>
    <w:rsid w:val="00DA21E8"/>
    <w:rsid w:val="00DC213B"/>
    <w:rsid w:val="00DD5341"/>
    <w:rsid w:val="00DD6AE7"/>
    <w:rsid w:val="00DE08B9"/>
    <w:rsid w:val="00E04AB5"/>
    <w:rsid w:val="00E215BD"/>
    <w:rsid w:val="00E50EEA"/>
    <w:rsid w:val="00E52F58"/>
    <w:rsid w:val="00E95477"/>
    <w:rsid w:val="00EB3BDA"/>
    <w:rsid w:val="00EC26AA"/>
    <w:rsid w:val="00EC5D3B"/>
    <w:rsid w:val="00ED7A53"/>
    <w:rsid w:val="00EE0CA7"/>
    <w:rsid w:val="00EE4273"/>
    <w:rsid w:val="00F00103"/>
    <w:rsid w:val="00F02004"/>
    <w:rsid w:val="00F042CB"/>
    <w:rsid w:val="00F60A20"/>
    <w:rsid w:val="00FC0A95"/>
    <w:rsid w:val="00FC3D9C"/>
    <w:rsid w:val="00FE112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192BB"/>
  <w15:docId w15:val="{9423C434-56EC-4BDE-B185-8B17D204B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NormalWeb">
    <w:name w:val="Normal (Web)"/>
    <w:basedOn w:val="Normal"/>
    <w:uiPriority w:val="99"/>
    <w:semiHidden/>
    <w:unhideWhenUsed/>
    <w:rsid w:val="001D0322"/>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577349">
      <w:bodyDiv w:val="1"/>
      <w:marLeft w:val="0"/>
      <w:marRight w:val="0"/>
      <w:marTop w:val="0"/>
      <w:marBottom w:val="0"/>
      <w:divBdr>
        <w:top w:val="none" w:sz="0" w:space="0" w:color="auto"/>
        <w:left w:val="none" w:sz="0" w:space="0" w:color="auto"/>
        <w:bottom w:val="none" w:sz="0" w:space="0" w:color="auto"/>
        <w:right w:val="none" w:sz="0" w:space="0" w:color="auto"/>
      </w:divBdr>
    </w:div>
    <w:div w:id="345251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690</Words>
  <Characters>3939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orh</dc:creator>
  <cp:keywords/>
  <dc:description/>
  <cp:lastModifiedBy>Gladys J. Burgos Torres</cp:lastModifiedBy>
  <cp:revision>4</cp:revision>
  <cp:lastPrinted>2025-10-16T19:33:00Z</cp:lastPrinted>
  <dcterms:created xsi:type="dcterms:W3CDTF">2025-10-16T19:59:00Z</dcterms:created>
  <dcterms:modified xsi:type="dcterms:W3CDTF">2025-10-20T15:58:00Z</dcterms:modified>
</cp:coreProperties>
</file>