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4625" w14:textId="77777777" w:rsidR="00CC26EF" w:rsidRDefault="002A3D00" w:rsidP="00981A79">
      <w:pPr>
        <w:suppressLineNumbers/>
        <w:jc w:val="center"/>
      </w:pPr>
      <w:r>
        <w:rPr>
          <w:rFonts w:ascii="Book Antiqua" w:eastAsia="Book Antiqua" w:hAnsi="Book Antiqua" w:cs="Book Antiqua"/>
          <w:b/>
        </w:rPr>
        <w:t>ENTIRILLADO ELECTRÓNICO</w:t>
      </w:r>
    </w:p>
    <w:p w14:paraId="50734626" w14:textId="77777777" w:rsidR="00CC26EF" w:rsidRDefault="002A3D00">
      <w:pPr>
        <w:suppressLineNumbers/>
        <w:jc w:val="center"/>
      </w:pPr>
      <w:r>
        <w:rPr>
          <w:rFonts w:ascii="Book Antiqua" w:eastAsia="Book Antiqua" w:hAnsi="Book Antiqua" w:cs="Book Antiqua"/>
          <w:b/>
        </w:rPr>
        <w:t>TEXTO APROBADO EN VOTACIÓN FINAL POR EL SENADO</w:t>
      </w:r>
    </w:p>
    <w:p w14:paraId="50734627" w14:textId="77777777" w:rsidR="00CC26EF" w:rsidRDefault="002A3D00">
      <w:pPr>
        <w:suppressLineNumbers/>
        <w:pBdr>
          <w:bottom w:val="single" w:sz="18" w:space="4" w:color="000000"/>
        </w:pBdr>
        <w:jc w:val="center"/>
      </w:pPr>
      <w:r>
        <w:rPr>
          <w:rFonts w:ascii="Book Antiqua" w:eastAsia="Book Antiqua" w:hAnsi="Book Antiqua" w:cs="Book Antiqua"/>
          <w:b/>
        </w:rPr>
        <w:t>(12 DE FEBRERO DE 2026)</w:t>
      </w:r>
    </w:p>
    <w:p w14:paraId="50734628" w14:textId="77777777" w:rsidR="00CC26EF" w:rsidRDefault="002A3D00">
      <w:pPr>
        <w:suppressLineNumbers/>
        <w:jc w:val="center"/>
      </w:pPr>
      <w:r>
        <w:rPr>
          <w:rFonts w:ascii="Book Antiqua" w:hAnsi="Book Antiqua" w:cs="Book Antiqua"/>
          <w:sz w:val="36"/>
          <w:szCs w:val="36"/>
        </w:rPr>
        <w:t>GOBIERNO DE PUERTO RICO</w:t>
      </w:r>
    </w:p>
    <w:p w14:paraId="50734629" w14:textId="77777777" w:rsidR="00CC26EF" w:rsidRDefault="00CC26EF">
      <w:pPr>
        <w:suppressLineNumbers/>
        <w:jc w:val="center"/>
        <w:rPr>
          <w:rFonts w:ascii="Book Antiqua" w:hAnsi="Book Antiqua" w:cs="Book Antiqua"/>
          <w:sz w:val="36"/>
          <w:szCs w:val="36"/>
        </w:rPr>
      </w:pPr>
    </w:p>
    <w:p w14:paraId="5073462A" w14:textId="77777777" w:rsidR="00CC26EF" w:rsidRDefault="002A3D00">
      <w:pPr>
        <w:pStyle w:val="Title2"/>
        <w:suppressLineNumbers/>
      </w:pPr>
      <w:r>
        <w:rPr>
          <w:rFonts w:ascii="Book Antiqua" w:hAnsi="Book Antiqua" w:cs="Book Antiqua"/>
        </w:rPr>
        <w:t>20</w:t>
      </w:r>
      <w:r>
        <w:rPr>
          <w:rFonts w:ascii="Book Antiqua" w:hAnsi="Book Antiqua" w:cs="Book Antiqua"/>
          <w:vertAlign w:val="superscript"/>
        </w:rPr>
        <w:t>ma.</w:t>
      </w:r>
      <w:r>
        <w:rPr>
          <w:rFonts w:ascii="Book Antiqua" w:hAnsi="Book Antiqua" w:cs="Book Antiqua"/>
        </w:rPr>
        <w:t xml:space="preserve"> Asamblea</w:t>
      </w:r>
      <w:r>
        <w:rPr>
          <w:rFonts w:ascii="Book Antiqua" w:hAnsi="Book Antiqua" w:cs="Book Antiqua"/>
        </w:rPr>
        <w:tab/>
        <w:t xml:space="preserve">     2</w:t>
      </w:r>
      <w:r>
        <w:rPr>
          <w:rFonts w:ascii="Book Antiqua" w:hAnsi="Book Antiqua" w:cs="Book Antiqua"/>
          <w:vertAlign w:val="superscript"/>
        </w:rPr>
        <w:t>da.</w:t>
      </w:r>
      <w:r>
        <w:rPr>
          <w:rFonts w:ascii="Book Antiqua" w:hAnsi="Book Antiqua" w:cs="Book Antiqua"/>
        </w:rPr>
        <w:tab/>
        <w:t>Sesión</w:t>
      </w:r>
    </w:p>
    <w:p w14:paraId="5073462B" w14:textId="77777777" w:rsidR="00CC26EF" w:rsidRDefault="002A3D00">
      <w:pPr>
        <w:pStyle w:val="Title2"/>
        <w:suppressLineNumbers/>
        <w:rPr>
          <w:rFonts w:ascii="Book Antiqua" w:hAnsi="Book Antiqua" w:cs="Book Antiqua"/>
        </w:rPr>
      </w:pPr>
      <w:r>
        <w:rPr>
          <w:rFonts w:ascii="Book Antiqua" w:hAnsi="Book Antiqua" w:cs="Book Antiqua"/>
        </w:rPr>
        <w:t xml:space="preserve">         Legislativa</w:t>
      </w:r>
      <w:r>
        <w:rPr>
          <w:rFonts w:ascii="Book Antiqua" w:hAnsi="Book Antiqua" w:cs="Book Antiqua"/>
        </w:rPr>
        <w:tab/>
        <w:t xml:space="preserve"> </w:t>
      </w:r>
      <w:r>
        <w:rPr>
          <w:rFonts w:ascii="Book Antiqua" w:hAnsi="Book Antiqua" w:cs="Book Antiqua"/>
        </w:rPr>
        <w:tab/>
        <w:t>Ordinaria</w:t>
      </w:r>
    </w:p>
    <w:p w14:paraId="5073462C" w14:textId="77777777" w:rsidR="00CC26EF" w:rsidRDefault="00CC26EF">
      <w:pPr>
        <w:suppressLineNumbers/>
        <w:rPr>
          <w:rFonts w:ascii="Book Antiqua" w:hAnsi="Book Antiqua" w:cs="Book Antiqua"/>
        </w:rPr>
      </w:pPr>
    </w:p>
    <w:p w14:paraId="5073462D" w14:textId="77777777" w:rsidR="00CC26EF" w:rsidRDefault="002A3D00">
      <w:pPr>
        <w:suppressLineNumbers/>
        <w:spacing w:line="360" w:lineRule="auto"/>
        <w:jc w:val="center"/>
        <w:rPr>
          <w:rFonts w:ascii="Book Antiqua" w:hAnsi="Book Antiqua" w:cs="Book Antiqua"/>
          <w:b/>
          <w:sz w:val="36"/>
          <w:szCs w:val="36"/>
        </w:rPr>
      </w:pPr>
      <w:r>
        <w:rPr>
          <w:rFonts w:ascii="Book Antiqua" w:hAnsi="Book Antiqua" w:cs="Book Antiqua"/>
          <w:b/>
          <w:sz w:val="36"/>
          <w:szCs w:val="36"/>
        </w:rPr>
        <w:t>SENADO DE PUERTO RICO</w:t>
      </w:r>
    </w:p>
    <w:p w14:paraId="5073462E" w14:textId="77777777" w:rsidR="00CC26EF" w:rsidRDefault="002A3D00">
      <w:pPr>
        <w:suppressLineNumbers/>
        <w:spacing w:line="360" w:lineRule="auto"/>
        <w:jc w:val="center"/>
        <w:rPr>
          <w:rFonts w:ascii="Book Antiqua" w:hAnsi="Book Antiqua" w:cs="Book Antiqua"/>
          <w:b/>
        </w:rPr>
      </w:pPr>
      <w:r>
        <w:rPr>
          <w:rFonts w:ascii="Book Antiqua" w:hAnsi="Book Antiqua" w:cs="Book Antiqua"/>
          <w:b/>
          <w:sz w:val="52"/>
          <w:szCs w:val="52"/>
        </w:rPr>
        <w:t>P. del S. 812</w:t>
      </w:r>
    </w:p>
    <w:p w14:paraId="5073462F" w14:textId="77777777" w:rsidR="00CC26EF" w:rsidRDefault="002A3D00">
      <w:pPr>
        <w:suppressLineNumbers/>
        <w:spacing w:line="360" w:lineRule="auto"/>
        <w:jc w:val="center"/>
        <w:rPr>
          <w:rFonts w:ascii="Book Antiqua" w:hAnsi="Book Antiqua" w:cs="Book Antiqua"/>
        </w:rPr>
      </w:pPr>
      <w:r>
        <w:rPr>
          <w:rFonts w:ascii="Book Antiqua" w:hAnsi="Book Antiqua" w:cs="Book Antiqua"/>
        </w:rPr>
        <w:t>16 de octubre de 2025</w:t>
      </w:r>
    </w:p>
    <w:p w14:paraId="50734630" w14:textId="77777777" w:rsidR="00CC26EF" w:rsidRDefault="002A3D00">
      <w:pPr>
        <w:suppressLineNumbers/>
        <w:spacing w:line="360" w:lineRule="auto"/>
        <w:jc w:val="center"/>
        <w:rPr>
          <w:rFonts w:ascii="Book Antiqua" w:hAnsi="Book Antiqua" w:cs="Book Antiqua"/>
          <w:i/>
          <w:iCs/>
        </w:rPr>
      </w:pPr>
      <w:r>
        <w:rPr>
          <w:rFonts w:ascii="Book Antiqua" w:hAnsi="Book Antiqua" w:cs="Book Antiqua"/>
        </w:rPr>
        <w:t xml:space="preserve">Presentado por la señora </w:t>
      </w:r>
      <w:r>
        <w:rPr>
          <w:rFonts w:ascii="Book Antiqua" w:hAnsi="Book Antiqua" w:cs="Book Antiqua"/>
          <w:i/>
          <w:iCs/>
        </w:rPr>
        <w:t xml:space="preserve">Soto Tolentino </w:t>
      </w:r>
    </w:p>
    <w:p w14:paraId="50734631" w14:textId="77777777" w:rsidR="00CC26EF" w:rsidRDefault="002A3D00">
      <w:pPr>
        <w:suppressLineNumbers/>
        <w:jc w:val="center"/>
      </w:pPr>
      <w:r>
        <w:rPr>
          <w:rFonts w:ascii="Book Antiqua" w:eastAsia="Book Antiqua" w:hAnsi="Book Antiqua" w:cs="Book Antiqua"/>
          <w:i/>
        </w:rPr>
        <w:t>Coautores las señoras Barlucea Rodríguez, Pérez Soto; el señor Reyes Berríos; la señora Román Rodríguez; los señores Rosa Ramos, Santos Ortiz y Toledo López</w:t>
      </w:r>
    </w:p>
    <w:p w14:paraId="50734632" w14:textId="77777777" w:rsidR="00CC26EF" w:rsidRDefault="002A3D00">
      <w:pPr>
        <w:suppressLineNumbers/>
        <w:spacing w:line="360" w:lineRule="auto"/>
        <w:jc w:val="center"/>
        <w:rPr>
          <w:rFonts w:ascii="Book Antiqua" w:hAnsi="Book Antiqua" w:cs="Book Antiqua"/>
          <w:i/>
          <w:iCs/>
          <w:lang w:val="es-419"/>
        </w:rPr>
      </w:pPr>
      <w:r>
        <w:rPr>
          <w:rFonts w:ascii="Book Antiqua" w:hAnsi="Book Antiqua" w:cs="Book Antiqua"/>
          <w:i/>
          <w:iCs/>
        </w:rPr>
        <w:t>Referido a la Comisión de</w:t>
      </w:r>
      <w:r>
        <w:rPr>
          <w:rFonts w:ascii="Book Antiqua" w:hAnsi="Book Antiqua" w:cs="Book Antiqua"/>
          <w:i/>
          <w:iCs/>
          <w:lang w:val="es-419"/>
        </w:rPr>
        <w:t xml:space="preserve"> Juventud, Recreación y Deportes</w:t>
      </w:r>
    </w:p>
    <w:p w14:paraId="50734633" w14:textId="77777777" w:rsidR="00CC26EF" w:rsidRDefault="00CC26EF">
      <w:pPr>
        <w:suppressLineNumbers/>
        <w:jc w:val="both"/>
        <w:rPr>
          <w:rFonts w:ascii="Book Antiqua" w:hAnsi="Book Antiqua" w:cs="Book Antiqua"/>
          <w:i/>
          <w:iCs/>
          <w:sz w:val="8"/>
          <w:szCs w:val="8"/>
          <w:lang w:val="es-419"/>
        </w:rPr>
      </w:pPr>
    </w:p>
    <w:p w14:paraId="50734634" w14:textId="77777777" w:rsidR="00CC26EF" w:rsidRDefault="002A3D00">
      <w:pPr>
        <w:suppressLineNumbers/>
        <w:jc w:val="center"/>
        <w:rPr>
          <w:rFonts w:ascii="Book Antiqua" w:hAnsi="Book Antiqua" w:cs="Book Antiqua"/>
          <w:b/>
        </w:rPr>
      </w:pPr>
      <w:r>
        <w:rPr>
          <w:rFonts w:ascii="Book Antiqua" w:hAnsi="Book Antiqua" w:cs="Book Antiqua"/>
          <w:b/>
        </w:rPr>
        <w:t>LEY</w:t>
      </w:r>
    </w:p>
    <w:p w14:paraId="50734635" w14:textId="77777777" w:rsidR="00CC26EF" w:rsidRDefault="00CC26EF">
      <w:pPr>
        <w:suppressLineNumbers/>
        <w:jc w:val="both"/>
        <w:rPr>
          <w:rFonts w:ascii="Book Antiqua" w:hAnsi="Book Antiqua" w:cs="Book Antiqua"/>
          <w:b/>
          <w:sz w:val="12"/>
          <w:szCs w:val="12"/>
        </w:rPr>
      </w:pPr>
    </w:p>
    <w:p w14:paraId="50734636" w14:textId="77777777" w:rsidR="00CC26EF" w:rsidRDefault="002A3D00">
      <w:pPr>
        <w:suppressLineNumbers/>
        <w:ind w:left="540" w:hanging="540"/>
        <w:jc w:val="both"/>
        <w:rPr>
          <w:rFonts w:ascii="Book Antiqua" w:hAnsi="Book Antiqua" w:cs="Book Antiqua"/>
        </w:rPr>
      </w:pPr>
      <w:r>
        <w:rPr>
          <w:rFonts w:ascii="Book Antiqua" w:hAnsi="Book Antiqua" w:cs="Book Antiqua"/>
        </w:rPr>
        <w:t>Para añadir los nuevos Artículos 6-A y 8; enmendar los Artículos 4, 5, 6 y 7; y renumerar los actuales Artículos 8, 9 y 10 como Artículos 9, 10 y 11 a la Ley 133-2024, conocida como la “</w:t>
      </w:r>
      <w:bookmarkStart w:id="0" w:name="_Hlk211505251"/>
      <w:r>
        <w:rPr>
          <w:rFonts w:ascii="Book Antiqua" w:hAnsi="Book Antiqua" w:cs="Book Antiqua"/>
        </w:rPr>
        <w:t>Ley para la Prevención y Protección Contra el Acoso y Hostigamiento Sexual en el Deporte en Puerto Rico</w:t>
      </w:r>
      <w:bookmarkEnd w:id="0"/>
      <w:r>
        <w:rPr>
          <w:rFonts w:ascii="Book Antiqua" w:hAnsi="Book Antiqua" w:cs="Book Antiqua"/>
        </w:rPr>
        <w:t>”, a los fines de fortalecer los mecanismos de cumplimiento, fiscalización y prevención mediante la creación de un Registro de Cumplimiento de Entidades Deportivas, la adopción de un Protocolo Uniforme de Prevención y Respuesta, la implantación de un mecanismo de denuncia confidencial; y para otros fines relacionados.</w:t>
      </w:r>
    </w:p>
    <w:p w14:paraId="50734637" w14:textId="77777777" w:rsidR="00CC26EF" w:rsidRDefault="00CC26EF">
      <w:pPr>
        <w:suppressLineNumbers/>
        <w:rPr>
          <w:rFonts w:ascii="Book Antiqua" w:hAnsi="Book Antiqua" w:cs="Book Antiqua"/>
          <w:b/>
          <w:bCs/>
        </w:rPr>
      </w:pPr>
    </w:p>
    <w:p w14:paraId="50734638" w14:textId="77777777" w:rsidR="00CC26EF" w:rsidRDefault="002A3D00">
      <w:pPr>
        <w:suppressLineNumbers/>
        <w:spacing w:after="240"/>
        <w:ind w:firstLine="360"/>
        <w:jc w:val="center"/>
        <w:rPr>
          <w:rFonts w:ascii="Book Antiqua" w:hAnsi="Book Antiqua" w:cs="Book Antiqua"/>
          <w:b/>
          <w:bCs/>
        </w:rPr>
      </w:pPr>
      <w:r>
        <w:rPr>
          <w:rFonts w:ascii="Book Antiqua" w:hAnsi="Book Antiqua" w:cs="Book Antiqua"/>
          <w:b/>
          <w:bCs/>
        </w:rPr>
        <w:t>EXPOSICIÓN DE MOTIVOS</w:t>
      </w:r>
    </w:p>
    <w:p w14:paraId="50734639" w14:textId="77777777" w:rsidR="00CC26EF" w:rsidRDefault="002A3D00">
      <w:pPr>
        <w:suppressLineNumbers/>
        <w:spacing w:before="120" w:line="360" w:lineRule="auto"/>
        <w:ind w:firstLine="706"/>
        <w:jc w:val="both"/>
      </w:pPr>
      <w:r>
        <w:rPr>
          <w:rFonts w:ascii="Book Antiqua" w:eastAsia="Calibri" w:hAnsi="Book Antiqua" w:cs="Book Antiqua"/>
          <w:lang w:val="es-ES"/>
        </w:rPr>
        <w:t>El deporte constituye uno de los pilares más importantes del desarrollo humano, social y comunitario de Puerto Rico. A través del deporte, miles de niños, jóvenes y adultos canalizan su energía hacia la formación de valores como la disciplina, la perseverancia, el trabajo en equipo y la superación personal. El deporte, además, representa una manifestación de orgullo colectivo y nacional, proyectando internacionalmente la identidad y excelencia del pueblo puertorriqueño.</w:t>
      </w:r>
    </w:p>
    <w:p w14:paraId="5073463A" w14:textId="77777777" w:rsidR="00CC26EF" w:rsidRDefault="002A3D00">
      <w:pPr>
        <w:suppressLineNumbers/>
        <w:spacing w:before="120" w:line="360" w:lineRule="auto"/>
        <w:ind w:firstLine="706"/>
        <w:jc w:val="both"/>
      </w:pPr>
      <w:r>
        <w:rPr>
          <w:rFonts w:ascii="Book Antiqua" w:eastAsia="Calibri" w:hAnsi="Book Antiqua" w:cs="Book Antiqua"/>
          <w:lang w:val="es-ES"/>
        </w:rPr>
        <w:lastRenderedPageBreak/>
        <w:t>Sin embargo, este entorno que debe ser sinónimo de respeto, seguridad y crecimiento personal, no está exento de riesgos ni de conductas que vulneran la dignidad de sus participantes. Diversos casos documentados en Puerto Rico y otras jurisdicciones han evidenciado que el acoso y el hostigamiento sexual en el ámbito deportivo constituyen un problema real y estructural, que afecta tanto a atletas profesionales como a jóvenes en etapas de formación. La relación de poder que muchas veces existe entre entrenadores, dirigentes, personal administrativo y atletas crea escenarios propicios para la intimidación, coerción o abuso, especialmente en contextos donde no existen protocolos uniformes o mecanismos de supervisión efectivos.</w:t>
      </w:r>
    </w:p>
    <w:p w14:paraId="5073463B" w14:textId="77777777" w:rsidR="00CC26EF" w:rsidRDefault="002A3D00">
      <w:pPr>
        <w:suppressLineNumbers/>
        <w:spacing w:before="120" w:line="360" w:lineRule="auto"/>
        <w:ind w:firstLine="706"/>
        <w:jc w:val="both"/>
      </w:pPr>
      <w:r>
        <w:rPr>
          <w:rFonts w:ascii="Book Antiqua" w:eastAsia="Calibri" w:hAnsi="Book Antiqua" w:cs="Book Antiqua"/>
          <w:lang w:val="es-ES"/>
        </w:rPr>
        <w:t>Consciente de esa realidad, la Asamblea Legislativa aprobó la Ley 133-2024, con el propósito de establecer una política pública clara y contundente de tolerancia cero contra el acoso y hostigamiento sexual en el deporte. Dicha legislación fue un paso inicial hacia la creación de entornos deportivos más seguros, pero su aplicación práctica ha revelado la necesidad de fortalecer varios aspectos esenciales para garantizar su efectividad y uniformidad.</w:t>
      </w:r>
    </w:p>
    <w:p w14:paraId="5073463C" w14:textId="77777777" w:rsidR="00CC26EF" w:rsidRDefault="002A3D00">
      <w:pPr>
        <w:suppressLineNumbers/>
        <w:spacing w:before="120" w:line="360" w:lineRule="auto"/>
        <w:ind w:firstLine="706"/>
        <w:jc w:val="both"/>
      </w:pPr>
      <w:r>
        <w:rPr>
          <w:rFonts w:ascii="Book Antiqua" w:eastAsia="Calibri" w:hAnsi="Book Antiqua" w:cs="Book Antiqua"/>
          <w:lang w:val="es-ES"/>
        </w:rPr>
        <w:t>En primer lugar, la Ley vigente no dispone de un mecanismo estructurado de fiscalización y seguimiento a las entidades deportivas obligadas a implementar protocolos. Ello ha dificultado que el Departamento de Recreación y Deportes (DRD) cuente con una herramienta uniforme para verificar el cumplimiento o identificar las entidades que no cumplen. Esta enmienda, propone la creación del Registro de Cumplimiento de Entidades Deportivas, una base de datos digital, pública y accesible, que permitirá al DRD y a la ciudadanía conocer qué entidades cumplen cabalmente con las disposiciones de la Ley. Este registro podrá integrarse al portal institucional del DRD sin generar impacto fiscal, utilizando los recursos tecnológicos y humanos existentes.</w:t>
      </w:r>
    </w:p>
    <w:p w14:paraId="5073463D" w14:textId="77777777" w:rsidR="00CC26EF" w:rsidRDefault="002A3D00">
      <w:pPr>
        <w:suppressLineNumbers/>
        <w:spacing w:before="120" w:line="360" w:lineRule="auto"/>
        <w:ind w:firstLine="706"/>
        <w:jc w:val="both"/>
      </w:pPr>
      <w:r>
        <w:rPr>
          <w:rFonts w:ascii="Book Antiqua" w:eastAsia="Calibri" w:hAnsi="Book Antiqua" w:cs="Book Antiqua"/>
          <w:lang w:val="es-ES"/>
        </w:rPr>
        <w:t xml:space="preserve">En segundo lugar, la legislación vigente permite que cada entidad deportiva desarrolle su propio protocolo interno, lo cual ha generado disparidad en los estándares de prevención y manejo de querellas. A tales efectos, esta medida dispone la adopción </w:t>
      </w:r>
      <w:r>
        <w:rPr>
          <w:rFonts w:ascii="Book Antiqua" w:eastAsia="Calibri" w:hAnsi="Book Antiqua" w:cs="Book Antiqua"/>
          <w:lang w:val="es-ES"/>
        </w:rPr>
        <w:lastRenderedPageBreak/>
        <w:t>de un Protocolo Uniforme de Prevención y Respuesta, que establezca pautas mínimas sobre confidencialidad, adiestramiento, medidas cautelares, notificación obligatoria y protección a la víctima. Este protocolo, de aplicación general, permitirá que todas las organizaciones deportivas que reciban fondos públicos o utilicen instalaciones del Estado operen bajo un marco común de actuación, garantizando mayor coherencia, agilidad y justicia en los procesos.</w:t>
      </w:r>
    </w:p>
    <w:p w14:paraId="5073463E" w14:textId="77777777" w:rsidR="00CC26EF" w:rsidRDefault="002A3D00">
      <w:pPr>
        <w:suppressLineNumbers/>
        <w:spacing w:before="120" w:line="360" w:lineRule="auto"/>
        <w:ind w:firstLine="706"/>
        <w:jc w:val="both"/>
      </w:pPr>
      <w:r>
        <w:rPr>
          <w:rFonts w:ascii="Book Antiqua" w:eastAsia="Calibri" w:hAnsi="Book Antiqua" w:cs="Book Antiqua"/>
          <w:lang w:val="es-ES"/>
        </w:rPr>
        <w:t>Del mismo modo, esta enmienda introduce la obligación de que toda entidad deportiva que desee recibir auspicios, endosos o contratos públicos obtenga una Certificación de Cumplimiento y de No Historial de Hostigamiento Sexual, emitida por el DRD mediante un proceso ágil y electrónico. Dicha certificación servirá como garantía de que la entidad cumple con la Ley y con los estándares éticos mínimos requeridos, promoviendo la rendición de cuentas y la integridad institucional dentro del deporte.</w:t>
      </w:r>
    </w:p>
    <w:p w14:paraId="5073463F" w14:textId="77777777" w:rsidR="00CC26EF" w:rsidRDefault="002A3D00">
      <w:pPr>
        <w:suppressLineNumbers/>
        <w:spacing w:before="120" w:line="360" w:lineRule="auto"/>
        <w:ind w:firstLine="706"/>
        <w:jc w:val="both"/>
      </w:pPr>
      <w:r>
        <w:rPr>
          <w:rFonts w:ascii="Book Antiqua" w:eastAsia="Calibri" w:hAnsi="Book Antiqua" w:cs="Book Antiqua"/>
          <w:lang w:val="es-ES"/>
        </w:rPr>
        <w:t>Otro elemento innovador que se incorpora es la creación de un canal confidencial digital de denuncias dentro del portal del DRD. Este sistema permitirá a víctimas, testigos o personal relacionado con el deporte presentar querellas de manera segura, confidencial y directa, evitando represalias o la pérdida de evidencia. El mecanismo se diseñará con los recursos tecnológicos existentes, de forma que su implantación no conlleve impacto presupuestario.</w:t>
      </w:r>
    </w:p>
    <w:p w14:paraId="50734640" w14:textId="77777777" w:rsidR="00CC26EF" w:rsidRDefault="002A3D00">
      <w:pPr>
        <w:suppressLineNumbers/>
        <w:spacing w:before="120" w:line="360" w:lineRule="auto"/>
        <w:ind w:firstLine="706"/>
        <w:jc w:val="both"/>
        <w:rPr>
          <w:rFonts w:ascii="Book Antiqua" w:eastAsia="Calibri" w:hAnsi="Book Antiqua" w:cs="Book Antiqua"/>
          <w:lang w:val="es-ES"/>
        </w:rPr>
      </w:pPr>
      <w:r>
        <w:rPr>
          <w:rFonts w:ascii="Book Antiqua" w:eastAsia="Calibri" w:hAnsi="Book Antiqua" w:cs="Book Antiqua"/>
          <w:lang w:val="es-ES"/>
        </w:rPr>
        <w:t>Además, se amplía la definición de “entorno deportivo” para incluir los espacios virtuales, plataformas de entrenamiento en línea, residencias deportivas y campamentos, atemperando la Ley a la realidad contemporánea donde la actividad deportiva trasciende los espacios físicos tradicionales.</w:t>
      </w:r>
    </w:p>
    <w:p w14:paraId="50734641" w14:textId="77777777" w:rsidR="00CC26EF" w:rsidRDefault="002A3D00">
      <w:pPr>
        <w:suppressLineNumbers/>
        <w:spacing w:before="120" w:line="360" w:lineRule="auto"/>
        <w:ind w:firstLine="706"/>
        <w:jc w:val="both"/>
      </w:pPr>
      <w:r>
        <w:rPr>
          <w:rFonts w:ascii="Book Antiqua" w:eastAsia="Calibri" w:hAnsi="Book Antiqua" w:cs="Book Antiqua"/>
          <w:lang w:val="es-ES"/>
        </w:rPr>
        <w:t>Finalmente, se ordena la publicación de un Informe Anual de Cumplimiento Ético en el Deporte, en el cual el DRD recopilará estadísticas, medidas disciplinarias y datos sobre cumplimiento, como herramienta de transparencia pública y evaluación continua de resultados.</w:t>
      </w:r>
    </w:p>
    <w:p w14:paraId="50734642" w14:textId="77777777" w:rsidR="00CC26EF" w:rsidRDefault="002A3D00">
      <w:pPr>
        <w:suppressLineNumbers/>
        <w:spacing w:before="120" w:line="360" w:lineRule="auto"/>
        <w:ind w:firstLine="706"/>
        <w:jc w:val="both"/>
      </w:pPr>
      <w:r>
        <w:rPr>
          <w:rFonts w:ascii="Book Antiqua" w:eastAsia="Calibri" w:hAnsi="Book Antiqua" w:cs="Book Antiqua"/>
          <w:lang w:val="es-ES"/>
        </w:rPr>
        <w:lastRenderedPageBreak/>
        <w:t>Con esta medida, la Asamblea Legislativa reitera su compromiso inquebrantable con la protección de los derechos humanos y la erradicación de cualquier forma de abuso o hostigamiento en el deporte puertorriqueño. Esta Ley reafirma que ninguna meta deportiva justifica la violación de la dignidad humana, y que la excelencia atlética solo puede florecer en un ambiente de respeto y justicia.</w:t>
      </w:r>
    </w:p>
    <w:p w14:paraId="50734643" w14:textId="77777777" w:rsidR="00CC26EF" w:rsidRDefault="002A3D00">
      <w:pPr>
        <w:suppressLineNumbers/>
        <w:spacing w:before="120" w:line="480" w:lineRule="auto"/>
        <w:rPr>
          <w:rFonts w:ascii="Book Antiqua" w:hAnsi="Book Antiqua" w:cs="Book Antiqua"/>
          <w:b/>
          <w:bCs/>
          <w:iCs/>
        </w:rPr>
      </w:pPr>
      <w:bookmarkStart w:id="1" w:name="_Hlk183040655"/>
      <w:r>
        <w:rPr>
          <w:rFonts w:ascii="Book Antiqua" w:hAnsi="Book Antiqua" w:cs="Book Antiqua"/>
          <w:b/>
          <w:bCs/>
          <w:iCs/>
          <w:lang w:val="es-CR"/>
        </w:rPr>
        <w:t>DECRÉTASE POR LA ASAMBLEA LEGISLATIVA DE PUERTO RICO</w:t>
      </w:r>
      <w:bookmarkEnd w:id="1"/>
      <w:r>
        <w:rPr>
          <w:rFonts w:ascii="Book Antiqua" w:hAnsi="Book Antiqua" w:cs="Book Antiqua"/>
          <w:b/>
          <w:bCs/>
          <w:iCs/>
          <w:lang w:val="es-CR"/>
        </w:rPr>
        <w:t>:</w:t>
      </w:r>
      <w:r>
        <w:rPr>
          <w:rFonts w:ascii="Book Antiqua" w:hAnsi="Book Antiqua" w:cs="Book Antiqua"/>
          <w:b/>
          <w:bCs/>
          <w:iCs/>
        </w:rPr>
        <w:t> </w:t>
      </w:r>
      <w:r>
        <w:rPr>
          <w:rFonts w:ascii="Book Antiqua" w:hAnsi="Book Antiqua" w:cs="Book Antiqua"/>
          <w:b/>
          <w:bCs/>
          <w:iCs/>
        </w:rPr>
        <w:tab/>
      </w:r>
    </w:p>
    <w:p w14:paraId="50734644" w14:textId="77777777" w:rsidR="00CC26EF" w:rsidRDefault="00CC26EF">
      <w:pPr>
        <w:suppressLineNumbers/>
        <w:sectPr w:rsidR="00CC26EF">
          <w:headerReference w:type="default" r:id="rId7"/>
          <w:headerReference w:type="first" r:id="rId8"/>
          <w:pgSz w:w="12240" w:h="15840"/>
          <w:pgMar w:top="1440" w:right="1440" w:bottom="1440" w:left="1440" w:header="576" w:footer="0" w:gutter="0"/>
          <w:cols w:space="720"/>
          <w:formProt w:val="0"/>
          <w:titlePg/>
          <w:docGrid w:linePitch="360"/>
        </w:sectPr>
      </w:pPr>
    </w:p>
    <w:p w14:paraId="50734645"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Sección 1.- Se enmienda el inciso (4) del Artículo 4 de la Ley 133-2024, conocida como “Ley para la Prevención y Protección Contra el Acoso y Hostigamiento Sexual en el Deporte en Puerto Rico”, para que lea como sigue:</w:t>
      </w:r>
    </w:p>
    <w:p w14:paraId="50734646"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“Artículo 4. — Definiciones.</w:t>
      </w:r>
    </w:p>
    <w:p w14:paraId="50734647" w14:textId="77777777" w:rsidR="00CC26EF" w:rsidRDefault="002A3D00">
      <w:pPr>
        <w:numPr>
          <w:ilvl w:val="0"/>
          <w:numId w:val="4"/>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48" w14:textId="77777777" w:rsidR="00CC26EF" w:rsidRDefault="002A3D00">
      <w:pPr>
        <w:numPr>
          <w:ilvl w:val="0"/>
          <w:numId w:val="4"/>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49" w14:textId="77777777" w:rsidR="00CC26EF" w:rsidRDefault="002A3D00">
      <w:pPr>
        <w:numPr>
          <w:ilvl w:val="0"/>
          <w:numId w:val="4"/>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4A" w14:textId="77777777" w:rsidR="00CC26EF" w:rsidRDefault="002A3D00">
      <w:pPr>
        <w:numPr>
          <w:ilvl w:val="0"/>
          <w:numId w:val="4"/>
        </w:numPr>
        <w:spacing w:line="480" w:lineRule="auto"/>
        <w:jc w:val="both"/>
        <w:rPr>
          <w:rFonts w:ascii="Book Antiqua" w:eastAsia="Calibri" w:hAnsi="Book Antiqua" w:cs="Book Antiqua"/>
          <w:i/>
          <w:iCs/>
          <w:lang w:val="es-ES"/>
        </w:rPr>
      </w:pPr>
      <w:r>
        <w:rPr>
          <w:rFonts w:ascii="Book Antiqua" w:eastAsia="Book Antiqua" w:hAnsi="Book Antiqua" w:cs="Book Antiqua"/>
        </w:rPr>
        <w:t>Entorno Deportivo — Comprende todo espacio físico o virtual donde se realicen actividades deportivas, incluyendo canchas, gimnasios, estadios, centros de entrenamiento, campamentos, residencias deportivas, y plataformas digitales de entrenamiento o comunicación institucional, sin importar el número de participantes.</w:t>
      </w:r>
    </w:p>
    <w:p w14:paraId="5073464B" w14:textId="77777777" w:rsidR="00CC26EF" w:rsidRDefault="002A3D00">
      <w:pPr>
        <w:numPr>
          <w:ilvl w:val="0"/>
          <w:numId w:val="4"/>
        </w:numPr>
        <w:spacing w:line="480" w:lineRule="auto"/>
        <w:jc w:val="both"/>
        <w:rPr>
          <w:rFonts w:ascii="Book Antiqua" w:eastAsia="Calibri" w:hAnsi="Book Antiqua" w:cs="Book Antiqua"/>
          <w:i/>
          <w:iCs/>
          <w:lang w:val="es-ES"/>
        </w:rPr>
      </w:pPr>
      <w:r>
        <w:rPr>
          <w:rFonts w:ascii="Book Antiqua" w:eastAsia="Book Antiqua" w:hAnsi="Book Antiqua" w:cs="Book Antiqua"/>
          <w:i/>
          <w:u w:val="single"/>
        </w:rPr>
        <w:t xml:space="preserve">Hostigamiento — Cualquier conducta o acercamiento sexual, ya sea explícito o implícito, no deseado hacia un atleta, que puede incluir la solicitud de favores sexuales, contacto físico o cibernético, cuando tenga como propósito amedrentar, amenazar o interferir con su práctica o rendimiento deportivo, crear un ambiente hostil hacia este o </w:t>
      </w:r>
      <w:r>
        <w:rPr>
          <w:rFonts w:ascii="Book Antiqua" w:eastAsia="Book Antiqua" w:hAnsi="Book Antiqua" w:cs="Book Antiqua"/>
          <w:i/>
          <w:u w:val="single"/>
        </w:rPr>
        <w:lastRenderedPageBreak/>
        <w:t>su equipo, o cuando dicha solicitud o requerimiento sexual se imponga como condición para la participación en la actividad deportiva.</w:t>
      </w:r>
      <w:r>
        <w:rPr>
          <w:rFonts w:ascii="Book Antiqua" w:eastAsia="Book Antiqua" w:hAnsi="Book Antiqua" w:cs="Book Antiqua"/>
        </w:rPr>
        <w:t>”</w:t>
      </w:r>
    </w:p>
    <w:p w14:paraId="5073464C"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Sección 2.- Se añaden los nuevos incisos (e) y (f) al Artículo 5 de la Ley 133-2024, conocida como “Ley para la Prevención y Protección Contra el Acoso y Hostigamiento Sexual en el Deporte en Puerto Rico”, para que lea como sigue:</w:t>
      </w:r>
    </w:p>
    <w:p w14:paraId="5073464D"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“Artículo 5. – Responsabilidad del Departamento de Recreación y Deportes.</w:t>
      </w:r>
    </w:p>
    <w:p w14:paraId="5073464E" w14:textId="77777777" w:rsidR="00CC26EF" w:rsidRDefault="002A3D00">
      <w:pPr>
        <w:numPr>
          <w:ilvl w:val="0"/>
          <w:numId w:val="2"/>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4F" w14:textId="77777777" w:rsidR="00CC26EF" w:rsidRDefault="002A3D00">
      <w:pPr>
        <w:numPr>
          <w:ilvl w:val="0"/>
          <w:numId w:val="2"/>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0" w14:textId="77777777" w:rsidR="00CC26EF" w:rsidRDefault="002A3D00">
      <w:pPr>
        <w:numPr>
          <w:ilvl w:val="0"/>
          <w:numId w:val="2"/>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1" w14:textId="77777777" w:rsidR="00CC26EF" w:rsidRDefault="002A3D00">
      <w:pPr>
        <w:numPr>
          <w:ilvl w:val="0"/>
          <w:numId w:val="2"/>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2" w14:textId="77777777" w:rsidR="00CC26EF" w:rsidRDefault="002A3D00">
      <w:pPr>
        <w:numPr>
          <w:ilvl w:val="0"/>
          <w:numId w:val="2"/>
        </w:numPr>
        <w:spacing w:line="480" w:lineRule="auto"/>
        <w:jc w:val="both"/>
        <w:rPr>
          <w:rFonts w:ascii="Book Antiqua" w:eastAsia="Calibri" w:hAnsi="Book Antiqua" w:cs="Book Antiqua"/>
          <w:i/>
          <w:iCs/>
          <w:lang w:val="es-ES"/>
        </w:rPr>
      </w:pPr>
      <w:r>
        <w:rPr>
          <w:rFonts w:ascii="Book Antiqua" w:eastAsia="Book Antiqua" w:hAnsi="Book Antiqua" w:cs="Book Antiqua"/>
        </w:rPr>
        <w:t>El Departamento de Recreación y Deportes coordinará, mediante acuerdos interagenciales o memorandos de entendimiento, con el Departamento de Educación, el Comité Olímpico de Puerto Rico y las federaciones deportivas, la integración de módulos educativos sobre respeto y prevención de acoso y hostigamiento sexual en las actividades deportivas, priorizando la máxima difusión educativa mediante material digital amplio y visible que las entidades puedan compartir sin implicar gastos adicionales ni creación de nuevas plazas.</w:t>
      </w:r>
      <w:r>
        <w:rPr>
          <w:rFonts w:ascii="Book Antiqua" w:eastAsia="Book Antiqua" w:hAnsi="Book Antiqua" w:cs="Book Antiqua"/>
          <w:i/>
          <w:u w:val="single"/>
        </w:rPr>
        <w:t xml:space="preserve"> Asimismo, el Departamento ofrecerá, con los recursos existentes y libre de costo, talleres, capacitaciones y mentoría a las entidades deportivas para asistirles en la adopción y el cumplimiento de los protocolos y demás disposiciones de esta Ley.</w:t>
      </w:r>
    </w:p>
    <w:p w14:paraId="50734653" w14:textId="77777777" w:rsidR="00CC26EF" w:rsidRDefault="002A3D00">
      <w:pPr>
        <w:numPr>
          <w:ilvl w:val="0"/>
          <w:numId w:val="2"/>
        </w:numPr>
        <w:spacing w:line="480" w:lineRule="auto"/>
        <w:jc w:val="both"/>
        <w:rPr>
          <w:rFonts w:ascii="Book Antiqua" w:eastAsia="Calibri" w:hAnsi="Book Antiqua" w:cs="Book Antiqua"/>
          <w:i/>
          <w:iCs/>
          <w:lang w:val="es-ES"/>
        </w:rPr>
      </w:pPr>
      <w:r>
        <w:rPr>
          <w:rFonts w:ascii="Book Antiqua" w:eastAsia="Calibri" w:hAnsi="Book Antiqua" w:cs="Book Antiqua"/>
          <w:iCs/>
          <w:lang w:val="es-ES"/>
        </w:rPr>
        <w:t xml:space="preserve">El Departamento de Recreación y Deportes elaborará y publicará anualmente un Informe de Cumplimiento Ético en el Deporte, en el cual se incluirán </w:t>
      </w:r>
      <w:r>
        <w:rPr>
          <w:rFonts w:ascii="Book Antiqua" w:eastAsia="Calibri" w:hAnsi="Book Antiqua" w:cs="Book Antiqua"/>
          <w:iCs/>
          <w:lang w:val="es-ES"/>
        </w:rPr>
        <w:lastRenderedPageBreak/>
        <w:t>estadísticas de denuncias recibidas, medidas administrativas tomadas y entidades deportivas incumplidoras.</w:t>
      </w:r>
    </w:p>
    <w:p w14:paraId="50734654" w14:textId="77777777" w:rsidR="00CC26EF" w:rsidRDefault="002A3D00">
      <w:pPr>
        <w:spacing w:line="480" w:lineRule="auto"/>
        <w:ind w:left="900"/>
        <w:jc w:val="both"/>
        <w:rPr>
          <w:rFonts w:ascii="Book Antiqua" w:eastAsia="Calibri" w:hAnsi="Book Antiqua" w:cs="Book Antiqua"/>
          <w:i/>
          <w:iCs/>
          <w:lang w:val="es-ES"/>
        </w:rPr>
      </w:pPr>
      <w:r>
        <w:rPr>
          <w:rFonts w:ascii="Book Antiqua" w:eastAsia="Calibri" w:hAnsi="Book Antiqua" w:cs="Book Antiqua"/>
          <w:iCs/>
          <w:lang w:val="es-ES"/>
        </w:rPr>
        <w:t>El informe será de carácter público y se preparará con los datos disponibles, sin incurrir en gastos adicionales.</w:t>
      </w:r>
    </w:p>
    <w:p w14:paraId="50734655"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 xml:space="preserve">Sección 3.- Se añade un nuevo inciso (e) al Artículo 6 de </w:t>
      </w:r>
      <w:bookmarkStart w:id="2" w:name="_Hlk211505689"/>
      <w:r>
        <w:rPr>
          <w:rFonts w:ascii="Book Antiqua" w:eastAsia="Calibri" w:hAnsi="Book Antiqua" w:cs="Book Antiqua"/>
          <w:lang w:val="es-ES"/>
        </w:rPr>
        <w:t>la Ley 133-2024, conocida como “Ley para la Prevención y Protección Contra el Acoso y Hostigamiento Sexual en el Deporte en Puerto Rico”, para que lea como sigue:</w:t>
      </w:r>
    </w:p>
    <w:bookmarkEnd w:id="2"/>
    <w:p w14:paraId="50734656"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w:t>
      </w:r>
      <w:bookmarkStart w:id="3" w:name="_Hlk211505731"/>
      <w:r>
        <w:rPr>
          <w:rFonts w:ascii="Book Antiqua" w:eastAsia="Calibri" w:hAnsi="Book Antiqua" w:cs="Book Antiqua"/>
          <w:lang w:val="es-ES"/>
        </w:rPr>
        <w:t>Artículo 6. — Responsabilidades de las entidades deportivas.</w:t>
      </w:r>
      <w:bookmarkEnd w:id="3"/>
    </w:p>
    <w:p w14:paraId="50734657" w14:textId="77777777" w:rsidR="00CC26EF" w:rsidRDefault="002A3D00">
      <w:pPr>
        <w:numPr>
          <w:ilvl w:val="0"/>
          <w:numId w:val="3"/>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8" w14:textId="77777777" w:rsidR="00CC26EF" w:rsidRDefault="002A3D00">
      <w:pPr>
        <w:numPr>
          <w:ilvl w:val="0"/>
          <w:numId w:val="3"/>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9" w14:textId="77777777" w:rsidR="00CC26EF" w:rsidRDefault="002A3D00">
      <w:pPr>
        <w:numPr>
          <w:ilvl w:val="0"/>
          <w:numId w:val="3"/>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A" w14:textId="77777777" w:rsidR="00CC26EF" w:rsidRDefault="002A3D00">
      <w:pPr>
        <w:numPr>
          <w:ilvl w:val="0"/>
          <w:numId w:val="3"/>
        </w:numPr>
        <w:spacing w:line="480" w:lineRule="auto"/>
        <w:jc w:val="both"/>
        <w:rPr>
          <w:rFonts w:ascii="Book Antiqua" w:eastAsia="Calibri" w:hAnsi="Book Antiqua" w:cs="Book Antiqua"/>
          <w:lang w:val="es-ES"/>
        </w:rPr>
      </w:pPr>
      <w:r>
        <w:rPr>
          <w:rFonts w:ascii="Book Antiqua" w:eastAsia="Calibri" w:hAnsi="Book Antiqua" w:cs="Book Antiqua"/>
          <w:lang w:val="es-ES"/>
        </w:rPr>
        <w:t>…</w:t>
      </w:r>
    </w:p>
    <w:p w14:paraId="5073465B" w14:textId="77777777" w:rsidR="00CC26EF" w:rsidRDefault="002A3D00">
      <w:pPr>
        <w:numPr>
          <w:ilvl w:val="0"/>
          <w:numId w:val="3"/>
        </w:numPr>
        <w:spacing w:line="480" w:lineRule="auto"/>
        <w:jc w:val="both"/>
        <w:rPr>
          <w:rFonts w:ascii="Book Antiqua" w:eastAsia="Calibri" w:hAnsi="Book Antiqua" w:cs="Book Antiqua"/>
          <w:i/>
          <w:iCs/>
          <w:lang w:val="es-ES"/>
        </w:rPr>
      </w:pPr>
      <w:r>
        <w:rPr>
          <w:rFonts w:ascii="Book Antiqua" w:eastAsia="Book Antiqua" w:hAnsi="Book Antiqua" w:cs="Book Antiqua"/>
        </w:rPr>
        <w:t>Toda entidad deportiva que reciba fondos públicos, auspicios, endosos o utilice instalaciones públicas deberá contar con una Acreditación de Organización expedida por el Departamento de Recreación y Deportes.</w:t>
      </w:r>
    </w:p>
    <w:p w14:paraId="5073465C" w14:textId="77777777" w:rsidR="00CC26EF" w:rsidRDefault="002A3D00">
      <w:pPr>
        <w:spacing w:line="480" w:lineRule="auto"/>
        <w:ind w:left="900"/>
        <w:jc w:val="both"/>
        <w:rPr>
          <w:rFonts w:ascii="Book Antiqua" w:eastAsia="Calibri" w:hAnsi="Book Antiqua" w:cs="Book Antiqua"/>
          <w:lang w:val="es-ES"/>
        </w:rPr>
      </w:pPr>
      <w:r>
        <w:rPr>
          <w:rFonts w:ascii="Book Antiqua" w:eastAsia="Book Antiqua" w:hAnsi="Book Antiqua" w:cs="Book Antiqua"/>
        </w:rPr>
        <w:t xml:space="preserve">Esta acreditación tendrá una vigencia de (1) año y será requisito indispensable para la formalización de contratos o asignaciones de fondos públicos. Como parte de los requisitos para que el Departamento de Recreación y Deportes pueda emitir dicha Acreditación la entidad deportiva someterá una declaración jurada electrónica, so pena de perjurio, sobre el cumplimiento con las disposiciones de esta Ley y que la entidad no tiene historial de hostigamiento sexual. La falsedad en dicha declaración conllevará la cancelación inmediata de </w:t>
      </w:r>
      <w:r>
        <w:rPr>
          <w:rFonts w:ascii="Book Antiqua" w:eastAsia="Book Antiqua" w:hAnsi="Book Antiqua" w:cs="Book Antiqua"/>
        </w:rPr>
        <w:lastRenderedPageBreak/>
        <w:t>la acreditación, la nulidad del contrato y la posible exclusión del registro de entidades elegibles para futuras subvenciones.”</w:t>
      </w:r>
    </w:p>
    <w:p w14:paraId="5073465D" w14:textId="77777777" w:rsidR="00CC26EF" w:rsidRDefault="002A3D00">
      <w:pPr>
        <w:spacing w:line="480" w:lineRule="auto"/>
        <w:jc w:val="both"/>
        <w:rPr>
          <w:rFonts w:ascii="Book Antiqua" w:eastAsia="Calibri" w:hAnsi="Book Antiqua" w:cs="Book Antiqua"/>
          <w:lang w:val="es-ES"/>
        </w:rPr>
      </w:pPr>
      <w:r>
        <w:rPr>
          <w:rFonts w:ascii="Book Antiqua" w:eastAsia="Calibri" w:hAnsi="Book Antiqua" w:cs="Book Antiqua"/>
          <w:lang w:val="es-ES"/>
        </w:rPr>
        <w:tab/>
        <w:t>Sección 4.- Se añade un nuevo Artículo 6-A a la Ley 133-2024, conocida como “Ley para la Prevención y Protección Contra el Acoso y Hostigamiento Sexual en el Deporte en Puerto Rico”, para que lea como sigue:</w:t>
      </w:r>
    </w:p>
    <w:p w14:paraId="5073465E" w14:textId="77777777" w:rsidR="00CC26EF" w:rsidRDefault="002A3D00">
      <w:pPr>
        <w:spacing w:line="480" w:lineRule="auto"/>
        <w:jc w:val="both"/>
      </w:pPr>
      <w:r>
        <w:rPr>
          <w:rFonts w:ascii="Book Antiqua" w:eastAsia="Calibri" w:hAnsi="Book Antiqua" w:cs="Book Antiqua"/>
          <w:lang w:val="es-ES"/>
        </w:rPr>
        <w:tab/>
        <w:t>“</w:t>
      </w:r>
      <w:r>
        <w:rPr>
          <w:rFonts w:ascii="Book Antiqua" w:eastAsia="Calibri" w:hAnsi="Book Antiqua" w:cs="Book Antiqua"/>
          <w:iCs/>
          <w:lang w:val="es-ES"/>
        </w:rPr>
        <w:t>Artículo 6-A.- Registro de Cumplimiento de Entidades Deportivas.</w:t>
      </w:r>
    </w:p>
    <w:p w14:paraId="5073465F" w14:textId="77777777" w:rsidR="00CC26EF" w:rsidRDefault="002A3D00">
      <w:pPr>
        <w:spacing w:line="480" w:lineRule="auto"/>
        <w:ind w:left="720"/>
        <w:jc w:val="both"/>
      </w:pPr>
      <w:r>
        <w:rPr>
          <w:rFonts w:ascii="Book Antiqua" w:eastAsia="Calibri" w:hAnsi="Book Antiqua" w:cs="Book Antiqua"/>
          <w:iCs/>
          <w:lang w:val="es-ES"/>
        </w:rPr>
        <w:t>(a) Se crea el Registro de Cumplimiento de Entidades Deportivas, administrado por el Departamento de Recreación y Deportes, el cual servirá para documentar y publicar el cumplimiento de las entidades deportivas sujetas a esta Ley.</w:t>
      </w:r>
    </w:p>
    <w:p w14:paraId="50734660" w14:textId="77777777" w:rsidR="00CC26EF" w:rsidRDefault="002A3D00">
      <w:pPr>
        <w:spacing w:line="480" w:lineRule="auto"/>
        <w:ind w:left="720"/>
        <w:jc w:val="both"/>
        <w:rPr>
          <w:rFonts w:ascii="Book Antiqua" w:eastAsia="Calibri" w:hAnsi="Book Antiqua" w:cs="Book Antiqua"/>
          <w:i/>
          <w:iCs/>
          <w:lang w:val="es-ES"/>
        </w:rPr>
      </w:pPr>
      <w:r>
        <w:rPr>
          <w:rFonts w:ascii="Book Antiqua" w:eastAsia="Calibri" w:hAnsi="Book Antiqua" w:cs="Book Antiqua"/>
          <w:iCs/>
          <w:lang w:val="es-ES"/>
        </w:rPr>
        <w:t>(b) El registro se mantendrá de forma digital y se alojará en el portal institucional del Departamento, sin crear estructura administrativa adicional.</w:t>
      </w:r>
    </w:p>
    <w:p w14:paraId="50734661" w14:textId="77777777" w:rsidR="00CC26EF" w:rsidRDefault="002A3D00">
      <w:pPr>
        <w:spacing w:line="480" w:lineRule="auto"/>
        <w:ind w:left="720"/>
        <w:jc w:val="both"/>
      </w:pPr>
      <w:r>
        <w:rPr>
          <w:rFonts w:ascii="Book Antiqua" w:eastAsia="Calibri" w:hAnsi="Book Antiqua" w:cs="Book Antiqua"/>
          <w:iCs/>
          <w:lang w:val="es-ES"/>
        </w:rPr>
        <w:t>(c) El DRD publicará trimestralmente un listado actualizado de las entidades deportivas que han cumplido con sus obligaciones de protocolo y certificación, así como de aquellas en proceso de cumplimiento o que hayan sido suspendidas.</w:t>
      </w:r>
    </w:p>
    <w:p w14:paraId="50734662" w14:textId="77777777" w:rsidR="00CC26EF" w:rsidRDefault="002A3D00">
      <w:pPr>
        <w:spacing w:line="480" w:lineRule="auto"/>
        <w:ind w:left="720"/>
        <w:jc w:val="both"/>
      </w:pPr>
      <w:r>
        <w:rPr>
          <w:rFonts w:ascii="Book Antiqua" w:eastAsia="Book Antiqua" w:hAnsi="Book Antiqua" w:cs="Book Antiqua"/>
        </w:rPr>
        <w:t>(d) La falta de inscripción o actualización en el registro será causa suficiente para la suspensión de endosos o del uso de facilidades deportivas públicas estatales y municipales.”</w:t>
      </w:r>
    </w:p>
    <w:p w14:paraId="50734663"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Sección 5.- Se enmienda el Artículo 7, de la Ley 133-2024, conocida como “Ley para la Prevención y Protección Contra el Acoso y Hostigamiento Sexual en el Deporte en Puerto Rico”, para que lea como sigue:</w:t>
      </w:r>
    </w:p>
    <w:p w14:paraId="50734664" w14:textId="77777777" w:rsidR="00CC26EF" w:rsidRDefault="002A3D00">
      <w:pPr>
        <w:spacing w:line="480" w:lineRule="auto"/>
        <w:ind w:firstLine="540"/>
        <w:jc w:val="both"/>
      </w:pPr>
      <w:r>
        <w:rPr>
          <w:rFonts w:ascii="Book Antiqua" w:eastAsia="Calibri" w:hAnsi="Book Antiqua" w:cs="Book Antiqua"/>
          <w:lang w:val="es-ES"/>
        </w:rPr>
        <w:t xml:space="preserve">“Artículo 7. — Protocolos. </w:t>
      </w:r>
    </w:p>
    <w:p w14:paraId="50734665" w14:textId="77777777" w:rsidR="00CC26EF" w:rsidRDefault="002A3D00">
      <w:pPr>
        <w:spacing w:line="480" w:lineRule="auto"/>
        <w:ind w:firstLine="540"/>
        <w:jc w:val="both"/>
      </w:pPr>
      <w:r>
        <w:rPr>
          <w:rFonts w:ascii="Book Antiqua" w:eastAsia="Book Antiqua" w:hAnsi="Book Antiqua" w:cs="Book Antiqua"/>
        </w:rPr>
        <w:lastRenderedPageBreak/>
        <w:t>El Departamento de Recreación y Deportes, en coordinación con las entidades deportivas públicas y privadas que reciban fondos públicos o utilicen instalaciones públicas, estatales y municipales, adoptará un Protocolo Uniforme de Prevención y Respuesta contra el acoso y hostigamiento sexual en el deporte. El protocolo deberá ser sencillo y de cumplimiento documental, pudiendo el DRD crear y facilitar un modelo de protocolo único que las entidades puedan adoptar y personalizar ligeramente. Dicho protocolo incluirá, como mínimo:</w:t>
      </w:r>
    </w:p>
    <w:p w14:paraId="50734666" w14:textId="77777777" w:rsidR="00CC26EF" w:rsidRDefault="002A3D00">
      <w:pPr>
        <w:spacing w:line="480" w:lineRule="auto"/>
        <w:ind w:firstLine="540"/>
        <w:jc w:val="both"/>
        <w:rPr>
          <w:rFonts w:ascii="Book Antiqua" w:eastAsia="Calibri" w:hAnsi="Book Antiqua" w:cs="Book Antiqua"/>
          <w:i/>
          <w:iCs/>
          <w:lang w:val="es-ES"/>
        </w:rPr>
      </w:pPr>
      <w:r>
        <w:rPr>
          <w:rFonts w:ascii="Book Antiqua" w:eastAsia="Calibri" w:hAnsi="Book Antiqua" w:cs="Book Antiqua"/>
          <w:iCs/>
          <w:lang w:val="es-ES"/>
        </w:rPr>
        <w:t>1. Procedimientos internos para la investigación y manejo confidencial de querellas.</w:t>
      </w:r>
    </w:p>
    <w:p w14:paraId="50734667" w14:textId="77777777" w:rsidR="00CC26EF" w:rsidRDefault="002A3D00">
      <w:pPr>
        <w:spacing w:line="480" w:lineRule="auto"/>
        <w:ind w:left="540"/>
        <w:jc w:val="both"/>
        <w:rPr>
          <w:rFonts w:ascii="Book Antiqua" w:eastAsia="Calibri" w:hAnsi="Book Antiqua" w:cs="Book Antiqua"/>
          <w:i/>
          <w:iCs/>
          <w:lang w:val="es-ES"/>
        </w:rPr>
      </w:pPr>
      <w:r>
        <w:rPr>
          <w:rFonts w:ascii="Book Antiqua" w:eastAsia="Calibri" w:hAnsi="Book Antiqua" w:cs="Book Antiqua"/>
          <w:iCs/>
          <w:lang w:val="es-ES"/>
        </w:rPr>
        <w:t>2. Medidas cautelares inmediatas para proteger a la víctima y garantizar un ambiente seguro.</w:t>
      </w:r>
    </w:p>
    <w:p w14:paraId="50734668" w14:textId="77777777" w:rsidR="00CC26EF" w:rsidRDefault="002A3D00">
      <w:pPr>
        <w:spacing w:line="480" w:lineRule="auto"/>
        <w:ind w:firstLine="540"/>
        <w:jc w:val="both"/>
        <w:rPr>
          <w:rFonts w:ascii="Book Antiqua" w:eastAsia="Calibri" w:hAnsi="Book Antiqua" w:cs="Book Antiqua"/>
          <w:i/>
          <w:iCs/>
          <w:lang w:val="es-ES"/>
        </w:rPr>
      </w:pPr>
      <w:r>
        <w:rPr>
          <w:rFonts w:ascii="Book Antiqua" w:eastAsia="Calibri" w:hAnsi="Book Antiqua" w:cs="Book Antiqua"/>
          <w:iCs/>
          <w:lang w:val="es-ES"/>
        </w:rPr>
        <w:t>3. Reglas claras sobre confidencialidad, no represalia y protección del querellante.</w:t>
      </w:r>
    </w:p>
    <w:p w14:paraId="50734669" w14:textId="77777777" w:rsidR="00CC26EF" w:rsidRDefault="002A3D00">
      <w:pPr>
        <w:spacing w:line="480" w:lineRule="auto"/>
        <w:ind w:firstLine="540"/>
        <w:jc w:val="both"/>
        <w:rPr>
          <w:rFonts w:ascii="Book Antiqua" w:eastAsia="Calibri" w:hAnsi="Book Antiqua" w:cs="Book Antiqua"/>
          <w:i/>
          <w:iCs/>
          <w:lang w:val="es-ES"/>
        </w:rPr>
      </w:pPr>
      <w:r>
        <w:rPr>
          <w:rFonts w:ascii="Book Antiqua" w:eastAsia="Calibri" w:hAnsi="Book Antiqua" w:cs="Book Antiqua"/>
          <w:iCs/>
          <w:lang w:val="es-ES"/>
        </w:rPr>
        <w:t>4. Directrices para la notificación obligatoria al DRD y a las autoridades competentes.</w:t>
      </w:r>
    </w:p>
    <w:p w14:paraId="5073466A" w14:textId="77777777" w:rsidR="00CC26EF" w:rsidRDefault="002A3D00">
      <w:pPr>
        <w:spacing w:line="480" w:lineRule="auto"/>
        <w:ind w:firstLine="540"/>
        <w:jc w:val="both"/>
      </w:pPr>
      <w:r>
        <w:rPr>
          <w:rFonts w:ascii="Book Antiqua" w:eastAsia="Calibri" w:hAnsi="Book Antiqua" w:cs="Book Antiqua"/>
          <w:iCs/>
          <w:lang w:val="es-ES"/>
        </w:rPr>
        <w:t>5. Requisitos mínimos de adiestramiento anual para entrenadores, árbitros y personal administrativo.</w:t>
      </w:r>
    </w:p>
    <w:p w14:paraId="5073466B" w14:textId="77777777" w:rsidR="00CC26EF" w:rsidRDefault="002A3D00">
      <w:pPr>
        <w:spacing w:line="480" w:lineRule="auto"/>
        <w:ind w:firstLine="540"/>
        <w:jc w:val="both"/>
      </w:pPr>
      <w:r>
        <w:rPr>
          <w:rFonts w:ascii="Book Antiqua" w:eastAsia="Book Antiqua" w:hAnsi="Book Antiqua" w:cs="Book Antiqua"/>
        </w:rPr>
        <w:t>El Departamento adoptará dicho protocolo mediante orden administrativa, sin necesidad de reglamentación formal, dentro de un término de ciento veinte (120) días a partir de la aprobación de esta Ley.</w:t>
      </w:r>
      <w:r>
        <w:rPr>
          <w:rFonts w:ascii="Book Antiqua" w:eastAsia="Book Antiqua" w:hAnsi="Book Antiqua" w:cs="Book Antiqua"/>
          <w:i/>
          <w:u w:val="single"/>
        </w:rPr>
        <w:t xml:space="preserve"> Toda entidad deportiva publicará el Protocolo Uniforme y la información sobre esta Ley en un lugar prominente de su página de Internet y de sus redes sociales.</w:t>
      </w:r>
      <w:r>
        <w:rPr>
          <w:rFonts w:ascii="Book Antiqua" w:eastAsia="Book Antiqua" w:hAnsi="Book Antiqua" w:cs="Book Antiqua"/>
        </w:rPr>
        <w:t>”</w:t>
      </w:r>
    </w:p>
    <w:p w14:paraId="5073466C"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lastRenderedPageBreak/>
        <w:t>Sección 6.- Se añade un nuevo Artículo 8 a la Ley 133-2024, conocida como “Ley para la Prevención y Protección Contra el Acoso y Hostigamiento Sexual en el Deporte en Puerto Rico”, para que lea como sigue:</w:t>
      </w:r>
    </w:p>
    <w:p w14:paraId="5073466D" w14:textId="77777777" w:rsidR="00CC26EF" w:rsidRDefault="002A3D00">
      <w:pPr>
        <w:spacing w:line="480" w:lineRule="auto"/>
        <w:ind w:firstLine="540"/>
        <w:jc w:val="both"/>
      </w:pPr>
      <w:r>
        <w:rPr>
          <w:rFonts w:ascii="Book Antiqua" w:eastAsia="Calibri" w:hAnsi="Book Antiqua" w:cs="Book Antiqua"/>
          <w:lang w:val="es-ES"/>
        </w:rPr>
        <w:t>“</w:t>
      </w:r>
      <w:r>
        <w:rPr>
          <w:rFonts w:ascii="Book Antiqua" w:eastAsia="Calibri" w:hAnsi="Book Antiqua" w:cs="Book Antiqua"/>
          <w:iCs/>
          <w:lang w:val="es-ES"/>
        </w:rPr>
        <w:t>Artículo 8. — Mecanismo Confidencial de Denuncias.</w:t>
      </w:r>
    </w:p>
    <w:p w14:paraId="5073466E" w14:textId="77777777" w:rsidR="00CC26EF" w:rsidRDefault="002A3D00">
      <w:pPr>
        <w:spacing w:line="480" w:lineRule="auto"/>
        <w:ind w:firstLine="540"/>
        <w:jc w:val="both"/>
      </w:pPr>
      <w:r>
        <w:rPr>
          <w:rFonts w:ascii="Book Antiqua" w:eastAsia="Book Antiqua" w:hAnsi="Book Antiqua" w:cs="Book Antiqua"/>
        </w:rPr>
        <w:t>El Departamento de Recreación y Deportes establecerá, dentro de su portal electrónico institucional, un canal digital de acceso público para la presentación confidencial de denuncias relacionadas con violaciones a esta Ley. Se deberá explicar de manera clara y pública cómo y por qué personal será manejado este canal, asegurando un proceso justo, sensible, humano y confidencial.</w:t>
      </w:r>
    </w:p>
    <w:p w14:paraId="5073466F" w14:textId="77777777" w:rsidR="00CC26EF" w:rsidRDefault="002A3D00">
      <w:pPr>
        <w:spacing w:line="480" w:lineRule="auto"/>
        <w:ind w:firstLine="540"/>
        <w:jc w:val="both"/>
        <w:rPr>
          <w:rFonts w:ascii="Book Antiqua" w:eastAsia="Calibri" w:hAnsi="Book Antiqua" w:cs="Book Antiqua"/>
          <w:i/>
          <w:iCs/>
          <w:lang w:val="es-ES"/>
        </w:rPr>
      </w:pPr>
      <w:r>
        <w:rPr>
          <w:rFonts w:ascii="Book Antiqua" w:eastAsia="Calibri" w:hAnsi="Book Antiqua" w:cs="Book Antiqua"/>
          <w:iCs/>
          <w:lang w:val="es-ES"/>
        </w:rPr>
        <w:t>Dichas denuncias serán referidas automáticamente a las autoridades competentes para su evaluación e investigación, y se garantizará la confidencialidad de la identidad del querellante.</w:t>
      </w:r>
    </w:p>
    <w:p w14:paraId="50734670" w14:textId="77777777" w:rsidR="00CC26EF" w:rsidRDefault="002A3D00">
      <w:pPr>
        <w:spacing w:line="480" w:lineRule="auto"/>
        <w:ind w:firstLine="540"/>
        <w:jc w:val="both"/>
      </w:pPr>
      <w:r>
        <w:rPr>
          <w:rFonts w:ascii="Book Antiqua" w:eastAsia="Calibri" w:hAnsi="Book Antiqua" w:cs="Book Antiqua"/>
          <w:iCs/>
          <w:lang w:val="es-ES"/>
        </w:rPr>
        <w:t>La implantación de este mecanismo se realizará con los recursos tecnológicos y humanos existentes en el Departamento, sin impacto fiscal adicional.</w:t>
      </w:r>
      <w:r>
        <w:rPr>
          <w:rFonts w:ascii="Book Antiqua" w:eastAsia="Calibri" w:hAnsi="Book Antiqua" w:cs="Book Antiqua"/>
          <w:lang w:val="es-ES"/>
        </w:rPr>
        <w:t>”</w:t>
      </w:r>
    </w:p>
    <w:p w14:paraId="50734671"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Sección 7.- Se reenumeran los actuales Artículos 8, 9 y 10 de la Ley 133-2024, conocida como “Ley para la Prevención y Protección Contra el Acoso y Hostigamiento Sexual en el Deporte en Puerto Rico”, como Artículos 9, 10 y 11.</w:t>
      </w:r>
    </w:p>
    <w:p w14:paraId="50734672" w14:textId="77777777" w:rsidR="00CC26EF" w:rsidRDefault="002A3D00">
      <w:pPr>
        <w:spacing w:line="480" w:lineRule="auto"/>
        <w:ind w:firstLine="540"/>
        <w:jc w:val="both"/>
      </w:pPr>
      <w:r>
        <w:rPr>
          <w:rFonts w:ascii="Book Antiqua" w:eastAsia="Calibri" w:hAnsi="Book Antiqua" w:cs="Book Antiqua"/>
        </w:rPr>
        <w:t xml:space="preserve">Sección 8.- Reglamentación. </w:t>
      </w:r>
    </w:p>
    <w:p w14:paraId="50734673" w14:textId="77777777" w:rsidR="00CC26EF" w:rsidRDefault="002A3D00">
      <w:pPr>
        <w:spacing w:line="480" w:lineRule="auto"/>
        <w:ind w:firstLine="540"/>
        <w:jc w:val="both"/>
        <w:rPr>
          <w:rFonts w:ascii="Book Antiqua" w:eastAsia="Calibri" w:hAnsi="Book Antiqua" w:cs="Book Antiqua"/>
        </w:rPr>
      </w:pPr>
      <w:r>
        <w:rPr>
          <w:rFonts w:ascii="Book Antiqua" w:eastAsia="Book Antiqua" w:hAnsi="Book Antiqua" w:cs="Book Antiqua"/>
        </w:rPr>
        <w:t xml:space="preserve">El Departamento de Recreación y Deportes deberá adoptar, enmendar o derogar cualquier reglamento, norma o procedimiento para atemperarlos a las disposiciones de esta Ley, en un término no mayor de ciento veinte (120) días a partir de la vigencia de la misma. En la implementación de cualquier requerimiento, el DRD deberá considerar su </w:t>
      </w:r>
      <w:r>
        <w:rPr>
          <w:rFonts w:ascii="Book Antiqua" w:eastAsia="Book Antiqua" w:hAnsi="Book Antiqua" w:cs="Book Antiqua"/>
        </w:rPr>
        <w:lastRenderedPageBreak/>
        <w:t>realidad operacional y de recursos, priorizando la eficiencia y factibilidad, y evitando mecanismos excesivamente complejos o burocráticos que pudieran dificultar su efectividad.</w:t>
      </w:r>
    </w:p>
    <w:p w14:paraId="50734674" w14:textId="77777777" w:rsidR="00CC26EF" w:rsidRDefault="002A3D00">
      <w:pPr>
        <w:spacing w:line="480" w:lineRule="auto"/>
        <w:ind w:firstLine="540"/>
        <w:jc w:val="both"/>
      </w:pPr>
      <w:r>
        <w:rPr>
          <w:rFonts w:ascii="Book Antiqua" w:eastAsia="Calibri" w:hAnsi="Book Antiqua" w:cs="Book Antiqua"/>
        </w:rPr>
        <w:t>Sección 9.- Cláusula de Salvedad.</w:t>
      </w:r>
    </w:p>
    <w:p w14:paraId="50734675" w14:textId="77777777" w:rsidR="00CC26EF" w:rsidRDefault="002A3D00">
      <w:pPr>
        <w:spacing w:line="480" w:lineRule="auto"/>
        <w:ind w:firstLine="540"/>
        <w:jc w:val="both"/>
        <w:rPr>
          <w:rFonts w:ascii="Book Antiqua" w:eastAsia="Calibri" w:hAnsi="Book Antiqua" w:cs="Book Antiqua"/>
          <w:lang w:val="es-ES"/>
        </w:rPr>
      </w:pPr>
      <w:r>
        <w:rPr>
          <w:rFonts w:ascii="Book Antiqua" w:eastAsia="Calibri" w:hAnsi="Book Antiqua" w:cs="Book Antiqua"/>
          <w:lang w:val="es-ES"/>
        </w:rPr>
        <w:t>Si cualquier parte de esta Ley fuere declarada nula o inconstitucional por cualquier tribunal competente, dicha declaración no afectará, menoscabará o invalidará las otras disposiciones.</w:t>
      </w:r>
    </w:p>
    <w:p w14:paraId="50734676" w14:textId="77777777" w:rsidR="00CC26EF" w:rsidRDefault="002A3D00">
      <w:pPr>
        <w:spacing w:line="480" w:lineRule="auto"/>
        <w:ind w:firstLine="540"/>
        <w:jc w:val="both"/>
      </w:pPr>
      <w:r>
        <w:rPr>
          <w:rFonts w:ascii="Book Antiqua" w:eastAsia="Calibri" w:hAnsi="Book Antiqua" w:cs="Book Antiqua"/>
          <w:lang w:val="es-MX"/>
        </w:rPr>
        <w:t>Sección 10.- Vigencia.</w:t>
      </w:r>
    </w:p>
    <w:p w14:paraId="50734677" w14:textId="77777777" w:rsidR="00CC26EF" w:rsidRDefault="002A3D00">
      <w:pPr>
        <w:spacing w:line="480" w:lineRule="auto"/>
        <w:ind w:firstLine="540"/>
        <w:jc w:val="both"/>
      </w:pPr>
      <w:r>
        <w:rPr>
          <w:rFonts w:ascii="Book Antiqua" w:eastAsia="Calibri" w:hAnsi="Book Antiqua" w:cs="Book Antiqua"/>
          <w:spacing w:val="-3"/>
          <w:lang w:val="es-ES_tradnl"/>
        </w:rPr>
        <w:t>Esta Ley comenzará a regir inmediatamente después de su aprobación.</w:t>
      </w:r>
      <w:r>
        <w:rPr>
          <w:rFonts w:ascii="Book Antiqua" w:hAnsi="Book Antiqua" w:cs="Book Antiqua"/>
        </w:rPr>
        <w:t xml:space="preserve"> </w:t>
      </w:r>
    </w:p>
    <w:sectPr w:rsidR="00CC26EF">
      <w:type w:val="continuous"/>
      <w:pgSz w:w="12240" w:h="15840"/>
      <w:pgMar w:top="1440" w:right="1440" w:bottom="1440" w:left="1440" w:header="576"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9B92" w14:textId="77777777" w:rsidR="009058E4" w:rsidRDefault="009058E4">
      <w:r>
        <w:separator/>
      </w:r>
    </w:p>
  </w:endnote>
  <w:endnote w:type="continuationSeparator" w:id="0">
    <w:p w14:paraId="1E5913E7" w14:textId="77777777" w:rsidR="009058E4" w:rsidRDefault="00905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Verdan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2CC86" w14:textId="77777777" w:rsidR="009058E4" w:rsidRDefault="009058E4">
      <w:r>
        <w:separator/>
      </w:r>
    </w:p>
  </w:footnote>
  <w:footnote w:type="continuationSeparator" w:id="0">
    <w:p w14:paraId="583CF867" w14:textId="77777777" w:rsidR="009058E4" w:rsidRDefault="00905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34678" w14:textId="77777777" w:rsidR="00CC26EF" w:rsidRDefault="002A3D00">
    <w:pPr>
      <w:pStyle w:val="Header"/>
      <w:jc w:val="center"/>
    </w:pPr>
    <w:r>
      <w:rPr>
        <w:rStyle w:val="PageNumber"/>
        <w:rFonts w:ascii="Book Antiqua" w:hAnsi="Book Antiqua" w:cs="Book Antiqua"/>
      </w:rPr>
      <w:fldChar w:fldCharType="begin"/>
    </w:r>
    <w:r>
      <w:rPr>
        <w:rStyle w:val="PageNumber"/>
        <w:rFonts w:ascii="Book Antiqua" w:hAnsi="Book Antiqua" w:cs="Book Antiqua"/>
      </w:rPr>
      <w:instrText xml:space="preserve"> PAGE </w:instrText>
    </w:r>
    <w:r>
      <w:rPr>
        <w:rStyle w:val="PageNumber"/>
        <w:rFonts w:ascii="Book Antiqua" w:hAnsi="Book Antiqua" w:cs="Book Antiqua"/>
      </w:rPr>
      <w:fldChar w:fldCharType="separate"/>
    </w:r>
    <w:r>
      <w:rPr>
        <w:rStyle w:val="PageNumber"/>
        <w:rFonts w:ascii="Book Antiqua" w:hAnsi="Book Antiqua" w:cs="Book Antiqua"/>
      </w:rPr>
      <w:t>10</w:t>
    </w:r>
    <w:r>
      <w:rPr>
        <w:rStyle w:val="PageNumber"/>
        <w:rFonts w:ascii="Book Antiqua" w:hAnsi="Book Antiqua" w:cs="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34679" w14:textId="77777777" w:rsidR="00CC26EF" w:rsidRDefault="00CC2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94A25"/>
    <w:multiLevelType w:val="multilevel"/>
    <w:tmpl w:val="72408E20"/>
    <w:lvl w:ilvl="0">
      <w:start w:val="1"/>
      <w:numFmt w:val="decimal"/>
      <w:lvlText w:val="(%1)"/>
      <w:lvlJc w:val="left"/>
      <w:pPr>
        <w:tabs>
          <w:tab w:val="num" w:pos="0"/>
        </w:tabs>
        <w:ind w:left="9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1294901"/>
    <w:multiLevelType w:val="multilevel"/>
    <w:tmpl w:val="681A0B56"/>
    <w:lvl w:ilvl="0">
      <w:start w:val="1"/>
      <w:numFmt w:val="lowerLetter"/>
      <w:lvlText w:val="(%1)"/>
      <w:lvlJc w:val="left"/>
      <w:pPr>
        <w:tabs>
          <w:tab w:val="num" w:pos="0"/>
        </w:tabs>
        <w:ind w:left="900" w:hanging="360"/>
      </w:pPr>
      <w:rPr>
        <w:i w:val="0"/>
        <w:i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560508D"/>
    <w:multiLevelType w:val="multilevel"/>
    <w:tmpl w:val="CCEC2446"/>
    <w:lvl w:ilvl="0">
      <w:start w:val="1"/>
      <w:numFmt w:val="lowerLetter"/>
      <w:lvlText w:val="(%1)"/>
      <w:lvlJc w:val="left"/>
      <w:pPr>
        <w:tabs>
          <w:tab w:val="num" w:pos="0"/>
        </w:tabs>
        <w:ind w:left="900" w:hanging="360"/>
      </w:pPr>
      <w:rPr>
        <w:i w:val="0"/>
        <w:i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1562E85"/>
    <w:multiLevelType w:val="multilevel"/>
    <w:tmpl w:val="E656FE2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16cid:durableId="1685549164">
    <w:abstractNumId w:val="3"/>
  </w:num>
  <w:num w:numId="2" w16cid:durableId="643584743">
    <w:abstractNumId w:val="1"/>
  </w:num>
  <w:num w:numId="3" w16cid:durableId="593250636">
    <w:abstractNumId w:val="2"/>
  </w:num>
  <w:num w:numId="4" w16cid:durableId="1863057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26EF"/>
    <w:rsid w:val="00286FC3"/>
    <w:rsid w:val="002A3D00"/>
    <w:rsid w:val="004754E5"/>
    <w:rsid w:val="00614C6E"/>
    <w:rsid w:val="006A5328"/>
    <w:rsid w:val="006A59D0"/>
    <w:rsid w:val="006B44E7"/>
    <w:rsid w:val="00803F17"/>
    <w:rsid w:val="009058E4"/>
    <w:rsid w:val="00981A79"/>
    <w:rsid w:val="00AA71B9"/>
    <w:rsid w:val="00CC26EF"/>
    <w:rsid w:val="00F23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34625"/>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val="es-PR" w:eastAsia="zh-CN"/>
    </w:rPr>
  </w:style>
  <w:style w:type="paragraph" w:styleId="Heading1">
    <w:name w:val="heading 1"/>
    <w:basedOn w:val="Normal"/>
    <w:next w:val="Normal"/>
    <w:uiPriority w:val="9"/>
    <w:qFormat/>
    <w:pPr>
      <w:keepNext/>
      <w:keepLines/>
      <w:numPr>
        <w:numId w:val="1"/>
      </w:numPr>
      <w:spacing w:before="360" w:after="80"/>
      <w:outlineLvl w:val="0"/>
    </w:pPr>
    <w:rPr>
      <w:rFonts w:ascii="Calibri Light" w:hAnsi="Calibri Light" w:cs="Calibri Light"/>
      <w:color w:val="2F5496"/>
      <w:sz w:val="40"/>
      <w:szCs w:val="40"/>
    </w:rPr>
  </w:style>
  <w:style w:type="paragraph" w:styleId="Heading2">
    <w:name w:val="heading 2"/>
    <w:basedOn w:val="Normal"/>
    <w:next w:val="Normal"/>
    <w:uiPriority w:val="9"/>
    <w:semiHidden/>
    <w:unhideWhenUsed/>
    <w:qFormat/>
    <w:pPr>
      <w:keepNext/>
      <w:keepLines/>
      <w:numPr>
        <w:ilvl w:val="1"/>
        <w:numId w:val="1"/>
      </w:numPr>
      <w:spacing w:before="160" w:after="80"/>
      <w:outlineLvl w:val="1"/>
    </w:pPr>
    <w:rPr>
      <w:rFonts w:ascii="Calibri Light" w:hAnsi="Calibri Light" w:cs="Calibri Light"/>
      <w:color w:val="2F5496"/>
      <w:sz w:val="32"/>
      <w:szCs w:val="32"/>
    </w:rPr>
  </w:style>
  <w:style w:type="paragraph" w:styleId="Heading3">
    <w:name w:val="heading 3"/>
    <w:basedOn w:val="Normal"/>
    <w:next w:val="Normal"/>
    <w:uiPriority w:val="9"/>
    <w:semiHidden/>
    <w:unhideWhenUsed/>
    <w:qFormat/>
    <w:pPr>
      <w:keepNext/>
      <w:keepLines/>
      <w:numPr>
        <w:ilvl w:val="2"/>
        <w:numId w:val="1"/>
      </w:numPr>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numPr>
        <w:ilvl w:val="3"/>
        <w:numId w:val="1"/>
      </w:numPr>
      <w:spacing w:before="80" w:after="40"/>
      <w:outlineLvl w:val="3"/>
    </w:pPr>
    <w:rPr>
      <w:i/>
      <w:iCs/>
      <w:color w:val="2F5496"/>
    </w:rPr>
  </w:style>
  <w:style w:type="paragraph" w:styleId="Heading5">
    <w:name w:val="heading 5"/>
    <w:basedOn w:val="Normal"/>
    <w:next w:val="Normal"/>
    <w:uiPriority w:val="9"/>
    <w:semiHidden/>
    <w:unhideWhenUsed/>
    <w:qFormat/>
    <w:pPr>
      <w:keepNext/>
      <w:keepLines/>
      <w:numPr>
        <w:ilvl w:val="4"/>
        <w:numId w:val="1"/>
      </w:numPr>
      <w:spacing w:before="80" w:after="40"/>
      <w:outlineLvl w:val="4"/>
    </w:pPr>
    <w:rPr>
      <w:color w:val="2F5496"/>
    </w:rPr>
  </w:style>
  <w:style w:type="paragraph" w:styleId="Heading6">
    <w:name w:val="heading 6"/>
    <w:basedOn w:val="Normal"/>
    <w:next w:val="Normal"/>
    <w:uiPriority w:val="9"/>
    <w:semiHidden/>
    <w:unhideWhenUsed/>
    <w:qFormat/>
    <w:pPr>
      <w:keepNext/>
      <w:keepLines/>
      <w:numPr>
        <w:ilvl w:val="5"/>
        <w:numId w:val="1"/>
      </w:numPr>
      <w:spacing w:before="40"/>
      <w:outlineLvl w:val="5"/>
    </w:pPr>
    <w:rPr>
      <w:i/>
      <w:iCs/>
      <w:color w:val="595959"/>
    </w:rPr>
  </w:style>
  <w:style w:type="paragraph" w:styleId="Heading7">
    <w:name w:val="heading 7"/>
    <w:basedOn w:val="Normal"/>
    <w:next w:val="Normal"/>
    <w:qFormat/>
    <w:pPr>
      <w:keepNext/>
      <w:keepLines/>
      <w:numPr>
        <w:ilvl w:val="6"/>
        <w:numId w:val="1"/>
      </w:numPr>
      <w:spacing w:before="40"/>
      <w:outlineLvl w:val="6"/>
    </w:pPr>
    <w:rPr>
      <w:color w:val="595959"/>
    </w:rPr>
  </w:style>
  <w:style w:type="paragraph" w:styleId="Heading8">
    <w:name w:val="heading 8"/>
    <w:basedOn w:val="Normal"/>
    <w:next w:val="Normal"/>
    <w:qFormat/>
    <w:pPr>
      <w:keepNext/>
      <w:keepLines/>
      <w:numPr>
        <w:ilvl w:val="7"/>
        <w:numId w:val="1"/>
      </w:numPr>
      <w:outlineLvl w:val="7"/>
    </w:pPr>
    <w:rPr>
      <w:i/>
      <w:iCs/>
      <w:color w:val="272727"/>
    </w:rPr>
  </w:style>
  <w:style w:type="paragraph" w:styleId="Heading9">
    <w:name w:val="heading 9"/>
    <w:basedOn w:val="Normal"/>
    <w:next w:val="Normal"/>
    <w:qFormat/>
    <w:pPr>
      <w:keepNext/>
      <w:keepLines/>
      <w:numPr>
        <w:ilvl w:val="8"/>
        <w:numId w:val="1"/>
      </w:numPr>
      <w:outlineLvl w:val="8"/>
    </w:pPr>
    <w:rPr>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Book Antiqua" w:eastAsia="Times New Roman" w:hAnsi="Book Antiqua" w:cs="Times New Roman"/>
      <w:i/>
      <w:iCs/>
    </w:rPr>
  </w:style>
  <w:style w:type="character" w:customStyle="1" w:styleId="WW8Num2z0">
    <w:name w:val="WW8Num2z0"/>
    <w:qFormat/>
    <w:rPr>
      <w:rFonts w:ascii="Book Antiqua" w:eastAsia="Times New Roman" w:hAnsi="Book Antiqua" w:cs="Times New Roman"/>
      <w:i/>
      <w:iCs/>
    </w:rPr>
  </w:style>
  <w:style w:type="character" w:customStyle="1" w:styleId="WW8Num3z0">
    <w:name w:val="WW8Num3z0"/>
    <w:qFormat/>
  </w:style>
  <w:style w:type="character" w:customStyle="1" w:styleId="WW8Num4z0">
    <w:name w:val="WW8Num4z0"/>
    <w:qFormat/>
  </w:style>
  <w:style w:type="character" w:customStyle="1" w:styleId="WW8Num5z0">
    <w:name w:val="WW8Num5z0"/>
    <w:qFormat/>
    <w:rPr>
      <w:i/>
      <w:iCs/>
    </w:rPr>
  </w:style>
  <w:style w:type="character" w:customStyle="1" w:styleId="WW8Num6z0">
    <w:name w:val="WW8Num6z0"/>
    <w:qFormat/>
  </w:style>
  <w:style w:type="character" w:customStyle="1" w:styleId="WW8Num7z0">
    <w:name w:val="WW8Num7z0"/>
    <w:qFormat/>
  </w:style>
  <w:style w:type="character" w:customStyle="1" w:styleId="WW8Num8z0">
    <w:name w:val="WW8Num8z0"/>
    <w:qFormat/>
    <w:rPr>
      <w:i w:val="0"/>
    </w:rPr>
  </w:style>
  <w:style w:type="character" w:customStyle="1" w:styleId="WW8Num9z0">
    <w:name w:val="WW8Num9z0"/>
    <w:qFormat/>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b w:val="0"/>
      <w:bCs w:val="0"/>
    </w:rPr>
  </w:style>
  <w:style w:type="character" w:customStyle="1" w:styleId="WW8Num13z0">
    <w:name w:val="WW8Num13z0"/>
    <w:qFormat/>
    <w:rPr>
      <w:rFonts w:ascii="Book Antiqua" w:hAnsi="Book Antiqua" w:cs="Book Antiqua"/>
      <w:color w:val="000000"/>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val="0"/>
      <w:bCs w:val="0"/>
    </w:rPr>
  </w:style>
  <w:style w:type="character" w:customStyle="1" w:styleId="WW8Num16z1">
    <w:name w:val="WW8Num16z1"/>
    <w:qFormat/>
    <w:rPr>
      <w:i w:val="0"/>
    </w:rPr>
  </w:style>
  <w:style w:type="character" w:customStyle="1" w:styleId="WW8Num18z0">
    <w:name w:val="WW8Num18z0"/>
    <w:qFormat/>
    <w:rPr>
      <w:i/>
      <w:iCs/>
    </w:rPr>
  </w:style>
  <w:style w:type="character" w:customStyle="1" w:styleId="Heading1Char">
    <w:name w:val="Heading 1 Char"/>
    <w:qFormat/>
    <w:rPr>
      <w:rFonts w:ascii="Calibri Light" w:eastAsia="Times New Roman" w:hAnsi="Calibri Light" w:cs="Times New Roman"/>
      <w:color w:val="2F5496"/>
      <w:sz w:val="40"/>
      <w:szCs w:val="40"/>
      <w:lang w:val="es-ES_tradnl"/>
    </w:rPr>
  </w:style>
  <w:style w:type="character" w:customStyle="1" w:styleId="Heading2Char">
    <w:name w:val="Heading 2 Char"/>
    <w:qFormat/>
    <w:rPr>
      <w:rFonts w:ascii="Calibri Light" w:eastAsia="Times New Roman" w:hAnsi="Calibri Light" w:cs="Times New Roman"/>
      <w:color w:val="2F5496"/>
      <w:sz w:val="32"/>
      <w:szCs w:val="32"/>
      <w:lang w:val="es-ES_tradnl"/>
    </w:rPr>
  </w:style>
  <w:style w:type="character" w:customStyle="1" w:styleId="Heading3Char">
    <w:name w:val="Heading 3 Char"/>
    <w:qFormat/>
    <w:rPr>
      <w:rFonts w:eastAsia="Times New Roman" w:cs="Times New Roman"/>
      <w:color w:val="2F5496"/>
      <w:sz w:val="28"/>
      <w:szCs w:val="28"/>
      <w:lang w:val="es-ES_tradnl"/>
    </w:rPr>
  </w:style>
  <w:style w:type="character" w:customStyle="1" w:styleId="Heading4Char">
    <w:name w:val="Heading 4 Char"/>
    <w:qFormat/>
    <w:rPr>
      <w:rFonts w:eastAsia="Times New Roman" w:cs="Times New Roman"/>
      <w:i/>
      <w:iCs/>
      <w:color w:val="2F5496"/>
      <w:lang w:val="es-ES_tradnl"/>
    </w:rPr>
  </w:style>
  <w:style w:type="character" w:customStyle="1" w:styleId="Heading5Char">
    <w:name w:val="Heading 5 Char"/>
    <w:qFormat/>
    <w:rPr>
      <w:rFonts w:eastAsia="Times New Roman" w:cs="Times New Roman"/>
      <w:color w:val="2F5496"/>
      <w:lang w:val="es-ES_tradnl"/>
    </w:rPr>
  </w:style>
  <w:style w:type="character" w:customStyle="1" w:styleId="Heading6Char">
    <w:name w:val="Heading 6 Char"/>
    <w:qFormat/>
    <w:rPr>
      <w:rFonts w:eastAsia="Times New Roman" w:cs="Times New Roman"/>
      <w:i/>
      <w:iCs/>
      <w:color w:val="595959"/>
      <w:lang w:val="es-ES_tradnl"/>
    </w:rPr>
  </w:style>
  <w:style w:type="character" w:customStyle="1" w:styleId="Heading7Char">
    <w:name w:val="Heading 7 Char"/>
    <w:qFormat/>
    <w:rPr>
      <w:rFonts w:eastAsia="Times New Roman" w:cs="Times New Roman"/>
      <w:color w:val="595959"/>
      <w:lang w:val="es-ES_tradnl"/>
    </w:rPr>
  </w:style>
  <w:style w:type="character" w:customStyle="1" w:styleId="Heading8Char">
    <w:name w:val="Heading 8 Char"/>
    <w:qFormat/>
    <w:rPr>
      <w:rFonts w:eastAsia="Times New Roman" w:cs="Times New Roman"/>
      <w:i/>
      <w:iCs/>
      <w:color w:val="272727"/>
      <w:lang w:val="es-ES_tradnl"/>
    </w:rPr>
  </w:style>
  <w:style w:type="character" w:customStyle="1" w:styleId="Heading9Char">
    <w:name w:val="Heading 9 Char"/>
    <w:qFormat/>
    <w:rPr>
      <w:rFonts w:eastAsia="Times New Roman" w:cs="Times New Roman"/>
      <w:color w:val="272727"/>
      <w:lang w:val="es-ES_tradnl"/>
    </w:rPr>
  </w:style>
  <w:style w:type="character" w:customStyle="1" w:styleId="TitleChar">
    <w:name w:val="Title Char"/>
    <w:qFormat/>
    <w:rPr>
      <w:rFonts w:ascii="Calibri Light" w:eastAsia="Times New Roman" w:hAnsi="Calibri Light" w:cs="Times New Roman"/>
      <w:spacing w:val="-10"/>
      <w:kern w:val="2"/>
      <w:sz w:val="56"/>
      <w:szCs w:val="56"/>
      <w:lang w:val="es-ES_tradnl"/>
    </w:rPr>
  </w:style>
  <w:style w:type="character" w:customStyle="1" w:styleId="SubtitleChar">
    <w:name w:val="Subtitle Char"/>
    <w:qFormat/>
    <w:rPr>
      <w:rFonts w:eastAsia="Times New Roman" w:cs="Times New Roman"/>
      <w:color w:val="595959"/>
      <w:spacing w:val="15"/>
      <w:sz w:val="28"/>
      <w:szCs w:val="28"/>
      <w:lang w:val="es-ES_tradnl"/>
    </w:rPr>
  </w:style>
  <w:style w:type="character" w:customStyle="1" w:styleId="QuoteChar">
    <w:name w:val="Quote Char"/>
    <w:qFormat/>
    <w:rPr>
      <w:i/>
      <w:iCs/>
      <w:color w:val="404040"/>
      <w:lang w:val="es-ES_tradnl"/>
    </w:rPr>
  </w:style>
  <w:style w:type="character" w:styleId="IntenseEmphasis">
    <w:name w:val="Intense Emphasis"/>
    <w:qFormat/>
    <w:rPr>
      <w:i/>
      <w:iCs/>
      <w:color w:val="2F5496"/>
    </w:rPr>
  </w:style>
  <w:style w:type="character" w:customStyle="1" w:styleId="IntenseQuoteChar">
    <w:name w:val="Intense Quote Char"/>
    <w:qFormat/>
    <w:rPr>
      <w:i/>
      <w:iCs/>
      <w:color w:val="2F5496"/>
      <w:lang w:val="es-ES_tradnl"/>
    </w:rPr>
  </w:style>
  <w:style w:type="character" w:styleId="IntenseReference">
    <w:name w:val="Intense Reference"/>
    <w:qFormat/>
    <w:rPr>
      <w:b/>
      <w:bCs/>
      <w:smallCaps/>
      <w:color w:val="2F5496"/>
      <w:spacing w:val="5"/>
    </w:rPr>
  </w:style>
  <w:style w:type="character" w:customStyle="1" w:styleId="BodyTextIndentChar">
    <w:name w:val="Body Text Indent Char"/>
    <w:qFormat/>
    <w:rPr>
      <w:rFonts w:ascii="Times New Roman" w:eastAsia="Times New Roman" w:hAnsi="Times New Roman" w:cs="Times New Roman"/>
      <w:sz w:val="24"/>
      <w:szCs w:val="24"/>
      <w:lang w:val="es-PR"/>
    </w:rPr>
  </w:style>
  <w:style w:type="character" w:customStyle="1" w:styleId="HeaderChar">
    <w:name w:val="Header Char"/>
    <w:qFormat/>
    <w:rPr>
      <w:rFonts w:ascii="Times New Roman" w:eastAsia="Times New Roman" w:hAnsi="Times New Roman" w:cs="Times New Roman"/>
      <w:sz w:val="24"/>
      <w:szCs w:val="24"/>
      <w:lang w:val="es-PR"/>
    </w:rPr>
  </w:style>
  <w:style w:type="character" w:styleId="PageNumber">
    <w:name w:val="page number"/>
    <w:basedOn w:val="DefaultParagraphFont"/>
  </w:style>
  <w:style w:type="character" w:styleId="LineNumber">
    <w:name w:val="line number"/>
    <w:basedOn w:val="DefaultParagraphFont"/>
  </w:style>
  <w:style w:type="character" w:customStyle="1" w:styleId="FootnoteTextChar">
    <w:name w:val="Footnote Text Char"/>
    <w:qFormat/>
    <w:rPr>
      <w:sz w:val="20"/>
      <w:szCs w:val="20"/>
      <w:lang w:val="es-ES_tradnl"/>
    </w:rPr>
  </w:style>
  <w:style w:type="character" w:customStyle="1" w:styleId="FootnoteCharacters">
    <w:name w:val="Footnote Characters"/>
    <w:qFormat/>
    <w:rPr>
      <w:vertAlign w:val="superscript"/>
    </w:rPr>
  </w:style>
  <w:style w:type="character" w:styleId="Hyperlink">
    <w:name w:val="Hyperlink"/>
    <w:rPr>
      <w:color w:val="0563C1"/>
      <w:u w:val="single"/>
    </w:rPr>
  </w:style>
  <w:style w:type="character" w:customStyle="1" w:styleId="FooterChar">
    <w:name w:val="Footer Char"/>
    <w:qFormat/>
    <w:rPr>
      <w:rFonts w:ascii="Times New Roman" w:eastAsia="Times New Roman" w:hAnsi="Times New Roman" w:cs="Times New Roman"/>
      <w:sz w:val="24"/>
      <w:szCs w:val="24"/>
      <w:lang w:val="es-PR"/>
    </w:rPr>
  </w:style>
  <w:style w:type="character" w:customStyle="1" w:styleId="BodyTextChar">
    <w:name w:val="Body Text Char"/>
    <w:qFormat/>
    <w:rPr>
      <w:rFonts w:ascii="Times New Roman" w:eastAsia="Times New Roman" w:hAnsi="Times New Roman" w:cs="Times New Roman"/>
      <w:sz w:val="24"/>
      <w:szCs w:val="24"/>
      <w:lang w:val="es-PR"/>
    </w:rPr>
  </w:style>
  <w:style w:type="paragraph" w:customStyle="1" w:styleId="Heading">
    <w:name w:val="Heading"/>
    <w:basedOn w:val="Normal"/>
    <w:next w:val="Normal"/>
    <w:qFormat/>
    <w:pPr>
      <w:spacing w:after="80"/>
      <w:contextualSpacing/>
    </w:pPr>
    <w:rPr>
      <w:rFonts w:ascii="Calibri Light" w:hAnsi="Calibri Light" w:cs="Calibri Light"/>
      <w:spacing w:val="-10"/>
      <w:kern w:val="2"/>
      <w:sz w:val="56"/>
      <w:szCs w:val="56"/>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Subtitle">
    <w:name w:val="Subtitle"/>
    <w:basedOn w:val="Normal"/>
    <w:next w:val="Normal"/>
    <w:uiPriority w:val="11"/>
    <w:qFormat/>
    <w:rPr>
      <w:color w:val="595959"/>
      <w:spacing w:val="15"/>
      <w:sz w:val="28"/>
      <w:szCs w:val="28"/>
    </w:rPr>
  </w:style>
  <w:style w:type="paragraph" w:styleId="Quote">
    <w:name w:val="Quote"/>
    <w:basedOn w:val="Normal"/>
    <w:next w:val="Normal"/>
    <w:qFormat/>
    <w:pPr>
      <w:spacing w:before="160"/>
      <w:jc w:val="center"/>
    </w:pPr>
    <w:rPr>
      <w:i/>
      <w:iCs/>
      <w:color w:val="404040"/>
    </w:rPr>
  </w:style>
  <w:style w:type="paragraph" w:styleId="ListParagraph">
    <w:name w:val="List Paragraph"/>
    <w:basedOn w:val="Normal"/>
    <w:qFormat/>
    <w:pPr>
      <w:ind w:left="720"/>
      <w:contextualSpacing/>
    </w:pPr>
  </w:style>
  <w:style w:type="paragraph" w:styleId="IntenseQuote">
    <w:name w:val="Intense Quote"/>
    <w:basedOn w:val="Normal"/>
    <w:next w:val="Normal"/>
    <w:qFormat/>
    <w:pPr>
      <w:pBdr>
        <w:top w:val="single" w:sz="4" w:space="10" w:color="2F5496"/>
        <w:bottom w:val="single" w:sz="4" w:space="10" w:color="2F5496"/>
      </w:pBdr>
      <w:spacing w:before="360" w:after="360"/>
      <w:ind w:left="864" w:right="864"/>
      <w:jc w:val="center"/>
    </w:pPr>
    <w:rPr>
      <w:i/>
      <w:iCs/>
      <w:color w:val="2F5496"/>
    </w:rPr>
  </w:style>
  <w:style w:type="paragraph" w:styleId="BodyTextIndent">
    <w:name w:val="Body Text Indent"/>
    <w:basedOn w:val="Normal"/>
    <w:pPr>
      <w:ind w:left="720"/>
      <w:jc w:val="both"/>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customStyle="1" w:styleId="parrafo">
    <w:name w:val="parrafo"/>
    <w:basedOn w:val="Normal"/>
    <w:qFormat/>
    <w:pPr>
      <w:spacing w:before="280" w:after="280"/>
    </w:pPr>
  </w:style>
  <w:style w:type="paragraph" w:customStyle="1" w:styleId="Title2">
    <w:name w:val="Title2"/>
    <w:basedOn w:val="Normal"/>
    <w:next w:val="Normal"/>
    <w:qFormat/>
    <w:pPr>
      <w:tabs>
        <w:tab w:val="left" w:pos="648"/>
        <w:tab w:val="right" w:pos="7776"/>
        <w:tab w:val="left" w:pos="7848"/>
      </w:tabs>
    </w:pPr>
    <w:rPr>
      <w:szCs w:val="20"/>
      <w:lang w:val="es-ES_tradnl"/>
    </w:rPr>
  </w:style>
  <w:style w:type="paragraph" w:styleId="FootnoteText">
    <w:name w:val="footnote text"/>
    <w:basedOn w:val="Normal"/>
    <w:rPr>
      <w:rFonts w:ascii="Calibri" w:eastAsia="Calibri" w:hAnsi="Calibri" w:cs="Calibri"/>
      <w:sz w:val="20"/>
      <w:szCs w:val="20"/>
      <w:lang w:val="es-ES_tradnl"/>
    </w:rPr>
  </w:style>
  <w:style w:type="paragraph" w:styleId="Footer">
    <w:name w:val="footer"/>
    <w:basedOn w:val="Normal"/>
    <w:pPr>
      <w:tabs>
        <w:tab w:val="center" w:pos="4680"/>
        <w:tab w:val="right" w:pos="9360"/>
      </w:tabs>
    </w:p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10</Pages>
  <Words>2176</Words>
  <Characters>12407</Characters>
  <Application>Microsoft Office Word</Application>
  <DocSecurity>0</DocSecurity>
  <Lines>103</Lines>
  <Paragraphs>29</Paragraphs>
  <ScaleCrop>false</ScaleCrop>
  <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yesenia alvarez</dc:creator>
  <cp:keywords/>
  <dc:description/>
  <cp:lastModifiedBy>Dianella Rodríguez Peñalberty</cp:lastModifiedBy>
  <cp:revision>9</cp:revision>
  <cp:lastPrinted>2025-10-20T14:24:00Z</cp:lastPrinted>
  <dcterms:created xsi:type="dcterms:W3CDTF">2025-10-16T22:11:00Z</dcterms:created>
  <dcterms:modified xsi:type="dcterms:W3CDTF">2026-06-08T13:23:00Z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_dlc_DocId">
    <vt:lpwstr>4SQX5P7U7WPY-958212181-820379</vt:lpwstr>
  </property>
  <property fmtid="{D5CDD505-2E9C-101B-9397-08002B2CF9AE}" pid="4" name="_dlc_DocIdItemGuid">
    <vt:lpwstr>a6fff44f-a0dd-49a1-98a9-58bc80e6c129</vt:lpwstr>
  </property>
  <property fmtid="{D5CDD505-2E9C-101B-9397-08002B2CF9AE}" pid="5" name="_dlc_DocIdUrl">
    <vt:lpwstr>https://senpr.sharepoint.com/sites/obralegislativa/_layouts/15/DocIdRedir.aspx?ID=4SQX5P7U7WPY-958212181-820379, 4SQX5P7U7WPY-958212181-820379</vt:lpwstr>
  </property>
  <property fmtid="{D5CDD505-2E9C-101B-9397-08002B2CF9AE}" pid="6" name="_ip_UnifiedCompliancePolicyProperties">
    <vt:lpwstr/>
  </property>
  <property fmtid="{D5CDD505-2E9C-101B-9397-08002B2CF9AE}" pid="7" name="_ip_UnifiedCompliancePolicyUIAction">
    <vt:lpwstr/>
  </property>
  <property fmtid="{D5CDD505-2E9C-101B-9397-08002B2CF9AE}" pid="8" name="lcf76f155ced4ddcb4097134ff3c332f">
    <vt:lpwstr/>
  </property>
</Properties>
</file>