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AA43F" w14:textId="6DC1634F" w:rsidR="00A775BD" w:rsidRDefault="00A775BD" w:rsidP="008004FA">
      <w:pPr>
        <w:suppressLineNumbers/>
        <w:jc w:val="center"/>
        <w:rPr>
          <w:rFonts w:ascii="Book Antiqua" w:hAnsi="Book Antiqua"/>
          <w:sz w:val="36"/>
          <w:szCs w:val="36"/>
        </w:rPr>
      </w:pPr>
      <w:r>
        <w:rPr>
          <w:rFonts w:ascii="Book Antiqua" w:hAnsi="Book Antiqua"/>
          <w:sz w:val="36"/>
          <w:szCs w:val="36"/>
        </w:rPr>
        <w:t>(ENTIRILLADO ELECTRÓNICO)</w:t>
      </w:r>
    </w:p>
    <w:p w14:paraId="51BD0573" w14:textId="3C6321F6" w:rsidR="00B236B4" w:rsidRPr="00A02C1F" w:rsidRDefault="00360040" w:rsidP="008004FA">
      <w:pPr>
        <w:suppressLineNumbers/>
        <w:jc w:val="center"/>
        <w:rPr>
          <w:rFonts w:ascii="Book Antiqua" w:hAnsi="Book Antiqua"/>
          <w:sz w:val="36"/>
          <w:szCs w:val="36"/>
        </w:rPr>
      </w:pPr>
      <w:r w:rsidRPr="00A02C1F">
        <w:rPr>
          <w:rFonts w:ascii="Book Antiqua" w:hAnsi="Book Antiqua"/>
          <w:sz w:val="36"/>
          <w:szCs w:val="36"/>
        </w:rPr>
        <w:t xml:space="preserve">GOBIERNO DE </w:t>
      </w:r>
      <w:r w:rsidR="00B236B4" w:rsidRPr="00A02C1F">
        <w:rPr>
          <w:rFonts w:ascii="Book Antiqua" w:hAnsi="Book Antiqua"/>
          <w:sz w:val="36"/>
          <w:szCs w:val="36"/>
        </w:rPr>
        <w:t>PUERTO RICO</w:t>
      </w:r>
    </w:p>
    <w:p w14:paraId="5B86F00E" w14:textId="77777777" w:rsidR="00B236B4" w:rsidRPr="00DA4B6C" w:rsidRDefault="00B236B4" w:rsidP="008004FA">
      <w:pPr>
        <w:suppressLineNumbers/>
        <w:jc w:val="center"/>
        <w:rPr>
          <w:rFonts w:ascii="Book Antiqua" w:hAnsi="Book Antiqua"/>
          <w:sz w:val="36"/>
          <w:szCs w:val="36"/>
        </w:rPr>
      </w:pPr>
    </w:p>
    <w:p w14:paraId="62B43CC6" w14:textId="77777777" w:rsidR="00B236B4" w:rsidRPr="00A02C1F" w:rsidRDefault="001206B4" w:rsidP="008004FA">
      <w:pPr>
        <w:pStyle w:val="Title2"/>
        <w:suppressLineNumbers/>
        <w:rPr>
          <w:rFonts w:ascii="Book Antiqua" w:hAnsi="Book Antiqua"/>
        </w:rPr>
      </w:pPr>
      <w:r w:rsidRPr="00A02C1F">
        <w:rPr>
          <w:rFonts w:ascii="Book Antiqua" w:hAnsi="Book Antiqua"/>
        </w:rPr>
        <w:t>20</w:t>
      </w:r>
      <w:r w:rsidRPr="00A02C1F">
        <w:rPr>
          <w:rFonts w:ascii="Book Antiqua" w:hAnsi="Book Antiqua"/>
          <w:vertAlign w:val="superscript"/>
        </w:rPr>
        <w:t>ma</w:t>
      </w:r>
      <w:r w:rsidR="00B236B4" w:rsidRPr="00A02C1F">
        <w:rPr>
          <w:rFonts w:ascii="Book Antiqua" w:hAnsi="Book Antiqua"/>
          <w:vertAlign w:val="superscript"/>
        </w:rPr>
        <w:t>.</w:t>
      </w:r>
      <w:r w:rsidR="00B236B4" w:rsidRPr="00A02C1F">
        <w:rPr>
          <w:rFonts w:ascii="Book Antiqua" w:hAnsi="Book Antiqua"/>
        </w:rPr>
        <w:t xml:space="preserve"> Asamblea</w:t>
      </w:r>
      <w:r w:rsidR="00B236B4" w:rsidRPr="00A02C1F">
        <w:rPr>
          <w:rFonts w:ascii="Book Antiqua" w:hAnsi="Book Antiqua"/>
        </w:rPr>
        <w:tab/>
        <w:t xml:space="preserve">     </w:t>
      </w:r>
      <w:r w:rsidR="00931E02">
        <w:rPr>
          <w:rFonts w:ascii="Book Antiqua" w:hAnsi="Book Antiqua"/>
        </w:rPr>
        <w:t>2</w:t>
      </w:r>
      <w:r w:rsidR="00931E02">
        <w:rPr>
          <w:rFonts w:ascii="Book Antiqua" w:hAnsi="Book Antiqua"/>
          <w:vertAlign w:val="superscript"/>
        </w:rPr>
        <w:t>d</w:t>
      </w:r>
      <w:r w:rsidRPr="00A02C1F">
        <w:rPr>
          <w:rFonts w:ascii="Book Antiqua" w:hAnsi="Book Antiqua"/>
          <w:vertAlign w:val="superscript"/>
        </w:rPr>
        <w:t>a</w:t>
      </w:r>
      <w:r w:rsidR="00B236B4" w:rsidRPr="00A02C1F">
        <w:rPr>
          <w:rFonts w:ascii="Book Antiqua" w:hAnsi="Book Antiqua"/>
          <w:vertAlign w:val="superscript"/>
        </w:rPr>
        <w:t>.</w:t>
      </w:r>
      <w:r w:rsidR="00B236B4" w:rsidRPr="00A02C1F">
        <w:rPr>
          <w:rFonts w:ascii="Book Antiqua" w:hAnsi="Book Antiqua"/>
        </w:rPr>
        <w:tab/>
        <w:t>Sesión</w:t>
      </w:r>
    </w:p>
    <w:p w14:paraId="378C6327" w14:textId="77777777" w:rsidR="00B236B4" w:rsidRPr="00A02C1F" w:rsidRDefault="00B236B4" w:rsidP="008004FA">
      <w:pPr>
        <w:pStyle w:val="Title2"/>
        <w:suppressLineNumbers/>
        <w:rPr>
          <w:rFonts w:ascii="Book Antiqua" w:hAnsi="Book Antiqua"/>
        </w:rPr>
      </w:pPr>
      <w:r w:rsidRPr="00A02C1F">
        <w:rPr>
          <w:rFonts w:ascii="Book Antiqua" w:hAnsi="Book Antiqua"/>
        </w:rPr>
        <w:t xml:space="preserve">         Legislativa</w:t>
      </w:r>
      <w:r w:rsidRPr="00A02C1F">
        <w:rPr>
          <w:rFonts w:ascii="Book Antiqua" w:hAnsi="Book Antiqua"/>
        </w:rPr>
        <w:tab/>
        <w:t xml:space="preserve"> </w:t>
      </w:r>
      <w:r w:rsidRPr="00A02C1F">
        <w:rPr>
          <w:rFonts w:ascii="Book Antiqua" w:hAnsi="Book Antiqua"/>
        </w:rPr>
        <w:tab/>
        <w:t>Ordinaria</w:t>
      </w:r>
    </w:p>
    <w:p w14:paraId="1FC4A63D" w14:textId="77777777" w:rsidR="00B236B4" w:rsidRPr="00A02C1F" w:rsidRDefault="00B236B4" w:rsidP="008004FA">
      <w:pPr>
        <w:suppressLineNumbers/>
        <w:rPr>
          <w:rFonts w:ascii="Book Antiqua" w:hAnsi="Book Antiqua"/>
        </w:rPr>
      </w:pPr>
    </w:p>
    <w:p w14:paraId="562A282F" w14:textId="77777777" w:rsidR="00B236B4" w:rsidRPr="00A02C1F" w:rsidRDefault="004A4D51" w:rsidP="00DA4B6C">
      <w:pPr>
        <w:suppressLineNumbers/>
        <w:spacing w:line="360" w:lineRule="auto"/>
        <w:jc w:val="center"/>
        <w:rPr>
          <w:rFonts w:ascii="Book Antiqua" w:hAnsi="Book Antiqua"/>
          <w:b/>
          <w:sz w:val="36"/>
          <w:szCs w:val="36"/>
        </w:rPr>
      </w:pPr>
      <w:r w:rsidRPr="00A02C1F">
        <w:rPr>
          <w:rFonts w:ascii="Book Antiqua" w:hAnsi="Book Antiqua"/>
          <w:b/>
          <w:sz w:val="36"/>
          <w:szCs w:val="36"/>
        </w:rPr>
        <w:t>SENADO DE PUERTO RICO</w:t>
      </w:r>
    </w:p>
    <w:p w14:paraId="2A546B7E" w14:textId="77777777" w:rsidR="00B236B4" w:rsidRPr="00A02C1F" w:rsidRDefault="00B236B4" w:rsidP="00DA4B6C">
      <w:pPr>
        <w:suppressLineNumbers/>
        <w:spacing w:line="360" w:lineRule="auto"/>
        <w:jc w:val="center"/>
        <w:rPr>
          <w:rFonts w:ascii="Book Antiqua" w:hAnsi="Book Antiqua"/>
          <w:b/>
        </w:rPr>
      </w:pPr>
      <w:r w:rsidRPr="00A02C1F">
        <w:rPr>
          <w:rFonts w:ascii="Book Antiqua" w:hAnsi="Book Antiqua"/>
          <w:b/>
          <w:sz w:val="52"/>
          <w:szCs w:val="52"/>
        </w:rPr>
        <w:t>P. de</w:t>
      </w:r>
      <w:r w:rsidR="004A4D51" w:rsidRPr="00A02C1F">
        <w:rPr>
          <w:rFonts w:ascii="Book Antiqua" w:hAnsi="Book Antiqua"/>
          <w:b/>
          <w:sz w:val="52"/>
          <w:szCs w:val="52"/>
        </w:rPr>
        <w:t>l</w:t>
      </w:r>
      <w:r w:rsidRPr="00A02C1F">
        <w:rPr>
          <w:rFonts w:ascii="Book Antiqua" w:hAnsi="Book Antiqua"/>
          <w:b/>
          <w:sz w:val="52"/>
          <w:szCs w:val="52"/>
        </w:rPr>
        <w:t xml:space="preserve"> </w:t>
      </w:r>
      <w:r w:rsidR="004A4D51" w:rsidRPr="00A02C1F">
        <w:rPr>
          <w:rFonts w:ascii="Book Antiqua" w:hAnsi="Book Antiqua"/>
          <w:b/>
          <w:sz w:val="52"/>
          <w:szCs w:val="52"/>
        </w:rPr>
        <w:t>S</w:t>
      </w:r>
      <w:r w:rsidRPr="00A02C1F">
        <w:rPr>
          <w:rFonts w:ascii="Book Antiqua" w:hAnsi="Book Antiqua"/>
          <w:b/>
          <w:sz w:val="52"/>
          <w:szCs w:val="52"/>
        </w:rPr>
        <w:t>.</w:t>
      </w:r>
      <w:r w:rsidR="00532810">
        <w:rPr>
          <w:rFonts w:ascii="Book Antiqua" w:hAnsi="Book Antiqua"/>
          <w:b/>
          <w:sz w:val="52"/>
          <w:szCs w:val="52"/>
        </w:rPr>
        <w:t xml:space="preserve"> </w:t>
      </w:r>
      <w:r w:rsidR="00342B4E">
        <w:rPr>
          <w:rFonts w:ascii="Book Antiqua" w:hAnsi="Book Antiqua"/>
          <w:b/>
          <w:sz w:val="52"/>
          <w:szCs w:val="52"/>
        </w:rPr>
        <w:t>813</w:t>
      </w:r>
    </w:p>
    <w:p w14:paraId="03AC8124" w14:textId="77777777" w:rsidR="00B236B4" w:rsidRPr="00A02C1F" w:rsidRDefault="00342B4E" w:rsidP="00DA4B6C">
      <w:pPr>
        <w:suppressLineNumbers/>
        <w:spacing w:line="360" w:lineRule="auto"/>
        <w:jc w:val="center"/>
        <w:rPr>
          <w:rFonts w:ascii="Book Antiqua" w:hAnsi="Book Antiqua"/>
        </w:rPr>
      </w:pPr>
      <w:r>
        <w:rPr>
          <w:rFonts w:ascii="Book Antiqua" w:hAnsi="Book Antiqua"/>
        </w:rPr>
        <w:t>16</w:t>
      </w:r>
      <w:r w:rsidR="003D0079">
        <w:rPr>
          <w:rFonts w:ascii="Book Antiqua" w:hAnsi="Book Antiqua"/>
        </w:rPr>
        <w:t xml:space="preserve"> </w:t>
      </w:r>
      <w:r w:rsidR="00BB42F5" w:rsidRPr="00A02C1F">
        <w:rPr>
          <w:rFonts w:ascii="Book Antiqua" w:hAnsi="Book Antiqua"/>
        </w:rPr>
        <w:t xml:space="preserve">de </w:t>
      </w:r>
      <w:r w:rsidR="00532810">
        <w:rPr>
          <w:rFonts w:ascii="Book Antiqua" w:hAnsi="Book Antiqua"/>
        </w:rPr>
        <w:t>octubre</w:t>
      </w:r>
      <w:r w:rsidR="001206B4" w:rsidRPr="00A02C1F">
        <w:rPr>
          <w:rFonts w:ascii="Book Antiqua" w:hAnsi="Book Antiqua"/>
        </w:rPr>
        <w:t xml:space="preserve"> de 2025</w:t>
      </w:r>
    </w:p>
    <w:p w14:paraId="0BE2F6AE" w14:textId="77777777" w:rsidR="00EE2231" w:rsidRPr="008724CC" w:rsidRDefault="00B236B4" w:rsidP="00DA4B6C">
      <w:pPr>
        <w:suppressLineNumbers/>
        <w:spacing w:line="360" w:lineRule="auto"/>
        <w:jc w:val="center"/>
        <w:rPr>
          <w:rFonts w:ascii="Book Antiqua" w:hAnsi="Book Antiqua"/>
          <w:i/>
          <w:iCs/>
        </w:rPr>
      </w:pPr>
      <w:r w:rsidRPr="00A02C1F">
        <w:rPr>
          <w:rFonts w:ascii="Book Antiqua" w:hAnsi="Book Antiqua"/>
        </w:rPr>
        <w:t xml:space="preserve">Presentado por </w:t>
      </w:r>
      <w:r w:rsidR="00532810">
        <w:rPr>
          <w:rFonts w:ascii="Book Antiqua" w:hAnsi="Book Antiqua"/>
        </w:rPr>
        <w:t>la señora</w:t>
      </w:r>
      <w:r w:rsidR="00F1225B">
        <w:rPr>
          <w:rFonts w:ascii="Book Antiqua" w:hAnsi="Book Antiqua"/>
        </w:rPr>
        <w:t xml:space="preserve"> </w:t>
      </w:r>
      <w:r w:rsidR="00532810">
        <w:rPr>
          <w:rFonts w:ascii="Book Antiqua" w:hAnsi="Book Antiqua"/>
          <w:i/>
          <w:iCs/>
        </w:rPr>
        <w:t>Soto Tolentino</w:t>
      </w:r>
      <w:r w:rsidR="001638DC">
        <w:rPr>
          <w:rFonts w:ascii="Book Antiqua" w:hAnsi="Book Antiqua"/>
          <w:i/>
          <w:iCs/>
        </w:rPr>
        <w:t xml:space="preserve"> </w:t>
      </w:r>
    </w:p>
    <w:p w14:paraId="1D1E3852" w14:textId="77777777" w:rsidR="00076E9D" w:rsidRPr="007A4177" w:rsidRDefault="0050553B" w:rsidP="00076E9D">
      <w:pPr>
        <w:spacing w:before="120" w:after="120"/>
        <w:jc w:val="center"/>
        <w:rPr>
          <w:rFonts w:ascii="Book Antiqua" w:hAnsi="Book Antiqua"/>
          <w:i/>
          <w:iCs/>
          <w:lang w:val="es-419"/>
        </w:rPr>
      </w:pPr>
      <w:r>
        <w:rPr>
          <w:rFonts w:ascii="Book Antiqua" w:hAnsi="Book Antiqua"/>
          <w:i/>
          <w:iCs/>
        </w:rPr>
        <w:t>Referido a</w:t>
      </w:r>
      <w:r w:rsidR="00DA4B6C">
        <w:rPr>
          <w:rFonts w:ascii="Book Antiqua" w:hAnsi="Book Antiqua"/>
          <w:i/>
          <w:iCs/>
        </w:rPr>
        <w:t xml:space="preserve"> </w:t>
      </w:r>
      <w:r w:rsidR="00076E9D">
        <w:rPr>
          <w:rFonts w:ascii="Book Antiqua" w:hAnsi="Book Antiqua"/>
          <w:i/>
          <w:iCs/>
        </w:rPr>
        <w:t>la Comisión de</w:t>
      </w:r>
      <w:r w:rsidR="00076E9D" w:rsidRPr="00076E9D">
        <w:rPr>
          <w:rFonts w:ascii="Book Antiqua" w:hAnsi="Book Antiqua"/>
          <w:i/>
          <w:iCs/>
          <w:lang w:val="es-419"/>
        </w:rPr>
        <w:t xml:space="preserve"> </w:t>
      </w:r>
      <w:r w:rsidR="00076E9D" w:rsidRPr="007A4177">
        <w:rPr>
          <w:rFonts w:ascii="Book Antiqua" w:hAnsi="Book Antiqua"/>
          <w:i/>
          <w:iCs/>
          <w:lang w:val="es-419"/>
        </w:rPr>
        <w:t>Familia, Mujer, Personas de la Tercera Edad y Población con Diversidad Funcional</w:t>
      </w:r>
      <w:r w:rsidR="00076E9D">
        <w:rPr>
          <w:rFonts w:ascii="Book Antiqua" w:hAnsi="Book Antiqua"/>
          <w:i/>
          <w:iCs/>
          <w:lang w:val="es-419"/>
        </w:rPr>
        <w:t xml:space="preserve"> e Impedimentos</w:t>
      </w:r>
    </w:p>
    <w:p w14:paraId="2B6363BA" w14:textId="77777777" w:rsidR="00B236B4" w:rsidRPr="00A02C1F" w:rsidRDefault="00076E9D" w:rsidP="00076E9D">
      <w:pPr>
        <w:spacing w:line="360" w:lineRule="auto"/>
        <w:jc w:val="center"/>
        <w:rPr>
          <w:rFonts w:ascii="Book Antiqua" w:hAnsi="Book Antiqua"/>
          <w:sz w:val="8"/>
          <w:szCs w:val="8"/>
        </w:rPr>
      </w:pPr>
      <w:r>
        <w:rPr>
          <w:rFonts w:ascii="Book Antiqua" w:hAnsi="Book Antiqua"/>
          <w:i/>
          <w:iCs/>
        </w:rPr>
        <w:t xml:space="preserve">  </w:t>
      </w:r>
      <w:r w:rsidR="00DA4B6C">
        <w:rPr>
          <w:rFonts w:ascii="Book Antiqua" w:hAnsi="Book Antiqua"/>
          <w:i/>
          <w:iCs/>
        </w:rPr>
        <w:t xml:space="preserve"> </w:t>
      </w:r>
    </w:p>
    <w:p w14:paraId="1EF5AA6B" w14:textId="77777777" w:rsidR="00B236B4" w:rsidRPr="00A02C1F" w:rsidRDefault="00B236B4" w:rsidP="008004FA">
      <w:pPr>
        <w:suppressLineNumbers/>
        <w:jc w:val="center"/>
        <w:rPr>
          <w:rFonts w:ascii="Book Antiqua" w:hAnsi="Book Antiqua"/>
          <w:b/>
        </w:rPr>
      </w:pPr>
      <w:r w:rsidRPr="00A02C1F">
        <w:rPr>
          <w:rFonts w:ascii="Book Antiqua" w:hAnsi="Book Antiqua"/>
          <w:b/>
        </w:rPr>
        <w:t>LEY</w:t>
      </w:r>
    </w:p>
    <w:p w14:paraId="51978829" w14:textId="77777777" w:rsidR="00B236B4" w:rsidRPr="00A02C1F" w:rsidRDefault="00B236B4" w:rsidP="008004FA">
      <w:pPr>
        <w:suppressLineNumbers/>
        <w:jc w:val="both"/>
        <w:rPr>
          <w:rFonts w:ascii="Book Antiqua" w:hAnsi="Book Antiqua"/>
          <w:sz w:val="12"/>
          <w:szCs w:val="12"/>
        </w:rPr>
      </w:pPr>
    </w:p>
    <w:p w14:paraId="3D4F7D10" w14:textId="0572E06C" w:rsidR="00661D5C" w:rsidRPr="00D811E2" w:rsidRDefault="00661D5C" w:rsidP="00076E9D">
      <w:pPr>
        <w:pStyle w:val="NormalWeb"/>
        <w:spacing w:before="0" w:beforeAutospacing="0" w:after="0" w:afterAutospacing="0"/>
        <w:ind w:left="360" w:hanging="360"/>
        <w:jc w:val="both"/>
        <w:rPr>
          <w:rFonts w:ascii="Book Antiqua" w:hAnsi="Book Antiqua"/>
          <w:lang w:val="es-PR"/>
        </w:rPr>
      </w:pPr>
      <w:r w:rsidRPr="00D811E2">
        <w:rPr>
          <w:rFonts w:ascii="Book Antiqua" w:hAnsi="Book Antiqua"/>
          <w:lang w:val="es-PR"/>
        </w:rPr>
        <w:t>Para enmendar el</w:t>
      </w:r>
      <w:r w:rsidR="00AB0133">
        <w:rPr>
          <w:rFonts w:ascii="Book Antiqua" w:hAnsi="Book Antiqua"/>
          <w:lang w:val="es-PR"/>
        </w:rPr>
        <w:t xml:space="preserve"> </w:t>
      </w:r>
      <w:r w:rsidR="00AB0133">
        <w:rPr>
          <w:rFonts w:ascii="Book Antiqua" w:hAnsi="Book Antiqua"/>
          <w:i/>
          <w:iCs/>
          <w:u w:val="single"/>
          <w:lang w:val="es-PR"/>
        </w:rPr>
        <w:t>inciso (e) del</w:t>
      </w:r>
      <w:r w:rsidRPr="00D811E2">
        <w:rPr>
          <w:rFonts w:ascii="Book Antiqua" w:hAnsi="Book Antiqua"/>
          <w:lang w:val="es-PR"/>
        </w:rPr>
        <w:t xml:space="preserve"> Artículo 7 de la Ley </w:t>
      </w:r>
      <w:r w:rsidRPr="00AB0133">
        <w:rPr>
          <w:rFonts w:ascii="Book Antiqua" w:hAnsi="Book Antiqua"/>
          <w:strike/>
          <w:lang w:val="es-PR"/>
        </w:rPr>
        <w:t>Núm.</w:t>
      </w:r>
      <w:r w:rsidRPr="00D811E2">
        <w:rPr>
          <w:rFonts w:ascii="Book Antiqua" w:hAnsi="Book Antiqua"/>
          <w:lang w:val="es-PR"/>
        </w:rPr>
        <w:t xml:space="preserve"> 121</w:t>
      </w:r>
      <w:r w:rsidR="00AB0133">
        <w:rPr>
          <w:rFonts w:ascii="Book Antiqua" w:hAnsi="Book Antiqua"/>
          <w:i/>
          <w:iCs/>
          <w:u w:val="single"/>
          <w:lang w:val="es-PR"/>
        </w:rPr>
        <w:t>-</w:t>
      </w:r>
      <w:r w:rsidRPr="00D811E2">
        <w:rPr>
          <w:rFonts w:ascii="Book Antiqua" w:hAnsi="Book Antiqua"/>
          <w:lang w:val="es-PR"/>
        </w:rPr>
        <w:t xml:space="preserve"> </w:t>
      </w:r>
      <w:r w:rsidRPr="00AB0133">
        <w:rPr>
          <w:rFonts w:ascii="Book Antiqua" w:hAnsi="Book Antiqua"/>
          <w:strike/>
          <w:lang w:val="es-PR"/>
        </w:rPr>
        <w:t>del 3 de julio de</w:t>
      </w:r>
      <w:r w:rsidRPr="00D811E2">
        <w:rPr>
          <w:rFonts w:ascii="Book Antiqua" w:hAnsi="Book Antiqua"/>
          <w:lang w:val="es-PR"/>
        </w:rPr>
        <w:t xml:space="preserve"> 2019, según enmendada, conocida como la "Carta de Derechos y la Política Pública del Gobierno a favor de los Adultos Mayores </w:t>
      </w:r>
      <w:r w:rsidRPr="00507FBE">
        <w:rPr>
          <w:rFonts w:ascii="Book Antiqua" w:hAnsi="Book Antiqua"/>
          <w:strike/>
          <w:lang w:val="es-PR"/>
        </w:rPr>
        <w:t>en Puerto Rico</w:t>
      </w:r>
      <w:r w:rsidRPr="00D811E2">
        <w:rPr>
          <w:rFonts w:ascii="Book Antiqua" w:hAnsi="Book Antiqua"/>
          <w:lang w:val="es-PR"/>
        </w:rPr>
        <w:t xml:space="preserve">", a los fines de fortalecer la "Línea Dorada" como línea telefónica confidencial para reportar casos de explotación financiera de adultos mayores, integrando protocolos específicos sin creación de nueva infraestructura; garantizar la confidencialidad de los informes; requerir la intervención inmediata del Departamento de la Familia y la coordinación con otras agencias relacionadas, tales como el Departamento de Justicia, </w:t>
      </w:r>
      <w:r w:rsidRPr="00020996">
        <w:rPr>
          <w:rFonts w:ascii="Book Antiqua" w:hAnsi="Book Antiqua"/>
          <w:strike/>
          <w:lang w:val="es-PR"/>
        </w:rPr>
        <w:t>el Negociado de</w:t>
      </w:r>
      <w:r w:rsidRPr="00020996">
        <w:rPr>
          <w:rFonts w:ascii="Book Antiqua" w:hAnsi="Book Antiqua"/>
          <w:lang w:val="es-PR"/>
        </w:rPr>
        <w:t xml:space="preserve"> la</w:t>
      </w:r>
      <w:r w:rsidRPr="00D811E2">
        <w:rPr>
          <w:rFonts w:ascii="Book Antiqua" w:hAnsi="Book Antiqua"/>
          <w:lang w:val="es-PR"/>
        </w:rPr>
        <w:t xml:space="preserve"> Policía de Puerto Rico y la Oficina del Procurador de las Personas de Edad Avanzada; y para otros fines relacionados.</w:t>
      </w:r>
    </w:p>
    <w:p w14:paraId="2D7DA56E" w14:textId="77777777" w:rsidR="00CE07E4" w:rsidRPr="00D811E2" w:rsidRDefault="00CE07E4" w:rsidP="00D811E2">
      <w:pPr>
        <w:suppressLineNumbers/>
        <w:jc w:val="both"/>
        <w:rPr>
          <w:rFonts w:ascii="Book Antiqua" w:hAnsi="Book Antiqua"/>
          <w:b/>
          <w:bCs/>
        </w:rPr>
      </w:pPr>
    </w:p>
    <w:p w14:paraId="484045E7" w14:textId="77777777" w:rsidR="00B236B4" w:rsidRPr="00D811E2" w:rsidRDefault="00B236B4" w:rsidP="00076E9D">
      <w:pPr>
        <w:suppressLineNumbers/>
        <w:spacing w:before="120" w:line="480" w:lineRule="auto"/>
        <w:jc w:val="center"/>
        <w:rPr>
          <w:rFonts w:ascii="Book Antiqua" w:hAnsi="Book Antiqua"/>
          <w:b/>
          <w:bCs/>
        </w:rPr>
      </w:pPr>
      <w:r w:rsidRPr="00D811E2">
        <w:rPr>
          <w:rFonts w:ascii="Book Antiqua" w:hAnsi="Book Antiqua"/>
          <w:b/>
          <w:bCs/>
        </w:rPr>
        <w:t>EXPOSICIÓN DE MOTIVOS</w:t>
      </w:r>
    </w:p>
    <w:p w14:paraId="64C679B2" w14:textId="2882E5BB" w:rsidR="00D957B5" w:rsidRPr="00D811E2" w:rsidRDefault="00D957B5" w:rsidP="00076E9D">
      <w:pPr>
        <w:pStyle w:val="NormalWeb"/>
        <w:spacing w:before="0" w:beforeAutospacing="0" w:after="0" w:afterAutospacing="0" w:line="360" w:lineRule="auto"/>
        <w:ind w:firstLine="360"/>
        <w:jc w:val="both"/>
        <w:rPr>
          <w:rFonts w:ascii="Book Antiqua" w:hAnsi="Book Antiqua"/>
          <w:lang w:val="es-PR"/>
        </w:rPr>
      </w:pPr>
      <w:r w:rsidRPr="00D811E2">
        <w:rPr>
          <w:rFonts w:ascii="Book Antiqua" w:hAnsi="Book Antiqua"/>
          <w:lang w:val="es-PR"/>
        </w:rPr>
        <w:t xml:space="preserve">La explotación financiera de los adultos mayores representa una forma grave de maltrato que afecta su dignidad, autonomía y bienestar económico. Según define el Artículo 3 de la Ley </w:t>
      </w:r>
      <w:r w:rsidRPr="00AB0133">
        <w:rPr>
          <w:rFonts w:ascii="Book Antiqua" w:hAnsi="Book Antiqua"/>
          <w:strike/>
          <w:lang w:val="es-PR"/>
        </w:rPr>
        <w:t>Núm.</w:t>
      </w:r>
      <w:r w:rsidRPr="00D811E2">
        <w:rPr>
          <w:rFonts w:ascii="Book Antiqua" w:hAnsi="Book Antiqua"/>
          <w:lang w:val="es-PR"/>
        </w:rPr>
        <w:t xml:space="preserve"> 121</w:t>
      </w:r>
      <w:r w:rsidR="00AB0133">
        <w:rPr>
          <w:rFonts w:ascii="Book Antiqua" w:hAnsi="Book Antiqua"/>
          <w:i/>
          <w:iCs/>
          <w:u w:val="single"/>
          <w:lang w:val="es-PR"/>
        </w:rPr>
        <w:t>-</w:t>
      </w:r>
      <w:r w:rsidRPr="00D811E2">
        <w:rPr>
          <w:rFonts w:ascii="Book Antiqua" w:hAnsi="Book Antiqua"/>
          <w:lang w:val="es-PR"/>
        </w:rPr>
        <w:t xml:space="preserve"> </w:t>
      </w:r>
      <w:r w:rsidRPr="00AB0133">
        <w:rPr>
          <w:rFonts w:ascii="Book Antiqua" w:hAnsi="Book Antiqua"/>
          <w:strike/>
          <w:lang w:val="es-PR"/>
        </w:rPr>
        <w:t>del 3 de julio de</w:t>
      </w:r>
      <w:r w:rsidRPr="00D811E2">
        <w:rPr>
          <w:rFonts w:ascii="Book Antiqua" w:hAnsi="Book Antiqua"/>
          <w:lang w:val="es-PR"/>
        </w:rPr>
        <w:t xml:space="preserve"> 2019, </w:t>
      </w:r>
      <w:r w:rsidR="00AB0133">
        <w:rPr>
          <w:rFonts w:ascii="Book Antiqua" w:hAnsi="Book Antiqua"/>
          <w:i/>
          <w:iCs/>
          <w:u w:val="single"/>
          <w:lang w:val="es-PR"/>
        </w:rPr>
        <w:t>según enmendada,</w:t>
      </w:r>
      <w:r w:rsidR="00AB0133">
        <w:rPr>
          <w:rFonts w:ascii="Book Antiqua" w:hAnsi="Book Antiqua"/>
          <w:lang w:val="es-PR"/>
        </w:rPr>
        <w:t xml:space="preserve"> </w:t>
      </w:r>
      <w:r w:rsidRPr="00D811E2">
        <w:rPr>
          <w:rFonts w:ascii="Book Antiqua" w:hAnsi="Book Antiqua"/>
          <w:lang w:val="es-PR"/>
        </w:rPr>
        <w:t>conocida como la "Carta de Derechos y la Política Pública del Gobierno a favor de los Adultos Mayores</w:t>
      </w:r>
      <w:r w:rsidRPr="00507FBE">
        <w:rPr>
          <w:rFonts w:ascii="Book Antiqua" w:hAnsi="Book Antiqua"/>
          <w:strike/>
          <w:lang w:val="es-PR"/>
        </w:rPr>
        <w:t xml:space="preserve"> en Puerto Rico</w:t>
      </w:r>
      <w:r w:rsidRPr="00D811E2">
        <w:rPr>
          <w:rFonts w:ascii="Book Antiqua" w:hAnsi="Book Antiqua"/>
          <w:lang w:val="es-PR"/>
        </w:rPr>
        <w:t xml:space="preserve">", la explotación financiera incluye el uso impropio de fondos, propiedades o recursos mediante fraude, falsas pretensiones, malversación, coerción o cualquier otra </w:t>
      </w:r>
      <w:r w:rsidRPr="00D811E2">
        <w:rPr>
          <w:rFonts w:ascii="Book Antiqua" w:hAnsi="Book Antiqua"/>
          <w:lang w:val="es-PR"/>
        </w:rPr>
        <w:lastRenderedPageBreak/>
        <w:t>modalidad que prive al adulto mayor de sus bienes. Este tipo de abuso es particularmente insidioso, ya que a menudo es perpetrado por familiares, cuidadores o personas de confianza, y puede resultar en la pérdida de ahorros de toda una vida, dejando a las víctimas en situaciones de vulnerabilidad extrema.</w:t>
      </w:r>
    </w:p>
    <w:p w14:paraId="2D378625" w14:textId="77ADFC71" w:rsidR="002C5D43" w:rsidRPr="00D811E2" w:rsidRDefault="002C5D43" w:rsidP="00902EAD">
      <w:pPr>
        <w:pStyle w:val="NormalWeb"/>
        <w:spacing w:after="0" w:afterAutospacing="0" w:line="360" w:lineRule="auto"/>
        <w:ind w:firstLine="360"/>
        <w:jc w:val="both"/>
        <w:rPr>
          <w:rFonts w:ascii="Book Antiqua" w:hAnsi="Book Antiqua"/>
          <w:lang w:val="es-PR"/>
        </w:rPr>
      </w:pPr>
      <w:r w:rsidRPr="00D811E2">
        <w:rPr>
          <w:rFonts w:ascii="Book Antiqua" w:hAnsi="Book Antiqua"/>
          <w:lang w:val="es-PR"/>
        </w:rPr>
        <w:t xml:space="preserve">En Puerto Rico, la población de adultos mayores (personas de 60 años o más) ha crecido significativamente, representando un segmento demográfico que requiere protecciones especializadas. La Ley </w:t>
      </w:r>
      <w:r w:rsidRPr="00AB0133">
        <w:rPr>
          <w:rFonts w:ascii="Book Antiqua" w:hAnsi="Book Antiqua"/>
          <w:strike/>
          <w:lang w:val="es-PR"/>
        </w:rPr>
        <w:t>Núm.</w:t>
      </w:r>
      <w:r w:rsidRPr="00D811E2">
        <w:rPr>
          <w:rFonts w:ascii="Book Antiqua" w:hAnsi="Book Antiqua"/>
          <w:lang w:val="es-PR"/>
        </w:rPr>
        <w:t xml:space="preserve"> 121</w:t>
      </w:r>
      <w:r w:rsidRPr="00507FBE">
        <w:rPr>
          <w:rFonts w:ascii="Book Antiqua" w:hAnsi="Book Antiqua"/>
          <w:lang w:val="es-PR"/>
        </w:rPr>
        <w:t>-</w:t>
      </w:r>
      <w:proofErr w:type="gramStart"/>
      <w:r w:rsidRPr="00507FBE">
        <w:rPr>
          <w:rFonts w:ascii="Book Antiqua" w:hAnsi="Book Antiqua"/>
          <w:lang w:val="es-PR"/>
        </w:rPr>
        <w:t>2019</w:t>
      </w:r>
      <w:r w:rsidR="00507FBE">
        <w:rPr>
          <w:rFonts w:ascii="Book Antiqua" w:hAnsi="Book Antiqua"/>
          <w:lang w:val="es-PR"/>
        </w:rPr>
        <w:t xml:space="preserve"> </w:t>
      </w:r>
      <w:r w:rsidR="00AB0133" w:rsidRPr="00507FBE">
        <w:rPr>
          <w:rFonts w:ascii="Book Antiqua" w:hAnsi="Book Antiqua"/>
          <w:i/>
          <w:iCs/>
          <w:u w:val="single"/>
          <w:lang w:val="es-PR"/>
        </w:rPr>
        <w:t>,</w:t>
      </w:r>
      <w:proofErr w:type="gramEnd"/>
      <w:r w:rsidR="00AB0133">
        <w:rPr>
          <w:rFonts w:ascii="Book Antiqua" w:hAnsi="Book Antiqua"/>
          <w:lang w:val="es-PR"/>
        </w:rPr>
        <w:t xml:space="preserve"> </w:t>
      </w:r>
      <w:r w:rsidRPr="00D811E2">
        <w:rPr>
          <w:rFonts w:ascii="Book Antiqua" w:hAnsi="Book Antiqua"/>
          <w:lang w:val="es-PR"/>
        </w:rPr>
        <w:t xml:space="preserve"> ya establece mecanismos generales para la protección contra el maltrato, incluyendo la "Línea Dorada" como una línea de emergencia </w:t>
      </w:r>
      <w:r w:rsidRPr="00716912">
        <w:rPr>
          <w:rFonts w:ascii="Book Antiqua" w:hAnsi="Book Antiqua"/>
          <w:strike/>
          <w:lang w:val="es-PR"/>
        </w:rPr>
        <w:t>24/7</w:t>
      </w:r>
      <w:r w:rsidRPr="00D811E2">
        <w:rPr>
          <w:rFonts w:ascii="Book Antiqua" w:hAnsi="Book Antiqua"/>
          <w:lang w:val="es-PR"/>
        </w:rPr>
        <w:t xml:space="preserve"> </w:t>
      </w:r>
      <w:r w:rsidR="00716912">
        <w:rPr>
          <w:rFonts w:ascii="Book Antiqua" w:hAnsi="Book Antiqua"/>
          <w:i/>
          <w:iCs/>
          <w:u w:val="single"/>
          <w:lang w:val="es-PR"/>
        </w:rPr>
        <w:t>disponible las</w:t>
      </w:r>
      <w:r w:rsidR="00716912" w:rsidRPr="00716912">
        <w:rPr>
          <w:rFonts w:ascii="Book Antiqua" w:hAnsi="Book Antiqua"/>
          <w:i/>
          <w:iCs/>
          <w:u w:val="single"/>
          <w:lang w:val="es-PR"/>
        </w:rPr>
        <w:t xml:space="preserve"> veinticuatro (24) horas del día, los siete (7) días de la semana</w:t>
      </w:r>
      <w:r w:rsidR="00716912">
        <w:rPr>
          <w:rFonts w:ascii="Book Antiqua" w:hAnsi="Book Antiqua"/>
          <w:lang w:val="es-PR"/>
        </w:rPr>
        <w:t xml:space="preserve">, </w:t>
      </w:r>
      <w:r w:rsidRPr="00D811E2">
        <w:rPr>
          <w:rFonts w:ascii="Book Antiqua" w:hAnsi="Book Antiqua"/>
          <w:lang w:val="es-PR"/>
        </w:rPr>
        <w:t xml:space="preserve">para reportar casos de maltrato o negligencia, operada por el Departamento de la Familia </w:t>
      </w:r>
      <w:r w:rsidRPr="00507FBE">
        <w:rPr>
          <w:rFonts w:ascii="Book Antiqua" w:hAnsi="Book Antiqua"/>
          <w:strike/>
          <w:lang w:val="es-PR"/>
        </w:rPr>
        <w:t>bajo el inciso (e) del Artículo 7</w:t>
      </w:r>
      <w:r w:rsidRPr="00D811E2">
        <w:rPr>
          <w:rFonts w:ascii="Book Antiqua" w:hAnsi="Book Antiqua"/>
          <w:lang w:val="es-PR"/>
        </w:rPr>
        <w:t xml:space="preserve">. Esta línea existente, accesible a través de números como 1-800-981-8333 (libre de costo para toda la isla) y 787-749-1333 (área metropolitana), recibe y atiende reportes confidenciales de abuso, incluyendo explotación financiera, y coordina intervenciones protectoras. Recientes enmiendas, como la Ley </w:t>
      </w:r>
      <w:r w:rsidRPr="00AB0133">
        <w:rPr>
          <w:rFonts w:ascii="Book Antiqua" w:hAnsi="Book Antiqua"/>
          <w:strike/>
          <w:lang w:val="es-PR"/>
        </w:rPr>
        <w:t>Núm</w:t>
      </w:r>
      <w:r w:rsidRPr="00507FBE">
        <w:rPr>
          <w:rFonts w:ascii="Book Antiqua" w:hAnsi="Book Antiqua"/>
          <w:strike/>
          <w:lang w:val="es-PR"/>
        </w:rPr>
        <w:t>. 118 del año 2025</w:t>
      </w:r>
      <w:r w:rsidR="00507FBE">
        <w:rPr>
          <w:rFonts w:ascii="Book Antiqua" w:hAnsi="Book Antiqua"/>
          <w:lang w:val="es-PR"/>
        </w:rPr>
        <w:t xml:space="preserve"> </w:t>
      </w:r>
      <w:r w:rsidR="00507FBE" w:rsidRPr="00507FBE">
        <w:rPr>
          <w:rFonts w:ascii="Book Antiqua" w:hAnsi="Book Antiqua"/>
          <w:i/>
          <w:iCs/>
          <w:u w:val="single"/>
          <w:lang w:val="es-PR"/>
        </w:rPr>
        <w:t>118-2025</w:t>
      </w:r>
      <w:r w:rsidRPr="00D811E2">
        <w:rPr>
          <w:rFonts w:ascii="Book Antiqua" w:hAnsi="Book Antiqua"/>
          <w:lang w:val="es-PR"/>
        </w:rPr>
        <w:t>, han fortalecido las investigaciones y penalizaciones bajo el Artículo 127-C del Código Penal de Puerto Rico, reconociendo la explotación financiera como un delito.</w:t>
      </w:r>
    </w:p>
    <w:p w14:paraId="4622032C" w14:textId="77777777" w:rsidR="00BE5698" w:rsidRDefault="00D071D6" w:rsidP="00902EAD">
      <w:pPr>
        <w:pStyle w:val="NormalWeb"/>
        <w:spacing w:after="0" w:afterAutospacing="0" w:line="360" w:lineRule="auto"/>
        <w:ind w:firstLine="360"/>
        <w:jc w:val="both"/>
        <w:rPr>
          <w:rFonts w:ascii="Book Antiqua" w:hAnsi="Book Antiqua"/>
          <w:lang w:val="es-PR"/>
        </w:rPr>
      </w:pPr>
      <w:r w:rsidRPr="00D811E2">
        <w:rPr>
          <w:rFonts w:ascii="Book Antiqua" w:hAnsi="Book Antiqua"/>
          <w:lang w:val="es-PR"/>
        </w:rPr>
        <w:t xml:space="preserve">Esta medida busca abordar la necesidad de un enfoque más especializado en la explotación financiera integrándolo directamente a la "Línea Dorada" existente, sin requerir la creación de una nueva línea telefónica ni infraestructura adicional, lo que minimiza cualquier impacto fiscal. De esta forma, se aprovechan los recursos actuales del Departamento de la Familia para incorporar protocolos específicos que faciliten reportes dedicados a este tipo de abuso, asegurando una respuesta rápida para preservar evidencia financiera, coordinar con entidades bancarias y evitar la revictimización. </w:t>
      </w:r>
    </w:p>
    <w:p w14:paraId="21E07EA3" w14:textId="1AE94898" w:rsidR="00D071D6" w:rsidRPr="00D811E2" w:rsidRDefault="00D071D6" w:rsidP="00902EAD">
      <w:pPr>
        <w:pStyle w:val="NormalWeb"/>
        <w:spacing w:after="0" w:afterAutospacing="0" w:line="360" w:lineRule="auto"/>
        <w:ind w:firstLine="360"/>
        <w:jc w:val="both"/>
        <w:rPr>
          <w:rFonts w:ascii="Book Antiqua" w:hAnsi="Book Antiqua"/>
          <w:lang w:val="es-PR"/>
        </w:rPr>
      </w:pPr>
      <w:r w:rsidRPr="00D811E2">
        <w:rPr>
          <w:rFonts w:ascii="Book Antiqua" w:hAnsi="Book Antiqua"/>
          <w:lang w:val="es-PR"/>
        </w:rPr>
        <w:t xml:space="preserve">El Departamento de la Familia será responsable de recibir, evaluar y referir los casos, coordinando con agencias como el Departamento de Justicia para investigaciones criminales, </w:t>
      </w:r>
      <w:r w:rsidRPr="00020996">
        <w:rPr>
          <w:rFonts w:ascii="Book Antiqua" w:hAnsi="Book Antiqua"/>
          <w:strike/>
          <w:lang w:val="es-PR"/>
        </w:rPr>
        <w:t>el Negociado de</w:t>
      </w:r>
      <w:r w:rsidRPr="00D811E2">
        <w:rPr>
          <w:rFonts w:ascii="Book Antiqua" w:hAnsi="Book Antiqua"/>
          <w:lang w:val="es-PR"/>
        </w:rPr>
        <w:t xml:space="preserve"> la Policía de Puerto Rico para protección inmediata, la Oficina del Procurador de las Personas de Edad Avanzada para </w:t>
      </w:r>
      <w:proofErr w:type="spellStart"/>
      <w:r w:rsidRPr="005A2167">
        <w:rPr>
          <w:rFonts w:ascii="Book Antiqua" w:hAnsi="Book Antiqua"/>
          <w:strike/>
          <w:lang w:val="es-PR"/>
        </w:rPr>
        <w:t>advocacy</w:t>
      </w:r>
      <w:proofErr w:type="spellEnd"/>
      <w:r w:rsidR="005A2167">
        <w:rPr>
          <w:rFonts w:ascii="Book Antiqua" w:hAnsi="Book Antiqua"/>
          <w:lang w:val="es-PR"/>
        </w:rPr>
        <w:t xml:space="preserve"> </w:t>
      </w:r>
      <w:r w:rsidR="005A2167">
        <w:rPr>
          <w:rFonts w:ascii="Book Antiqua" w:hAnsi="Book Antiqua"/>
          <w:i/>
          <w:iCs/>
          <w:u w:val="single"/>
          <w:lang w:val="es-PR"/>
        </w:rPr>
        <w:t>defensa</w:t>
      </w:r>
      <w:r w:rsidRPr="00D811E2">
        <w:rPr>
          <w:rFonts w:ascii="Book Antiqua" w:hAnsi="Book Antiqua"/>
          <w:lang w:val="es-PR"/>
        </w:rPr>
        <w:t xml:space="preserve">, y </w:t>
      </w:r>
      <w:r w:rsidRPr="00D811E2">
        <w:rPr>
          <w:rFonts w:ascii="Book Antiqua" w:hAnsi="Book Antiqua"/>
          <w:lang w:val="es-PR"/>
        </w:rPr>
        <w:lastRenderedPageBreak/>
        <w:t>entidades financieras cuando sea necesario. Además, se promoverá la educación pública sobre esta funcionalidad ampliada de la "Línea Dorada" para empoderar a las comunidades.</w:t>
      </w:r>
    </w:p>
    <w:p w14:paraId="3C66E9EA" w14:textId="77777777" w:rsidR="00902EAD" w:rsidRPr="00D811E2" w:rsidRDefault="00BE5698" w:rsidP="00902EAD">
      <w:pPr>
        <w:pStyle w:val="NormalWeb"/>
        <w:spacing w:after="240" w:afterAutospacing="0" w:line="360" w:lineRule="auto"/>
        <w:ind w:firstLine="360"/>
        <w:jc w:val="both"/>
        <w:rPr>
          <w:rFonts w:ascii="Book Antiqua" w:hAnsi="Book Antiqua"/>
          <w:lang w:val="es-PR"/>
        </w:rPr>
      </w:pPr>
      <w:bookmarkStart w:id="0" w:name="_Hlk183040655"/>
      <w:r>
        <w:rPr>
          <w:rFonts w:ascii="Book Antiqua" w:hAnsi="Book Antiqua"/>
          <w:lang w:val="es-PR"/>
        </w:rPr>
        <w:t xml:space="preserve">A tono </w:t>
      </w:r>
      <w:r w:rsidR="00C77E77" w:rsidRPr="00D811E2">
        <w:rPr>
          <w:rFonts w:ascii="Book Antiqua" w:hAnsi="Book Antiqua"/>
          <w:lang w:val="es-PR"/>
        </w:rPr>
        <w:t>con la</w:t>
      </w:r>
      <w:r w:rsidR="00302592" w:rsidRPr="00D811E2">
        <w:rPr>
          <w:rFonts w:ascii="Book Antiqua" w:hAnsi="Book Antiqua"/>
          <w:lang w:val="es-PR"/>
        </w:rPr>
        <w:t xml:space="preserve"> política pública del Gobierno de Puerto Rico</w:t>
      </w:r>
      <w:r w:rsidR="00C77E77" w:rsidRPr="00D811E2">
        <w:rPr>
          <w:rFonts w:ascii="Book Antiqua" w:hAnsi="Book Antiqua"/>
          <w:lang w:val="es-PR"/>
        </w:rPr>
        <w:t xml:space="preserve">, </w:t>
      </w:r>
      <w:r w:rsidR="00A21E30" w:rsidRPr="00D811E2">
        <w:rPr>
          <w:rFonts w:ascii="Book Antiqua" w:hAnsi="Book Antiqua"/>
          <w:lang w:val="es-PR"/>
        </w:rPr>
        <w:t>hacemos justicia con esta medida al</w:t>
      </w:r>
      <w:r w:rsidR="00302592" w:rsidRPr="00D811E2">
        <w:rPr>
          <w:rFonts w:ascii="Book Antiqua" w:hAnsi="Book Antiqua"/>
          <w:lang w:val="es-PR"/>
        </w:rPr>
        <w:t xml:space="preserve"> priorizar la protección de los adultos mayores contra la explotación financiera mediante mecanismos accesibles y eficientes que optimicen recursos existentes. Esta enmienda no impone cargas fiscales adicionales, ya que se integra a la "Línea Dorada" y estructuras operativas actuales, y se alinea con los principios constitucionales de igualdad, dignidad humana y bienestar general establecidos en la Constitución </w:t>
      </w:r>
      <w:r w:rsidR="00302592" w:rsidRPr="00AB0133">
        <w:rPr>
          <w:rFonts w:ascii="Book Antiqua" w:hAnsi="Book Antiqua"/>
          <w:strike/>
          <w:lang w:val="es-PR"/>
        </w:rPr>
        <w:t>del Estado Libre Asociado</w:t>
      </w:r>
      <w:r w:rsidR="00302592" w:rsidRPr="00D811E2">
        <w:rPr>
          <w:rFonts w:ascii="Book Antiqua" w:hAnsi="Book Antiqua"/>
          <w:lang w:val="es-PR"/>
        </w:rPr>
        <w:t xml:space="preserve"> de Puerto Rico.</w:t>
      </w:r>
    </w:p>
    <w:p w14:paraId="53288069" w14:textId="77777777" w:rsidR="00BD765D" w:rsidRPr="00D811E2" w:rsidRDefault="00BD765D" w:rsidP="00076E9D">
      <w:pPr>
        <w:spacing w:line="480" w:lineRule="auto"/>
        <w:jc w:val="both"/>
        <w:rPr>
          <w:rFonts w:ascii="Book Antiqua" w:hAnsi="Book Antiqua"/>
          <w:b/>
          <w:bCs/>
          <w:iCs/>
        </w:rPr>
        <w:sectPr w:rsidR="00BD765D" w:rsidRPr="00D811E2" w:rsidSect="00DA4B6C">
          <w:headerReference w:type="default" r:id="rId13"/>
          <w:type w:val="continuous"/>
          <w:pgSz w:w="12240" w:h="15840" w:code="1"/>
          <w:pgMar w:top="1440" w:right="1440" w:bottom="1440" w:left="1440" w:header="576" w:footer="720" w:gutter="0"/>
          <w:cols w:space="720"/>
          <w:titlePg/>
          <w:docGrid w:linePitch="360"/>
        </w:sectPr>
      </w:pPr>
      <w:r w:rsidRPr="00D811E2">
        <w:rPr>
          <w:rFonts w:ascii="Book Antiqua" w:hAnsi="Book Antiqua"/>
          <w:b/>
          <w:bCs/>
          <w:iCs/>
        </w:rPr>
        <w:t>DECRÉTASE POR LA ASAMBLEA LEGISLATIVA DE PUERTO RICO</w:t>
      </w:r>
      <w:bookmarkEnd w:id="0"/>
      <w:r w:rsidRPr="00D811E2">
        <w:rPr>
          <w:rFonts w:ascii="Book Antiqua" w:hAnsi="Book Antiqua"/>
          <w:b/>
          <w:bCs/>
          <w:iCs/>
        </w:rPr>
        <w:t>: </w:t>
      </w:r>
      <w:r w:rsidRPr="00D811E2">
        <w:rPr>
          <w:rFonts w:ascii="Book Antiqua" w:hAnsi="Book Antiqua"/>
          <w:b/>
          <w:bCs/>
          <w:iCs/>
        </w:rPr>
        <w:tab/>
      </w:r>
    </w:p>
    <w:p w14:paraId="53D32425" w14:textId="78091A08" w:rsidR="00B075E0" w:rsidRPr="00D811E2" w:rsidRDefault="00B708E5" w:rsidP="00076E9D">
      <w:pPr>
        <w:pStyle w:val="NormalWeb"/>
        <w:spacing w:before="0" w:beforeAutospacing="0" w:after="0" w:afterAutospacing="0" w:line="480" w:lineRule="auto"/>
        <w:ind w:firstLine="720"/>
        <w:jc w:val="both"/>
        <w:rPr>
          <w:rFonts w:ascii="Book Antiqua" w:hAnsi="Book Antiqua"/>
          <w:lang w:val="es-PR"/>
        </w:rPr>
      </w:pPr>
      <w:r w:rsidRPr="00D811E2">
        <w:rPr>
          <w:rFonts w:ascii="Book Antiqua" w:eastAsia="Calibri" w:hAnsi="Book Antiqua"/>
          <w:lang w:val="es-PR"/>
        </w:rPr>
        <w:t xml:space="preserve">Sección 1.- </w:t>
      </w:r>
      <w:r w:rsidR="00B075E0" w:rsidRPr="00D811E2">
        <w:rPr>
          <w:rFonts w:ascii="Book Antiqua" w:hAnsi="Book Antiqua"/>
          <w:lang w:val="es-PR"/>
        </w:rPr>
        <w:t xml:space="preserve">Se enmienda el inciso (e) del Artículo 7 de la Ley </w:t>
      </w:r>
      <w:r w:rsidR="00B075E0" w:rsidRPr="00AB0133">
        <w:rPr>
          <w:rFonts w:ascii="Book Antiqua" w:hAnsi="Book Antiqua"/>
          <w:strike/>
          <w:lang w:val="es-PR"/>
        </w:rPr>
        <w:t>Núm.</w:t>
      </w:r>
      <w:r w:rsidR="00B075E0" w:rsidRPr="00D811E2">
        <w:rPr>
          <w:rFonts w:ascii="Book Antiqua" w:hAnsi="Book Antiqua"/>
          <w:lang w:val="es-PR"/>
        </w:rPr>
        <w:t xml:space="preserve"> 121</w:t>
      </w:r>
      <w:r w:rsidR="00AB0133">
        <w:rPr>
          <w:rFonts w:ascii="Book Antiqua" w:hAnsi="Book Antiqua"/>
          <w:i/>
          <w:iCs/>
          <w:u w:val="single"/>
          <w:lang w:val="es-PR"/>
        </w:rPr>
        <w:t>-</w:t>
      </w:r>
      <w:r w:rsidR="00B075E0" w:rsidRPr="00D811E2">
        <w:rPr>
          <w:rFonts w:ascii="Book Antiqua" w:hAnsi="Book Antiqua"/>
          <w:lang w:val="es-PR"/>
        </w:rPr>
        <w:t xml:space="preserve"> </w:t>
      </w:r>
      <w:r w:rsidR="00B075E0" w:rsidRPr="00AB0133">
        <w:rPr>
          <w:rFonts w:ascii="Book Antiqua" w:hAnsi="Book Antiqua"/>
          <w:strike/>
          <w:lang w:val="es-PR"/>
        </w:rPr>
        <w:t xml:space="preserve">del 3 de julio de </w:t>
      </w:r>
      <w:r w:rsidR="00B075E0" w:rsidRPr="00D811E2">
        <w:rPr>
          <w:rFonts w:ascii="Book Antiqua" w:hAnsi="Book Antiqua"/>
          <w:lang w:val="es-PR"/>
        </w:rPr>
        <w:t xml:space="preserve">2019, según enmendada, conocida como la "Carta de Derechos y la Política Pública del Gobierno a favor de los Adultos Mayores </w:t>
      </w:r>
      <w:r w:rsidR="00B075E0" w:rsidRPr="00716912">
        <w:rPr>
          <w:rFonts w:ascii="Book Antiqua" w:hAnsi="Book Antiqua"/>
          <w:strike/>
          <w:lang w:val="es-PR"/>
        </w:rPr>
        <w:t>en Puerto Rico</w:t>
      </w:r>
      <w:r w:rsidR="00B075E0" w:rsidRPr="00D811E2">
        <w:rPr>
          <w:rFonts w:ascii="Book Antiqua" w:hAnsi="Book Antiqua"/>
          <w:lang w:val="es-PR"/>
        </w:rPr>
        <w:t>", para que lea como sigue:</w:t>
      </w:r>
    </w:p>
    <w:p w14:paraId="661E7DC6" w14:textId="77777777" w:rsidR="00B075E0" w:rsidRPr="00D811E2" w:rsidRDefault="00B075E0" w:rsidP="00076E9D">
      <w:pPr>
        <w:pStyle w:val="NormalWeb"/>
        <w:spacing w:before="0" w:beforeAutospacing="0" w:after="0" w:afterAutospacing="0" w:line="480" w:lineRule="auto"/>
        <w:ind w:firstLine="720"/>
        <w:jc w:val="both"/>
        <w:rPr>
          <w:rFonts w:ascii="Book Antiqua" w:hAnsi="Book Antiqua"/>
          <w:lang w:val="es-PR"/>
        </w:rPr>
      </w:pPr>
      <w:r w:rsidRPr="00D811E2">
        <w:rPr>
          <w:rFonts w:ascii="Book Antiqua" w:hAnsi="Book Antiqua"/>
          <w:lang w:val="es-PR"/>
        </w:rPr>
        <w:t>"Artículo 7. — Responsabilidades y Deberes del Departamento de la Familia.</w:t>
      </w:r>
    </w:p>
    <w:p w14:paraId="3ACC0912" w14:textId="77777777" w:rsidR="00B075E0" w:rsidRPr="00716912" w:rsidRDefault="00B075E0" w:rsidP="00076E9D">
      <w:pPr>
        <w:pStyle w:val="NormalWeb"/>
        <w:spacing w:before="0" w:beforeAutospacing="0" w:after="0" w:afterAutospacing="0" w:line="480" w:lineRule="auto"/>
        <w:ind w:firstLine="720"/>
        <w:jc w:val="both"/>
        <w:rPr>
          <w:rFonts w:ascii="Book Antiqua" w:hAnsi="Book Antiqua"/>
          <w:strike/>
          <w:lang w:val="es-PR"/>
        </w:rPr>
      </w:pPr>
      <w:r w:rsidRPr="00716912">
        <w:rPr>
          <w:rFonts w:ascii="Book Antiqua" w:hAnsi="Book Antiqua"/>
          <w:strike/>
          <w:lang w:val="es-PR"/>
        </w:rPr>
        <w:t>El Departamento de la Familia tendrá las siguientes responsabilidades y deberes, además de las establecidas en otras leyes aplicables:</w:t>
      </w:r>
    </w:p>
    <w:p w14:paraId="4084BFD8" w14:textId="77777777" w:rsidR="00B075E0" w:rsidRPr="00D811E2" w:rsidRDefault="00B075E0" w:rsidP="00076E9D">
      <w:pPr>
        <w:pStyle w:val="NormalWeb"/>
        <w:spacing w:before="0" w:beforeAutospacing="0" w:after="0" w:afterAutospacing="0" w:line="480" w:lineRule="auto"/>
        <w:ind w:firstLine="720"/>
        <w:jc w:val="both"/>
        <w:rPr>
          <w:rFonts w:ascii="Book Antiqua" w:hAnsi="Book Antiqua"/>
          <w:lang w:val="es-PR"/>
        </w:rPr>
      </w:pPr>
      <w:r w:rsidRPr="00D811E2">
        <w:rPr>
          <w:rFonts w:ascii="Book Antiqua" w:hAnsi="Book Antiqua"/>
          <w:lang w:val="es-PR"/>
        </w:rPr>
        <w:t xml:space="preserve">(a) ... </w:t>
      </w:r>
    </w:p>
    <w:p w14:paraId="3FC0A62C" w14:textId="77777777" w:rsidR="00B075E0" w:rsidRPr="00D811E2" w:rsidRDefault="00B075E0" w:rsidP="00076E9D">
      <w:pPr>
        <w:pStyle w:val="NormalWeb"/>
        <w:spacing w:before="0" w:beforeAutospacing="0" w:after="0" w:afterAutospacing="0" w:line="480" w:lineRule="auto"/>
        <w:ind w:firstLine="720"/>
        <w:jc w:val="both"/>
        <w:rPr>
          <w:rFonts w:ascii="Book Antiqua" w:hAnsi="Book Antiqua"/>
          <w:lang w:val="es-PR"/>
        </w:rPr>
      </w:pPr>
      <w:r w:rsidRPr="00D811E2">
        <w:rPr>
          <w:rFonts w:ascii="Book Antiqua" w:hAnsi="Book Antiqua"/>
          <w:lang w:val="es-PR"/>
        </w:rPr>
        <w:t xml:space="preserve">(b) ... </w:t>
      </w:r>
    </w:p>
    <w:p w14:paraId="5CB3C49E" w14:textId="77777777" w:rsidR="00B075E0" w:rsidRPr="00D811E2" w:rsidRDefault="00B075E0" w:rsidP="00076E9D">
      <w:pPr>
        <w:pStyle w:val="NormalWeb"/>
        <w:spacing w:before="0" w:beforeAutospacing="0" w:after="0" w:afterAutospacing="0" w:line="480" w:lineRule="auto"/>
        <w:ind w:firstLine="720"/>
        <w:jc w:val="both"/>
        <w:rPr>
          <w:rFonts w:ascii="Book Antiqua" w:hAnsi="Book Antiqua"/>
          <w:lang w:val="es-PR"/>
        </w:rPr>
      </w:pPr>
      <w:r w:rsidRPr="00D811E2">
        <w:rPr>
          <w:rFonts w:ascii="Book Antiqua" w:hAnsi="Book Antiqua"/>
          <w:lang w:val="es-PR"/>
        </w:rPr>
        <w:t xml:space="preserve">(c) ... </w:t>
      </w:r>
    </w:p>
    <w:p w14:paraId="778ACB0B" w14:textId="77777777" w:rsidR="00B075E0" w:rsidRPr="00D811E2" w:rsidRDefault="00B075E0" w:rsidP="00076E9D">
      <w:pPr>
        <w:pStyle w:val="NormalWeb"/>
        <w:spacing w:before="0" w:beforeAutospacing="0" w:after="0" w:afterAutospacing="0" w:line="480" w:lineRule="auto"/>
        <w:ind w:firstLine="720"/>
        <w:jc w:val="both"/>
        <w:rPr>
          <w:rFonts w:ascii="Book Antiqua" w:hAnsi="Book Antiqua"/>
          <w:lang w:val="es-PR"/>
        </w:rPr>
      </w:pPr>
      <w:r w:rsidRPr="00D811E2">
        <w:rPr>
          <w:rFonts w:ascii="Book Antiqua" w:hAnsi="Book Antiqua"/>
          <w:lang w:val="es-PR"/>
        </w:rPr>
        <w:t xml:space="preserve">(d) ... </w:t>
      </w:r>
    </w:p>
    <w:p w14:paraId="229C698C" w14:textId="77777777" w:rsidR="007D0C50" w:rsidRDefault="003251E6" w:rsidP="00076E9D">
      <w:pPr>
        <w:pStyle w:val="NormalWeb"/>
        <w:spacing w:before="0" w:beforeAutospacing="0" w:after="0" w:afterAutospacing="0" w:line="480" w:lineRule="auto"/>
        <w:ind w:firstLine="720"/>
        <w:jc w:val="both"/>
        <w:rPr>
          <w:rFonts w:ascii="Book Antiqua" w:hAnsi="Book Antiqua"/>
          <w:i/>
          <w:iCs/>
          <w:lang w:val="es-PR"/>
        </w:rPr>
      </w:pPr>
      <w:r w:rsidRPr="00D811E2">
        <w:rPr>
          <w:rFonts w:ascii="Book Antiqua" w:hAnsi="Book Antiqua"/>
          <w:lang w:val="es-PR"/>
        </w:rPr>
        <w:lastRenderedPageBreak/>
        <w:t xml:space="preserve">(e) El Departamento de la Familia establecerá una Línea Directa de Emergencia y Ayuda a los Adultos Mayores a denominarse “Línea Dorada”, y proveerá todos los recursos necesarios, incluyendo un sistema especial de comunicaciones libre de tarifas, a través del cual los adultos mayores y/o cualquier ciudadano podrá informar situaciones de emergencia, maltrato y/o negligencia las veinticuatro (24) horas del día, los siete (7) días de la semana. </w:t>
      </w:r>
      <w:r w:rsidRPr="00CB4F5A">
        <w:rPr>
          <w:rFonts w:ascii="Book Antiqua" w:hAnsi="Book Antiqua"/>
          <w:i/>
          <w:iCs/>
          <w:lang w:val="es-PR"/>
        </w:rPr>
        <w:t>Esta línea incorporará protocolos específicos para reportar casos de explotación financiera, garantizando la confidencialidad y anonimato de los denunciantes, salvo cuando sea requerido por orden judicial en casos de investigación criminal</w:t>
      </w:r>
    </w:p>
    <w:p w14:paraId="6589DFC5" w14:textId="77777777" w:rsidR="00BF6F30" w:rsidRDefault="001B131C" w:rsidP="00076E9D">
      <w:pPr>
        <w:pStyle w:val="NormalWeb"/>
        <w:spacing w:before="0" w:beforeAutospacing="0" w:after="0" w:afterAutospacing="0" w:line="480" w:lineRule="auto"/>
        <w:ind w:firstLine="720"/>
        <w:jc w:val="both"/>
        <w:rPr>
          <w:rFonts w:ascii="Book Antiqua" w:hAnsi="Book Antiqua"/>
          <w:i/>
          <w:iCs/>
          <w:lang w:val="es-PR"/>
        </w:rPr>
      </w:pPr>
      <w:r w:rsidRPr="00CB4F5A">
        <w:rPr>
          <w:rFonts w:ascii="Book Antiqua" w:hAnsi="Book Antiqua"/>
          <w:i/>
          <w:iCs/>
          <w:lang w:val="es-PR"/>
        </w:rPr>
        <w:t xml:space="preserve">El Departamento de la Familia será responsable de: </w:t>
      </w:r>
    </w:p>
    <w:p w14:paraId="755A8671" w14:textId="77777777" w:rsidR="00BF6F30" w:rsidRDefault="001B131C" w:rsidP="00076E9D">
      <w:pPr>
        <w:pStyle w:val="NormalWeb"/>
        <w:spacing w:before="0" w:beforeAutospacing="0" w:after="0" w:afterAutospacing="0" w:line="480" w:lineRule="auto"/>
        <w:ind w:firstLine="720"/>
        <w:jc w:val="both"/>
        <w:rPr>
          <w:rFonts w:ascii="Book Antiqua" w:hAnsi="Book Antiqua"/>
          <w:i/>
          <w:iCs/>
          <w:lang w:val="es-PR"/>
        </w:rPr>
      </w:pPr>
      <w:r w:rsidRPr="00CB4F5A">
        <w:rPr>
          <w:rFonts w:ascii="Book Antiqua" w:hAnsi="Book Antiqua"/>
          <w:i/>
          <w:iCs/>
          <w:lang w:val="es-PR"/>
        </w:rPr>
        <w:t>(1) Recibir y registrar los reportes de explotación financiera, incluyendo detalles sobre el uso impropio de fondos, propiedades o recursos mediante fraude, coerción, malversación u otras modalidades definidas en el Artículo 3 de esta Ley.</w:t>
      </w:r>
      <w:r w:rsidR="00BF6F30">
        <w:rPr>
          <w:rFonts w:ascii="Book Antiqua" w:hAnsi="Book Antiqua"/>
          <w:i/>
          <w:iCs/>
          <w:lang w:val="es-PR"/>
        </w:rPr>
        <w:tab/>
      </w:r>
    </w:p>
    <w:p w14:paraId="2CE4A340" w14:textId="21915BA8" w:rsidR="00BF6F30" w:rsidRDefault="001B131C" w:rsidP="00076E9D">
      <w:pPr>
        <w:pStyle w:val="NormalWeb"/>
        <w:spacing w:before="0" w:beforeAutospacing="0" w:after="0" w:afterAutospacing="0" w:line="480" w:lineRule="auto"/>
        <w:ind w:firstLine="720"/>
        <w:jc w:val="both"/>
        <w:rPr>
          <w:rFonts w:ascii="Book Antiqua" w:hAnsi="Book Antiqua"/>
          <w:i/>
          <w:iCs/>
          <w:lang w:val="es-PR"/>
        </w:rPr>
      </w:pPr>
      <w:r w:rsidRPr="00CB4F5A">
        <w:rPr>
          <w:rFonts w:ascii="Book Antiqua" w:hAnsi="Book Antiqua"/>
          <w:i/>
          <w:iCs/>
          <w:lang w:val="es-PR"/>
        </w:rPr>
        <w:t xml:space="preserve">(2) Evaluar de inmediato la urgencia del caso y proveer intervención protectora, incluyendo la </w:t>
      </w:r>
      <w:r w:rsidRPr="00AD2E7B">
        <w:rPr>
          <w:rFonts w:ascii="Book Antiqua" w:hAnsi="Book Antiqua"/>
          <w:i/>
          <w:iCs/>
          <w:strike/>
          <w:lang w:val="es-PR"/>
        </w:rPr>
        <w:t>remoción temporal del adulto mayor de situaciones de riesgo si es necesario</w:t>
      </w:r>
      <w:r w:rsidR="00AD2E7B">
        <w:rPr>
          <w:rFonts w:ascii="Book Antiqua" w:hAnsi="Book Antiqua"/>
          <w:i/>
          <w:iCs/>
          <w:lang w:val="es-PR"/>
        </w:rPr>
        <w:t xml:space="preserve"> </w:t>
      </w:r>
      <w:r w:rsidR="00AD2E7B" w:rsidRPr="00AD2E7B">
        <w:rPr>
          <w:rFonts w:ascii="Book Antiqua" w:hAnsi="Book Antiqua"/>
          <w:i/>
          <w:iCs/>
          <w:u w:val="single"/>
          <w:lang w:val="es-PR"/>
        </w:rPr>
        <w:t>adopción de medidas de protección inmediata y provisión de alternativas seguras de ubicación, cuando así resulte estrictamente necesario</w:t>
      </w:r>
      <w:r w:rsidRPr="00CB4F5A">
        <w:rPr>
          <w:rFonts w:ascii="Book Antiqua" w:hAnsi="Book Antiqua"/>
          <w:i/>
          <w:iCs/>
          <w:lang w:val="es-PR"/>
        </w:rPr>
        <w:t xml:space="preserve">, conforme a los procedimientos establecidos en los Artículos 9 al 16 de esta Ley. </w:t>
      </w:r>
    </w:p>
    <w:p w14:paraId="5A578E03" w14:textId="4384D125" w:rsidR="001B131C" w:rsidRPr="00CB4F5A" w:rsidRDefault="001B131C" w:rsidP="00076E9D">
      <w:pPr>
        <w:pStyle w:val="NormalWeb"/>
        <w:spacing w:before="0" w:beforeAutospacing="0" w:after="0" w:afterAutospacing="0" w:line="480" w:lineRule="auto"/>
        <w:ind w:firstLine="720"/>
        <w:jc w:val="both"/>
        <w:rPr>
          <w:rFonts w:ascii="Book Antiqua" w:hAnsi="Book Antiqua"/>
          <w:i/>
          <w:iCs/>
          <w:lang w:val="es-PR"/>
        </w:rPr>
      </w:pPr>
      <w:r w:rsidRPr="00CB4F5A">
        <w:rPr>
          <w:rFonts w:ascii="Book Antiqua" w:hAnsi="Book Antiqua"/>
          <w:i/>
          <w:iCs/>
          <w:lang w:val="es-PR"/>
        </w:rPr>
        <w:t xml:space="preserve">(3) Coordinar con otras agencias relacionadas, tales como el Departamento de Justicia para investigaciones penales bajo el Artículo 127-C del Código Penal, </w:t>
      </w:r>
      <w:r w:rsidRPr="00020996">
        <w:rPr>
          <w:rFonts w:ascii="Book Antiqua" w:hAnsi="Book Antiqua"/>
          <w:i/>
          <w:iCs/>
          <w:strike/>
          <w:lang w:val="es-PR"/>
        </w:rPr>
        <w:t>el Negociado de</w:t>
      </w:r>
      <w:r w:rsidRPr="00CB4F5A">
        <w:rPr>
          <w:rFonts w:ascii="Book Antiqua" w:hAnsi="Book Antiqua"/>
          <w:i/>
          <w:iCs/>
          <w:lang w:val="es-PR"/>
        </w:rPr>
        <w:t xml:space="preserve"> la Policía de Puerto Rico para protección física y recopilación de evidencia, la Oficina del Procurador de las Personas de Edad Avanzada </w:t>
      </w:r>
      <w:r w:rsidRPr="00E16AB2">
        <w:rPr>
          <w:rFonts w:ascii="Book Antiqua" w:hAnsi="Book Antiqua"/>
          <w:i/>
          <w:iCs/>
          <w:strike/>
          <w:lang w:val="es-PR"/>
        </w:rPr>
        <w:t>para representación y apoyo legal</w:t>
      </w:r>
      <w:r w:rsidR="00E16AB2">
        <w:rPr>
          <w:rFonts w:ascii="Book Antiqua" w:hAnsi="Book Antiqua"/>
          <w:i/>
          <w:iCs/>
          <w:lang w:val="es-PR"/>
        </w:rPr>
        <w:t xml:space="preserve"> </w:t>
      </w:r>
      <w:r w:rsidR="00E16AB2" w:rsidRPr="000479A8">
        <w:rPr>
          <w:rFonts w:ascii="Book Antiqua" w:hAnsi="Book Antiqua"/>
          <w:i/>
          <w:iCs/>
          <w:u w:val="single"/>
          <w:lang w:val="es-PR"/>
        </w:rPr>
        <w:t>para representación y apoyo legal</w:t>
      </w:r>
      <w:r w:rsidRPr="000479A8">
        <w:rPr>
          <w:rFonts w:ascii="Book Antiqua" w:hAnsi="Book Antiqua"/>
          <w:i/>
          <w:iCs/>
          <w:u w:val="single"/>
          <w:lang w:val="es-PR"/>
        </w:rPr>
        <w:t>,</w:t>
      </w:r>
      <w:r w:rsidR="000479A8" w:rsidRPr="000479A8">
        <w:rPr>
          <w:rFonts w:ascii="Book Antiqua" w:hAnsi="Book Antiqua"/>
          <w:i/>
          <w:iCs/>
          <w:u w:val="single"/>
          <w:lang w:val="es-PR"/>
        </w:rPr>
        <w:t xml:space="preserve"> </w:t>
      </w:r>
      <w:r w:rsidR="000479A8" w:rsidRPr="000479A8">
        <w:rPr>
          <w:rFonts w:ascii="Book Antiqua" w:hAnsi="Book Antiqua"/>
          <w:i/>
          <w:iCs/>
          <w:u w:val="single"/>
          <w:lang w:val="es-PR"/>
        </w:rPr>
        <w:lastRenderedPageBreak/>
        <w:t>conforme a las facultades que le confiere su ley orgánica</w:t>
      </w:r>
      <w:r w:rsidR="000479A8">
        <w:rPr>
          <w:rFonts w:ascii="Book Antiqua" w:hAnsi="Book Antiqua"/>
          <w:i/>
          <w:iCs/>
          <w:lang w:val="es-PR"/>
        </w:rPr>
        <w:t>,</w:t>
      </w:r>
      <w:r w:rsidRPr="00CB4F5A">
        <w:rPr>
          <w:rFonts w:ascii="Book Antiqua" w:hAnsi="Book Antiqua"/>
          <w:i/>
          <w:iCs/>
          <w:lang w:val="es-PR"/>
        </w:rPr>
        <w:t xml:space="preserve"> y entidades financieras o el Departamento de Hacienda para congelar activos sospechosos cuando proceda.</w:t>
      </w:r>
    </w:p>
    <w:p w14:paraId="6BEFF908" w14:textId="77777777" w:rsidR="00BF6F30" w:rsidRDefault="00034ECD" w:rsidP="00076E9D">
      <w:pPr>
        <w:pStyle w:val="NormalWeb"/>
        <w:spacing w:before="0" w:beforeAutospacing="0" w:after="0" w:afterAutospacing="0" w:line="480" w:lineRule="auto"/>
        <w:ind w:firstLine="720"/>
        <w:jc w:val="both"/>
        <w:rPr>
          <w:rFonts w:ascii="Book Antiqua" w:hAnsi="Book Antiqua"/>
          <w:i/>
          <w:iCs/>
          <w:lang w:val="es-PR"/>
        </w:rPr>
      </w:pPr>
      <w:r w:rsidRPr="00CB4F5A">
        <w:rPr>
          <w:rFonts w:ascii="Book Antiqua" w:hAnsi="Book Antiqua"/>
          <w:i/>
          <w:iCs/>
          <w:lang w:val="es-PR"/>
        </w:rPr>
        <w:t xml:space="preserve">(4) Referir casos a equipos multidisciplinarios para tratamiento social, apoyo psicológico y recuperación económica de la víctima. </w:t>
      </w:r>
    </w:p>
    <w:p w14:paraId="70318FFB" w14:textId="77777777" w:rsidR="00BF6F30" w:rsidRDefault="00034ECD" w:rsidP="00076E9D">
      <w:pPr>
        <w:pStyle w:val="NormalWeb"/>
        <w:spacing w:before="0" w:beforeAutospacing="0" w:after="0" w:afterAutospacing="0" w:line="480" w:lineRule="auto"/>
        <w:ind w:firstLine="720"/>
        <w:jc w:val="both"/>
        <w:rPr>
          <w:rFonts w:ascii="Book Antiqua" w:hAnsi="Book Antiqua"/>
          <w:i/>
          <w:iCs/>
          <w:lang w:val="es-PR"/>
        </w:rPr>
      </w:pPr>
      <w:r w:rsidRPr="00CB4F5A">
        <w:rPr>
          <w:rFonts w:ascii="Book Antiqua" w:hAnsi="Book Antiqua"/>
          <w:i/>
          <w:iCs/>
          <w:lang w:val="es-PR"/>
        </w:rPr>
        <w:t xml:space="preserve">(5) Desarrollar campañas de orientación pública sobre la línea, sus usos y los signos de explotación financiera, en colaboración con municipios y organizaciones sin fines de lucro. </w:t>
      </w:r>
    </w:p>
    <w:p w14:paraId="386D7590" w14:textId="77777777" w:rsidR="00034ECD" w:rsidRPr="00CB4F5A" w:rsidRDefault="00034ECD" w:rsidP="00076E9D">
      <w:pPr>
        <w:pStyle w:val="NormalWeb"/>
        <w:spacing w:before="0" w:beforeAutospacing="0" w:after="0" w:afterAutospacing="0" w:line="480" w:lineRule="auto"/>
        <w:ind w:firstLine="720"/>
        <w:jc w:val="both"/>
        <w:rPr>
          <w:rFonts w:ascii="Book Antiqua" w:hAnsi="Book Antiqua"/>
          <w:i/>
          <w:iCs/>
          <w:lang w:val="es-PR"/>
        </w:rPr>
      </w:pPr>
      <w:r w:rsidRPr="00CB4F5A">
        <w:rPr>
          <w:rFonts w:ascii="Book Antiqua" w:hAnsi="Book Antiqua"/>
          <w:i/>
          <w:iCs/>
          <w:lang w:val="es-PR"/>
        </w:rPr>
        <w:t>(6) Mantener registros estadísticos anuales sobre los reportes recibidos y resoluciones, para informar a la Asamblea Legislativa y al Gobernador sobre la efectividad de la línea.</w:t>
      </w:r>
    </w:p>
    <w:p w14:paraId="58D3F156" w14:textId="7A1277C4" w:rsidR="00AB0133" w:rsidRDefault="00034ECD" w:rsidP="00076E9D">
      <w:pPr>
        <w:pStyle w:val="NormalWeb"/>
        <w:spacing w:before="0" w:beforeAutospacing="0" w:after="0" w:afterAutospacing="0" w:line="480" w:lineRule="auto"/>
        <w:jc w:val="both"/>
        <w:rPr>
          <w:rFonts w:ascii="Book Antiqua" w:hAnsi="Book Antiqua"/>
          <w:i/>
          <w:iCs/>
          <w:lang w:val="es-PR"/>
        </w:rPr>
      </w:pPr>
      <w:r w:rsidRPr="00CB4F5A">
        <w:rPr>
          <w:rFonts w:ascii="Book Antiqua" w:hAnsi="Book Antiqua"/>
          <w:i/>
          <w:iCs/>
          <w:lang w:val="es-PR"/>
        </w:rPr>
        <w:t>Cualquier persona, incluyendo profesionales obligados a reportar bajo el Artículo 17 de esta Ley, podrá utilizar esta línea para denunciar sospechas de explotación financiera. La violación de la confidencialidad por parte de funcionarios será sancionada conforme a las disposiciones de la Ley de Ética Gubernamental."</w:t>
      </w:r>
    </w:p>
    <w:p w14:paraId="026DC6FC" w14:textId="6286E73A" w:rsidR="00AB0133" w:rsidRPr="00AB0133" w:rsidRDefault="00AB0133" w:rsidP="00AB0133">
      <w:pPr>
        <w:pStyle w:val="NormalWeb"/>
        <w:spacing w:before="0" w:beforeAutospacing="0" w:after="0" w:afterAutospacing="0" w:line="480" w:lineRule="auto"/>
        <w:jc w:val="both"/>
        <w:rPr>
          <w:rFonts w:ascii="Book Antiqua" w:hAnsi="Book Antiqua"/>
          <w:i/>
          <w:iCs/>
          <w:u w:val="single"/>
          <w:lang w:val="es-PR"/>
        </w:rPr>
      </w:pPr>
      <w:r>
        <w:rPr>
          <w:rFonts w:ascii="Book Antiqua" w:hAnsi="Book Antiqua"/>
          <w:i/>
          <w:iCs/>
          <w:lang w:val="es-PR"/>
        </w:rPr>
        <w:t xml:space="preserve">         </w:t>
      </w:r>
      <w:r>
        <w:rPr>
          <w:rFonts w:ascii="Book Antiqua" w:hAnsi="Book Antiqua"/>
          <w:i/>
          <w:iCs/>
          <w:u w:val="single"/>
          <w:lang w:val="es-PR"/>
        </w:rPr>
        <w:t xml:space="preserve">Sección 2.- </w:t>
      </w:r>
      <w:proofErr w:type="spellStart"/>
      <w:r w:rsidR="005A2167">
        <w:rPr>
          <w:rFonts w:ascii="Book Antiqua" w:hAnsi="Book Antiqua"/>
          <w:i/>
          <w:iCs/>
          <w:u w:val="single"/>
          <w:lang w:val="es-PR"/>
        </w:rPr>
        <w:t>Finaciamiento</w:t>
      </w:r>
      <w:proofErr w:type="spellEnd"/>
      <w:r w:rsidR="005A2167">
        <w:rPr>
          <w:rFonts w:ascii="Book Antiqua" w:hAnsi="Book Antiqua"/>
          <w:i/>
          <w:iCs/>
          <w:u w:val="single"/>
          <w:lang w:val="es-PR"/>
        </w:rPr>
        <w:t>.</w:t>
      </w:r>
    </w:p>
    <w:p w14:paraId="48775776" w14:textId="77777777" w:rsidR="00AB0133" w:rsidRPr="00AB0133" w:rsidRDefault="00AB0133" w:rsidP="00AB0133">
      <w:pPr>
        <w:pStyle w:val="NormalWeb"/>
        <w:spacing w:before="0" w:beforeAutospacing="0" w:after="0" w:afterAutospacing="0" w:line="480" w:lineRule="auto"/>
        <w:ind w:firstLine="720"/>
        <w:jc w:val="both"/>
        <w:rPr>
          <w:rFonts w:ascii="Book Antiqua" w:hAnsi="Book Antiqua"/>
          <w:i/>
          <w:iCs/>
          <w:u w:val="single"/>
          <w:lang w:val="es-PR"/>
        </w:rPr>
      </w:pPr>
      <w:r w:rsidRPr="00AB0133">
        <w:rPr>
          <w:rFonts w:ascii="Book Antiqua" w:hAnsi="Book Antiqua"/>
          <w:i/>
          <w:iCs/>
          <w:u w:val="single"/>
          <w:lang w:val="es-PR"/>
        </w:rPr>
        <w:t>Las disposiciones de esta Ley serán implementadas por el Departamento de la Familia utilizando los recursos humanos, administrativos, operacionales y presupuestarios existentes, conforme a las asignaciones vigentes aprobadas en su presupuesto regular.</w:t>
      </w:r>
    </w:p>
    <w:p w14:paraId="66D98560" w14:textId="77777777" w:rsidR="00AB0133" w:rsidRPr="00AB0133" w:rsidRDefault="00AB0133" w:rsidP="00AB0133">
      <w:pPr>
        <w:pStyle w:val="NormalWeb"/>
        <w:spacing w:before="0" w:beforeAutospacing="0" w:after="0" w:afterAutospacing="0" w:line="480" w:lineRule="auto"/>
        <w:ind w:firstLine="720"/>
        <w:jc w:val="both"/>
        <w:rPr>
          <w:rFonts w:ascii="Book Antiqua" w:hAnsi="Book Antiqua"/>
          <w:i/>
          <w:iCs/>
          <w:u w:val="single"/>
          <w:lang w:val="es-PR"/>
        </w:rPr>
      </w:pPr>
      <w:r w:rsidRPr="00AB0133">
        <w:rPr>
          <w:rFonts w:ascii="Book Antiqua" w:hAnsi="Book Antiqua"/>
          <w:i/>
          <w:iCs/>
          <w:u w:val="single"/>
          <w:lang w:val="es-PR"/>
        </w:rPr>
        <w:t>La implantación de esta Ley no conllevará la creación de nuevas unidades administrativas, programas, sistemas, líneas telefónicas, plazas, contratos ni infraestructura adicional, ni requerirá asignaciones presupuestarias adicionales, reasignaciones extraordinarias, ni aumentos en los niveles de gasto autorizados al Departamento de la Familia.</w:t>
      </w:r>
    </w:p>
    <w:p w14:paraId="15EBE93F" w14:textId="77777777" w:rsidR="00AB0133" w:rsidRPr="00AB0133" w:rsidRDefault="00AB0133" w:rsidP="00AB0133">
      <w:pPr>
        <w:pStyle w:val="NormalWeb"/>
        <w:spacing w:before="0" w:beforeAutospacing="0" w:after="0" w:afterAutospacing="0" w:line="480" w:lineRule="auto"/>
        <w:ind w:firstLine="720"/>
        <w:jc w:val="both"/>
        <w:rPr>
          <w:rFonts w:ascii="Book Antiqua" w:hAnsi="Book Antiqua"/>
          <w:i/>
          <w:iCs/>
          <w:u w:val="single"/>
          <w:lang w:val="es-PR"/>
        </w:rPr>
      </w:pPr>
      <w:r w:rsidRPr="00AB0133">
        <w:rPr>
          <w:rFonts w:ascii="Book Antiqua" w:hAnsi="Book Antiqua"/>
          <w:i/>
          <w:iCs/>
          <w:u w:val="single"/>
          <w:lang w:val="es-PR"/>
        </w:rPr>
        <w:t xml:space="preserve">Todas las funciones, deberes y responsabilidades que se incorporan mediante esta Ley deberán ejecutarse como parte de las funciones ordinarias del Departamento de la Familia, </w:t>
      </w:r>
      <w:r w:rsidRPr="00AB0133">
        <w:rPr>
          <w:rFonts w:ascii="Book Antiqua" w:hAnsi="Book Antiqua"/>
          <w:i/>
          <w:iCs/>
          <w:u w:val="single"/>
          <w:lang w:val="es-PR"/>
        </w:rPr>
        <w:lastRenderedPageBreak/>
        <w:t xml:space="preserve">particularmente aquellas relacionadas con la operación de la “Línea Dorada”, la atención de referidos, la coordinación </w:t>
      </w:r>
      <w:proofErr w:type="spellStart"/>
      <w:r w:rsidRPr="00AB0133">
        <w:rPr>
          <w:rFonts w:ascii="Book Antiqua" w:hAnsi="Book Antiqua"/>
          <w:i/>
          <w:iCs/>
          <w:u w:val="single"/>
          <w:lang w:val="es-PR"/>
        </w:rPr>
        <w:t>interagencial</w:t>
      </w:r>
      <w:proofErr w:type="spellEnd"/>
      <w:r w:rsidRPr="00AB0133">
        <w:rPr>
          <w:rFonts w:ascii="Book Antiqua" w:hAnsi="Book Antiqua"/>
          <w:i/>
          <w:iCs/>
          <w:u w:val="single"/>
          <w:lang w:val="es-PR"/>
        </w:rPr>
        <w:t xml:space="preserve"> y la aplicación de protocolos existentes para la protección de personas adultas mayores.</w:t>
      </w:r>
    </w:p>
    <w:p w14:paraId="6D7B26A0" w14:textId="72E53027" w:rsidR="00AB0133" w:rsidRPr="00AB0133" w:rsidRDefault="00AB0133" w:rsidP="00AB0133">
      <w:pPr>
        <w:pStyle w:val="NormalWeb"/>
        <w:spacing w:before="0" w:beforeAutospacing="0" w:after="0" w:afterAutospacing="0" w:line="480" w:lineRule="auto"/>
        <w:ind w:firstLine="540"/>
        <w:jc w:val="both"/>
        <w:rPr>
          <w:rFonts w:ascii="Book Antiqua" w:hAnsi="Book Antiqua"/>
          <w:i/>
          <w:iCs/>
          <w:u w:val="single"/>
          <w:lang w:val="es-PR"/>
        </w:rPr>
      </w:pPr>
      <w:r w:rsidRPr="00AB0133">
        <w:rPr>
          <w:rFonts w:ascii="Book Antiqua" w:hAnsi="Book Antiqua"/>
          <w:i/>
          <w:iCs/>
          <w:u w:val="single"/>
          <w:lang w:val="es-PR"/>
        </w:rPr>
        <w:t>Esta Ley se interpretará y aplicará de manera consistente con el principio de neutralidad fiscal, de conformidad con el presupuesto vigente y las leyes aplicables sobre disciplina fiscal.</w:t>
      </w:r>
    </w:p>
    <w:p w14:paraId="79DBCC9D" w14:textId="793A776F" w:rsidR="00902495" w:rsidRPr="00902495" w:rsidRDefault="00902495" w:rsidP="00076E9D">
      <w:pPr>
        <w:spacing w:line="480" w:lineRule="auto"/>
        <w:ind w:firstLine="540"/>
        <w:jc w:val="both"/>
        <w:rPr>
          <w:rFonts w:ascii="Book Antiqua" w:eastAsia="Calibri" w:hAnsi="Book Antiqua"/>
        </w:rPr>
      </w:pPr>
      <w:r w:rsidRPr="00902495">
        <w:rPr>
          <w:rFonts w:ascii="Book Antiqua" w:eastAsia="Calibri" w:hAnsi="Book Antiqua"/>
        </w:rPr>
        <w:t xml:space="preserve">Sección </w:t>
      </w:r>
      <w:r w:rsidR="008F0AE3" w:rsidRPr="005A2167">
        <w:rPr>
          <w:rFonts w:ascii="Book Antiqua" w:eastAsia="Calibri" w:hAnsi="Book Antiqua"/>
          <w:strike/>
        </w:rPr>
        <w:t>2</w:t>
      </w:r>
      <w:r w:rsidR="005A2167">
        <w:rPr>
          <w:rFonts w:ascii="Book Antiqua" w:eastAsia="Calibri" w:hAnsi="Book Antiqua"/>
        </w:rPr>
        <w:t xml:space="preserve"> </w:t>
      </w:r>
      <w:r w:rsidR="005A2167">
        <w:rPr>
          <w:rFonts w:ascii="Book Antiqua" w:eastAsia="Calibri" w:hAnsi="Book Antiqua"/>
          <w:i/>
          <w:iCs/>
          <w:u w:val="single"/>
        </w:rPr>
        <w:t>3</w:t>
      </w:r>
      <w:r w:rsidRPr="00902495">
        <w:rPr>
          <w:rFonts w:ascii="Book Antiqua" w:eastAsia="Calibri" w:hAnsi="Book Antiqua"/>
        </w:rPr>
        <w:t xml:space="preserve">.- Cláusula de </w:t>
      </w:r>
      <w:r w:rsidR="008F0AE3">
        <w:rPr>
          <w:rFonts w:ascii="Book Antiqua" w:eastAsia="Calibri" w:hAnsi="Book Antiqua"/>
        </w:rPr>
        <w:t>Separabilidad</w:t>
      </w:r>
      <w:r w:rsidRPr="00902495">
        <w:rPr>
          <w:rFonts w:ascii="Book Antiqua" w:eastAsia="Calibri" w:hAnsi="Book Antiqua"/>
        </w:rPr>
        <w:t>.</w:t>
      </w:r>
    </w:p>
    <w:p w14:paraId="0045A6D7" w14:textId="77777777" w:rsidR="00902495" w:rsidRPr="00902495" w:rsidRDefault="00902495" w:rsidP="00076E9D">
      <w:pPr>
        <w:spacing w:line="480" w:lineRule="auto"/>
        <w:ind w:firstLine="540"/>
        <w:jc w:val="both"/>
        <w:rPr>
          <w:rFonts w:ascii="Book Antiqua" w:eastAsia="Calibri" w:hAnsi="Book Antiqua"/>
          <w:lang w:val="es-ES"/>
        </w:rPr>
      </w:pPr>
      <w:r w:rsidRPr="00902495">
        <w:rPr>
          <w:rFonts w:ascii="Book Antiqua" w:eastAsia="Calibri" w:hAnsi="Book Antiqua"/>
          <w:lang w:val="es-ES"/>
        </w:rPr>
        <w:t>Si cualquier parte de esta Ley fuere declarada nula o inconstitucional por cualquier tribunal competente, dicha declaración no afectará, menoscabará o invalidará las otras disposiciones.</w:t>
      </w:r>
    </w:p>
    <w:p w14:paraId="0B1E26B4" w14:textId="001B9897" w:rsidR="00902495" w:rsidRPr="00902495" w:rsidRDefault="00902495" w:rsidP="00076E9D">
      <w:pPr>
        <w:spacing w:line="480" w:lineRule="auto"/>
        <w:ind w:firstLine="540"/>
        <w:jc w:val="both"/>
        <w:rPr>
          <w:rFonts w:ascii="Book Antiqua" w:eastAsia="Calibri" w:hAnsi="Book Antiqua"/>
          <w:lang w:val="es-MX"/>
        </w:rPr>
      </w:pPr>
      <w:r w:rsidRPr="00902495">
        <w:rPr>
          <w:rFonts w:ascii="Book Antiqua" w:eastAsia="Calibri" w:hAnsi="Book Antiqua"/>
          <w:lang w:val="es-MX"/>
        </w:rPr>
        <w:t xml:space="preserve">Sección </w:t>
      </w:r>
      <w:r w:rsidR="008F0AE3" w:rsidRPr="005A2167">
        <w:rPr>
          <w:rFonts w:ascii="Book Antiqua" w:eastAsia="Calibri" w:hAnsi="Book Antiqua"/>
          <w:strike/>
          <w:lang w:val="es-MX"/>
        </w:rPr>
        <w:t>3</w:t>
      </w:r>
      <w:r w:rsidR="005A2167">
        <w:rPr>
          <w:rFonts w:ascii="Book Antiqua" w:eastAsia="Calibri" w:hAnsi="Book Antiqua"/>
          <w:lang w:val="es-MX"/>
        </w:rPr>
        <w:t xml:space="preserve"> </w:t>
      </w:r>
      <w:r w:rsidR="005A2167">
        <w:rPr>
          <w:rFonts w:ascii="Book Antiqua" w:eastAsia="Calibri" w:hAnsi="Book Antiqua"/>
          <w:i/>
          <w:iCs/>
          <w:u w:val="single"/>
          <w:lang w:val="es-MX"/>
        </w:rPr>
        <w:t>4</w:t>
      </w:r>
      <w:r w:rsidRPr="00902495">
        <w:rPr>
          <w:rFonts w:ascii="Book Antiqua" w:eastAsia="Calibri" w:hAnsi="Book Antiqua"/>
          <w:lang w:val="es-MX"/>
        </w:rPr>
        <w:t>.- Vigencia.</w:t>
      </w:r>
    </w:p>
    <w:p w14:paraId="1EBF7B65" w14:textId="77777777" w:rsidR="00CC70EA" w:rsidRPr="00902495" w:rsidRDefault="00902495" w:rsidP="00076E9D">
      <w:pPr>
        <w:spacing w:line="480" w:lineRule="auto"/>
        <w:ind w:firstLine="540"/>
        <w:jc w:val="both"/>
        <w:rPr>
          <w:rFonts w:ascii="Book Antiqua" w:eastAsia="Book Antiqua" w:hAnsi="Book Antiqua"/>
          <w:bCs/>
          <w:lang w:val="es-MX"/>
        </w:rPr>
      </w:pPr>
      <w:r w:rsidRPr="00902495">
        <w:rPr>
          <w:rFonts w:ascii="Book Antiqua" w:eastAsia="Calibri" w:hAnsi="Book Antiqua"/>
          <w:spacing w:val="-3"/>
          <w:lang w:val="es-ES_tradnl"/>
        </w:rPr>
        <w:t>Esta Ley comenzará a regir inmediatamente después de su aprobación.</w:t>
      </w:r>
      <w:r w:rsidR="002E2D3B">
        <w:rPr>
          <w:rFonts w:ascii="Book Antiqua" w:hAnsi="Book Antiqua"/>
        </w:rPr>
        <w:t xml:space="preserve"> </w:t>
      </w:r>
    </w:p>
    <w:sectPr w:rsidR="00CC70EA" w:rsidRPr="00902495" w:rsidSect="00E5509D">
      <w:headerReference w:type="even" r:id="rId14"/>
      <w:headerReference w:type="default" r:id="rId1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F1A9E" w14:textId="77777777" w:rsidR="001E1C0F" w:rsidRDefault="001E1C0F" w:rsidP="00B236B4">
      <w:r>
        <w:separator/>
      </w:r>
    </w:p>
  </w:endnote>
  <w:endnote w:type="continuationSeparator" w:id="0">
    <w:p w14:paraId="5F5F403E" w14:textId="77777777" w:rsidR="001E1C0F" w:rsidRDefault="001E1C0F" w:rsidP="00B23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3E8D4" w14:textId="77777777" w:rsidR="001E1C0F" w:rsidRDefault="001E1C0F" w:rsidP="00B236B4">
      <w:r>
        <w:separator/>
      </w:r>
    </w:p>
  </w:footnote>
  <w:footnote w:type="continuationSeparator" w:id="0">
    <w:p w14:paraId="06DF95A6" w14:textId="77777777" w:rsidR="001E1C0F" w:rsidRDefault="001E1C0F" w:rsidP="00B23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07D1D" w14:textId="77777777" w:rsidR="00BD765D" w:rsidRPr="0050553B" w:rsidRDefault="00BD765D">
    <w:pPr>
      <w:pStyle w:val="Header"/>
      <w:jc w:val="center"/>
      <w:rPr>
        <w:rFonts w:ascii="Book Antiqua" w:hAnsi="Book Antiqua"/>
      </w:rPr>
    </w:pPr>
    <w:r w:rsidRPr="0050553B">
      <w:rPr>
        <w:rStyle w:val="PageNumber"/>
        <w:rFonts w:ascii="Book Antiqua" w:hAnsi="Book Antiqua"/>
      </w:rPr>
      <w:fldChar w:fldCharType="begin"/>
    </w:r>
    <w:r w:rsidRPr="0050553B">
      <w:rPr>
        <w:rStyle w:val="PageNumber"/>
        <w:rFonts w:ascii="Book Antiqua" w:hAnsi="Book Antiqua"/>
      </w:rPr>
      <w:instrText xml:space="preserve"> PAGE </w:instrText>
    </w:r>
    <w:r w:rsidRPr="0050553B">
      <w:rPr>
        <w:rStyle w:val="PageNumber"/>
        <w:rFonts w:ascii="Book Antiqua" w:hAnsi="Book Antiqua"/>
      </w:rPr>
      <w:fldChar w:fldCharType="separate"/>
    </w:r>
    <w:r w:rsidRPr="0050553B">
      <w:rPr>
        <w:rStyle w:val="PageNumber"/>
        <w:rFonts w:ascii="Book Antiqua" w:hAnsi="Book Antiqua"/>
        <w:noProof/>
      </w:rPr>
      <w:t>5</w:t>
    </w:r>
    <w:r w:rsidRPr="0050553B">
      <w:rPr>
        <w:rStyle w:val="PageNumber"/>
        <w:rFonts w:ascii="Book Antiqua" w:hAnsi="Book Antiqu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437E8" w14:textId="77777777" w:rsidR="00674633" w:rsidRPr="00520394" w:rsidRDefault="00674633">
    <w:pPr>
      <w:pStyle w:val="Header"/>
      <w:framePr w:wrap="around" w:vAnchor="text" w:hAnchor="margin" w:xAlign="center" w:y="1"/>
      <w:rPr>
        <w:rStyle w:val="PageNumber"/>
      </w:rPr>
    </w:pPr>
    <w:r w:rsidRPr="00520394">
      <w:rPr>
        <w:rStyle w:val="PageNumber"/>
      </w:rPr>
      <w:fldChar w:fldCharType="begin"/>
    </w:r>
    <w:r w:rsidRPr="00520394">
      <w:rPr>
        <w:rStyle w:val="PageNumber"/>
      </w:rPr>
      <w:instrText xml:space="preserve">PAGE  </w:instrText>
    </w:r>
    <w:r w:rsidRPr="00520394">
      <w:rPr>
        <w:rStyle w:val="PageNumber"/>
      </w:rPr>
      <w:fldChar w:fldCharType="end"/>
    </w:r>
  </w:p>
  <w:p w14:paraId="2C01A569" w14:textId="77777777" w:rsidR="00674633" w:rsidRDefault="006746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15F28" w14:textId="77777777" w:rsidR="00674633" w:rsidRPr="00520394" w:rsidRDefault="00674633">
    <w:pPr>
      <w:pStyle w:val="Header"/>
      <w:framePr w:wrap="around" w:vAnchor="text" w:hAnchor="margin" w:xAlign="center" w:y="1"/>
      <w:rPr>
        <w:rStyle w:val="PageNumber"/>
      </w:rPr>
    </w:pPr>
    <w:r w:rsidRPr="00520394">
      <w:rPr>
        <w:rStyle w:val="PageNumber"/>
      </w:rPr>
      <w:fldChar w:fldCharType="begin"/>
    </w:r>
    <w:r w:rsidRPr="00520394">
      <w:rPr>
        <w:rStyle w:val="PageNumber"/>
      </w:rPr>
      <w:instrText xml:space="preserve">PAGE  </w:instrText>
    </w:r>
    <w:r w:rsidRPr="00520394">
      <w:rPr>
        <w:rStyle w:val="PageNumber"/>
      </w:rPr>
      <w:fldChar w:fldCharType="separate"/>
    </w:r>
    <w:r w:rsidRPr="00520394">
      <w:rPr>
        <w:rStyle w:val="PageNumber"/>
        <w:noProof/>
      </w:rPr>
      <w:t>6</w:t>
    </w:r>
    <w:r w:rsidRPr="00520394">
      <w:rPr>
        <w:rStyle w:val="PageNumber"/>
      </w:rPr>
      <w:fldChar w:fldCharType="end"/>
    </w:r>
  </w:p>
  <w:p w14:paraId="258C3C5A" w14:textId="77777777" w:rsidR="00674633" w:rsidRDefault="00674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3AC3"/>
    <w:multiLevelType w:val="hybridMultilevel"/>
    <w:tmpl w:val="114A8070"/>
    <w:lvl w:ilvl="0" w:tplc="B74C819A">
      <w:start w:val="1"/>
      <w:numFmt w:val="lowerLetter"/>
      <w:lvlText w:val="%1)"/>
      <w:lvlJc w:val="left"/>
      <w:pPr>
        <w:ind w:left="720" w:hanging="360"/>
      </w:pPr>
      <w:rPr>
        <w:rFonts w:ascii="Book Antiqua" w:eastAsia="Times New Roman" w:hAnsi="Book Antiqua" w:cs="Times New Roman"/>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52A05"/>
    <w:multiLevelType w:val="hybridMultilevel"/>
    <w:tmpl w:val="19EA8A12"/>
    <w:lvl w:ilvl="0" w:tplc="393AEB84">
      <w:start w:val="1"/>
      <w:numFmt w:val="lowerLetter"/>
      <w:lvlText w:val="%1)"/>
      <w:lvlJc w:val="left"/>
      <w:pPr>
        <w:ind w:left="720" w:hanging="360"/>
      </w:pPr>
      <w:rPr>
        <w:rFonts w:ascii="Book Antiqua" w:eastAsia="Times New Roman" w:hAnsi="Book Antiqua" w:cs="Times New Roman"/>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11660E"/>
    <w:multiLevelType w:val="hybridMultilevel"/>
    <w:tmpl w:val="355449CA"/>
    <w:lvl w:ilvl="0" w:tplc="D87CCF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3F393A"/>
    <w:multiLevelType w:val="hybridMultilevel"/>
    <w:tmpl w:val="8A00C89C"/>
    <w:lvl w:ilvl="0" w:tplc="90C665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A8184E"/>
    <w:multiLevelType w:val="hybridMultilevel"/>
    <w:tmpl w:val="606A253C"/>
    <w:lvl w:ilvl="0" w:tplc="B19C48C6">
      <w:start w:val="1"/>
      <w:numFmt w:val="lowerLetter"/>
      <w:lvlText w:val="(%1)"/>
      <w:lvlJc w:val="left"/>
      <w:pPr>
        <w:ind w:left="1800" w:hanging="360"/>
      </w:pPr>
      <w:rPr>
        <w:rFonts w:hint="default"/>
        <w:i/>
        <w:iCs/>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35082B28"/>
    <w:multiLevelType w:val="hybridMultilevel"/>
    <w:tmpl w:val="AD3EA25E"/>
    <w:lvl w:ilvl="0" w:tplc="C2D61CB4">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4BDB4CCA"/>
    <w:multiLevelType w:val="hybridMultilevel"/>
    <w:tmpl w:val="133A2038"/>
    <w:lvl w:ilvl="0" w:tplc="1E4825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9E245F"/>
    <w:multiLevelType w:val="hybridMultilevel"/>
    <w:tmpl w:val="7572178C"/>
    <w:lvl w:ilvl="0" w:tplc="4B74F3A4">
      <w:start w:val="1"/>
      <w:numFmt w:val="lowerLetter"/>
      <w:lvlText w:val="(%1)"/>
      <w:lvlJc w:val="left"/>
      <w:pPr>
        <w:ind w:left="1800" w:hanging="360"/>
      </w:pPr>
      <w:rPr>
        <w:rFonts w:hint="default"/>
        <w:i w:val="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8" w15:restartNumberingAfterBreak="0">
    <w:nsid w:val="554D33C2"/>
    <w:multiLevelType w:val="hybridMultilevel"/>
    <w:tmpl w:val="4E0C869C"/>
    <w:lvl w:ilvl="0" w:tplc="24C29C9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58756F4"/>
    <w:multiLevelType w:val="hybridMultilevel"/>
    <w:tmpl w:val="06961F58"/>
    <w:lvl w:ilvl="0" w:tplc="2996B98E">
      <w:start w:val="1"/>
      <w:numFmt w:val="lowerRoman"/>
      <w:lvlText w:val="(%1)"/>
      <w:lvlJc w:val="left"/>
      <w:pPr>
        <w:ind w:left="2160" w:hanging="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0" w15:restartNumberingAfterBreak="0">
    <w:nsid w:val="566A5A44"/>
    <w:multiLevelType w:val="hybridMultilevel"/>
    <w:tmpl w:val="2BA0163C"/>
    <w:lvl w:ilvl="0" w:tplc="802EE95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890549E"/>
    <w:multiLevelType w:val="hybridMultilevel"/>
    <w:tmpl w:val="DDACB29C"/>
    <w:lvl w:ilvl="0" w:tplc="8D06BCB2">
      <w:start w:val="2"/>
      <w:numFmt w:val="upperRoman"/>
      <w:lvlText w:val="%1."/>
      <w:lvlJc w:val="right"/>
      <w:pPr>
        <w:tabs>
          <w:tab w:val="num" w:pos="720"/>
        </w:tabs>
        <w:ind w:left="720" w:hanging="360"/>
      </w:pPr>
      <w:rPr>
        <w:b w:val="0"/>
        <w:bCs w:val="0"/>
      </w:rPr>
    </w:lvl>
    <w:lvl w:ilvl="1" w:tplc="735AD62E" w:tentative="1">
      <w:start w:val="1"/>
      <w:numFmt w:val="decimal"/>
      <w:lvlText w:val="%2."/>
      <w:lvlJc w:val="left"/>
      <w:pPr>
        <w:tabs>
          <w:tab w:val="num" w:pos="1440"/>
        </w:tabs>
        <w:ind w:left="1440" w:hanging="360"/>
      </w:pPr>
    </w:lvl>
    <w:lvl w:ilvl="2" w:tplc="1D7EDE1A" w:tentative="1">
      <w:start w:val="1"/>
      <w:numFmt w:val="decimal"/>
      <w:lvlText w:val="%3."/>
      <w:lvlJc w:val="left"/>
      <w:pPr>
        <w:tabs>
          <w:tab w:val="num" w:pos="2160"/>
        </w:tabs>
        <w:ind w:left="2160" w:hanging="360"/>
      </w:pPr>
    </w:lvl>
    <w:lvl w:ilvl="3" w:tplc="48A200EA" w:tentative="1">
      <w:start w:val="1"/>
      <w:numFmt w:val="decimal"/>
      <w:lvlText w:val="%4."/>
      <w:lvlJc w:val="left"/>
      <w:pPr>
        <w:tabs>
          <w:tab w:val="num" w:pos="2880"/>
        </w:tabs>
        <w:ind w:left="2880" w:hanging="360"/>
      </w:pPr>
    </w:lvl>
    <w:lvl w:ilvl="4" w:tplc="5912655E" w:tentative="1">
      <w:start w:val="1"/>
      <w:numFmt w:val="decimal"/>
      <w:lvlText w:val="%5."/>
      <w:lvlJc w:val="left"/>
      <w:pPr>
        <w:tabs>
          <w:tab w:val="num" w:pos="3600"/>
        </w:tabs>
        <w:ind w:left="3600" w:hanging="360"/>
      </w:pPr>
    </w:lvl>
    <w:lvl w:ilvl="5" w:tplc="5F84A842" w:tentative="1">
      <w:start w:val="1"/>
      <w:numFmt w:val="decimal"/>
      <w:lvlText w:val="%6."/>
      <w:lvlJc w:val="left"/>
      <w:pPr>
        <w:tabs>
          <w:tab w:val="num" w:pos="4320"/>
        </w:tabs>
        <w:ind w:left="4320" w:hanging="360"/>
      </w:pPr>
    </w:lvl>
    <w:lvl w:ilvl="6" w:tplc="633C5DEC" w:tentative="1">
      <w:start w:val="1"/>
      <w:numFmt w:val="decimal"/>
      <w:lvlText w:val="%7."/>
      <w:lvlJc w:val="left"/>
      <w:pPr>
        <w:tabs>
          <w:tab w:val="num" w:pos="5040"/>
        </w:tabs>
        <w:ind w:left="5040" w:hanging="360"/>
      </w:pPr>
    </w:lvl>
    <w:lvl w:ilvl="7" w:tplc="8AFECFDE" w:tentative="1">
      <w:start w:val="1"/>
      <w:numFmt w:val="decimal"/>
      <w:lvlText w:val="%8."/>
      <w:lvlJc w:val="left"/>
      <w:pPr>
        <w:tabs>
          <w:tab w:val="num" w:pos="5760"/>
        </w:tabs>
        <w:ind w:left="5760" w:hanging="360"/>
      </w:pPr>
    </w:lvl>
    <w:lvl w:ilvl="8" w:tplc="F8E05F0A" w:tentative="1">
      <w:start w:val="1"/>
      <w:numFmt w:val="decimal"/>
      <w:lvlText w:val="%9."/>
      <w:lvlJc w:val="left"/>
      <w:pPr>
        <w:tabs>
          <w:tab w:val="num" w:pos="6480"/>
        </w:tabs>
        <w:ind w:left="6480" w:hanging="360"/>
      </w:pPr>
    </w:lvl>
  </w:abstractNum>
  <w:abstractNum w:abstractNumId="12" w15:restartNumberingAfterBreak="0">
    <w:nsid w:val="66701A0D"/>
    <w:multiLevelType w:val="hybridMultilevel"/>
    <w:tmpl w:val="BA4A3B32"/>
    <w:lvl w:ilvl="0" w:tplc="4B12649A">
      <w:start w:val="1"/>
      <w:numFmt w:val="lowerLetter"/>
      <w:lvlText w:val="(%1)"/>
      <w:lvlJc w:val="left"/>
      <w:pPr>
        <w:ind w:left="1800" w:hanging="360"/>
      </w:pPr>
      <w:rPr>
        <w:rFonts w:ascii="Book Antiqua" w:hAnsi="Book Antiqua" w:hint="default"/>
        <w:color w:val="00000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3" w15:restartNumberingAfterBreak="0">
    <w:nsid w:val="6B7E0221"/>
    <w:multiLevelType w:val="hybridMultilevel"/>
    <w:tmpl w:val="CA7EDB3E"/>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cs="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cs="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cs="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14" w15:restartNumberingAfterBreak="0">
    <w:nsid w:val="766553A1"/>
    <w:multiLevelType w:val="hybridMultilevel"/>
    <w:tmpl w:val="E6D29DA2"/>
    <w:lvl w:ilvl="0" w:tplc="B8F89838">
      <w:start w:val="4"/>
      <w:numFmt w:val="upperRoman"/>
      <w:lvlText w:val="%1."/>
      <w:lvlJc w:val="right"/>
      <w:pPr>
        <w:tabs>
          <w:tab w:val="num" w:pos="720"/>
        </w:tabs>
        <w:ind w:left="720" w:hanging="360"/>
      </w:pPr>
      <w:rPr>
        <w:b w:val="0"/>
        <w:bCs w:val="0"/>
      </w:rPr>
    </w:lvl>
    <w:lvl w:ilvl="1" w:tplc="90B029D4" w:tentative="1">
      <w:start w:val="1"/>
      <w:numFmt w:val="decimal"/>
      <w:lvlText w:val="%2."/>
      <w:lvlJc w:val="left"/>
      <w:pPr>
        <w:tabs>
          <w:tab w:val="num" w:pos="1440"/>
        </w:tabs>
        <w:ind w:left="1440" w:hanging="360"/>
      </w:pPr>
    </w:lvl>
    <w:lvl w:ilvl="2" w:tplc="2BC21A94" w:tentative="1">
      <w:start w:val="1"/>
      <w:numFmt w:val="decimal"/>
      <w:lvlText w:val="%3."/>
      <w:lvlJc w:val="left"/>
      <w:pPr>
        <w:tabs>
          <w:tab w:val="num" w:pos="2160"/>
        </w:tabs>
        <w:ind w:left="2160" w:hanging="360"/>
      </w:pPr>
    </w:lvl>
    <w:lvl w:ilvl="3" w:tplc="E9564E5E" w:tentative="1">
      <w:start w:val="1"/>
      <w:numFmt w:val="decimal"/>
      <w:lvlText w:val="%4."/>
      <w:lvlJc w:val="left"/>
      <w:pPr>
        <w:tabs>
          <w:tab w:val="num" w:pos="2880"/>
        </w:tabs>
        <w:ind w:left="2880" w:hanging="360"/>
      </w:pPr>
    </w:lvl>
    <w:lvl w:ilvl="4" w:tplc="E0F81E72" w:tentative="1">
      <w:start w:val="1"/>
      <w:numFmt w:val="decimal"/>
      <w:lvlText w:val="%5."/>
      <w:lvlJc w:val="left"/>
      <w:pPr>
        <w:tabs>
          <w:tab w:val="num" w:pos="3600"/>
        </w:tabs>
        <w:ind w:left="3600" w:hanging="360"/>
      </w:pPr>
    </w:lvl>
    <w:lvl w:ilvl="5" w:tplc="5434E8B8" w:tentative="1">
      <w:start w:val="1"/>
      <w:numFmt w:val="decimal"/>
      <w:lvlText w:val="%6."/>
      <w:lvlJc w:val="left"/>
      <w:pPr>
        <w:tabs>
          <w:tab w:val="num" w:pos="4320"/>
        </w:tabs>
        <w:ind w:left="4320" w:hanging="360"/>
      </w:pPr>
    </w:lvl>
    <w:lvl w:ilvl="6" w:tplc="59D6FE1A" w:tentative="1">
      <w:start w:val="1"/>
      <w:numFmt w:val="decimal"/>
      <w:lvlText w:val="%7."/>
      <w:lvlJc w:val="left"/>
      <w:pPr>
        <w:tabs>
          <w:tab w:val="num" w:pos="5040"/>
        </w:tabs>
        <w:ind w:left="5040" w:hanging="360"/>
      </w:pPr>
    </w:lvl>
    <w:lvl w:ilvl="7" w:tplc="DF460C5E" w:tentative="1">
      <w:start w:val="1"/>
      <w:numFmt w:val="decimal"/>
      <w:lvlText w:val="%8."/>
      <w:lvlJc w:val="left"/>
      <w:pPr>
        <w:tabs>
          <w:tab w:val="num" w:pos="5760"/>
        </w:tabs>
        <w:ind w:left="5760" w:hanging="360"/>
      </w:pPr>
    </w:lvl>
    <w:lvl w:ilvl="8" w:tplc="B1046202" w:tentative="1">
      <w:start w:val="1"/>
      <w:numFmt w:val="decimal"/>
      <w:lvlText w:val="%9."/>
      <w:lvlJc w:val="left"/>
      <w:pPr>
        <w:tabs>
          <w:tab w:val="num" w:pos="6480"/>
        </w:tabs>
        <w:ind w:left="6480" w:hanging="360"/>
      </w:pPr>
    </w:lvl>
  </w:abstractNum>
  <w:abstractNum w:abstractNumId="15" w15:restartNumberingAfterBreak="0">
    <w:nsid w:val="771B12D0"/>
    <w:multiLevelType w:val="multilevel"/>
    <w:tmpl w:val="1E38A45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i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003E2F"/>
    <w:multiLevelType w:val="multilevel"/>
    <w:tmpl w:val="22C2E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D32DA2"/>
    <w:multiLevelType w:val="hybridMultilevel"/>
    <w:tmpl w:val="293EA7AC"/>
    <w:lvl w:ilvl="0" w:tplc="E746EA88">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77849210">
    <w:abstractNumId w:val="12"/>
  </w:num>
  <w:num w:numId="2" w16cid:durableId="343244744">
    <w:abstractNumId w:val="7"/>
  </w:num>
  <w:num w:numId="3" w16cid:durableId="2046564889">
    <w:abstractNumId w:val="9"/>
  </w:num>
  <w:num w:numId="4" w16cid:durableId="1678771633">
    <w:abstractNumId w:val="4"/>
  </w:num>
  <w:num w:numId="5" w16cid:durableId="394398013">
    <w:abstractNumId w:val="13"/>
  </w:num>
  <w:num w:numId="6" w16cid:durableId="467938936">
    <w:abstractNumId w:val="2"/>
  </w:num>
  <w:num w:numId="7" w16cid:durableId="1915159983">
    <w:abstractNumId w:val="17"/>
  </w:num>
  <w:num w:numId="8" w16cid:durableId="1297447866">
    <w:abstractNumId w:val="16"/>
  </w:num>
  <w:num w:numId="9" w16cid:durableId="1949854562">
    <w:abstractNumId w:val="15"/>
    <w:lvlOverride w:ilvl="0">
      <w:lvl w:ilvl="0">
        <w:numFmt w:val="upperRoman"/>
        <w:lvlText w:val="%1."/>
        <w:lvlJc w:val="right"/>
      </w:lvl>
    </w:lvlOverride>
  </w:num>
  <w:num w:numId="10" w16cid:durableId="1851795907">
    <w:abstractNumId w:val="11"/>
  </w:num>
  <w:num w:numId="11" w16cid:durableId="1279682367">
    <w:abstractNumId w:val="14"/>
  </w:num>
  <w:num w:numId="12" w16cid:durableId="935556770">
    <w:abstractNumId w:val="1"/>
  </w:num>
  <w:num w:numId="13" w16cid:durableId="1993941974">
    <w:abstractNumId w:val="0"/>
  </w:num>
  <w:num w:numId="14" w16cid:durableId="1870795302">
    <w:abstractNumId w:val="3"/>
  </w:num>
  <w:num w:numId="15" w16cid:durableId="1948847459">
    <w:abstractNumId w:val="5"/>
  </w:num>
  <w:num w:numId="16" w16cid:durableId="918246735">
    <w:abstractNumId w:val="8"/>
  </w:num>
  <w:num w:numId="17" w16cid:durableId="2027779622">
    <w:abstractNumId w:val="6"/>
  </w:num>
  <w:num w:numId="18" w16cid:durableId="17937926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31"/>
    <w:rsid w:val="00000FEF"/>
    <w:rsid w:val="0000654D"/>
    <w:rsid w:val="00020996"/>
    <w:rsid w:val="0002418C"/>
    <w:rsid w:val="00034ECD"/>
    <w:rsid w:val="00035D6D"/>
    <w:rsid w:val="000479A8"/>
    <w:rsid w:val="00051892"/>
    <w:rsid w:val="00056461"/>
    <w:rsid w:val="00076E9D"/>
    <w:rsid w:val="00082256"/>
    <w:rsid w:val="00085F7A"/>
    <w:rsid w:val="000C1DDF"/>
    <w:rsid w:val="000C6DBB"/>
    <w:rsid w:val="000F2950"/>
    <w:rsid w:val="001206B4"/>
    <w:rsid w:val="001346E8"/>
    <w:rsid w:val="001448C5"/>
    <w:rsid w:val="00157E90"/>
    <w:rsid w:val="001638DC"/>
    <w:rsid w:val="00164C19"/>
    <w:rsid w:val="00171E70"/>
    <w:rsid w:val="00177899"/>
    <w:rsid w:val="001B131C"/>
    <w:rsid w:val="001B19BF"/>
    <w:rsid w:val="001B5081"/>
    <w:rsid w:val="001B61BD"/>
    <w:rsid w:val="001C069E"/>
    <w:rsid w:val="001C451E"/>
    <w:rsid w:val="001D03DD"/>
    <w:rsid w:val="001E1C0F"/>
    <w:rsid w:val="001E4AA1"/>
    <w:rsid w:val="002060BA"/>
    <w:rsid w:val="00216ADE"/>
    <w:rsid w:val="0022225F"/>
    <w:rsid w:val="0023275D"/>
    <w:rsid w:val="00237175"/>
    <w:rsid w:val="00254FC8"/>
    <w:rsid w:val="00273F64"/>
    <w:rsid w:val="002B1337"/>
    <w:rsid w:val="002C407E"/>
    <w:rsid w:val="002C5D43"/>
    <w:rsid w:val="002D2110"/>
    <w:rsid w:val="002D40B6"/>
    <w:rsid w:val="002D4936"/>
    <w:rsid w:val="002D5D42"/>
    <w:rsid w:val="002E2D3B"/>
    <w:rsid w:val="00302592"/>
    <w:rsid w:val="003104A7"/>
    <w:rsid w:val="00314428"/>
    <w:rsid w:val="0031790D"/>
    <w:rsid w:val="003251E6"/>
    <w:rsid w:val="00327A67"/>
    <w:rsid w:val="003371F7"/>
    <w:rsid w:val="00342B4E"/>
    <w:rsid w:val="00360040"/>
    <w:rsid w:val="003A7038"/>
    <w:rsid w:val="003A788E"/>
    <w:rsid w:val="003B20DD"/>
    <w:rsid w:val="003B717E"/>
    <w:rsid w:val="003C708F"/>
    <w:rsid w:val="003C7E29"/>
    <w:rsid w:val="003D0079"/>
    <w:rsid w:val="003D02BD"/>
    <w:rsid w:val="003F0147"/>
    <w:rsid w:val="003F51C4"/>
    <w:rsid w:val="003F7372"/>
    <w:rsid w:val="00402B14"/>
    <w:rsid w:val="00412C4A"/>
    <w:rsid w:val="0041493C"/>
    <w:rsid w:val="004174C3"/>
    <w:rsid w:val="00437D94"/>
    <w:rsid w:val="004467EE"/>
    <w:rsid w:val="00454223"/>
    <w:rsid w:val="004650CE"/>
    <w:rsid w:val="004873BE"/>
    <w:rsid w:val="004A4D51"/>
    <w:rsid w:val="004B57ED"/>
    <w:rsid w:val="004B5B5D"/>
    <w:rsid w:val="004B6B6A"/>
    <w:rsid w:val="004F7751"/>
    <w:rsid w:val="0050553B"/>
    <w:rsid w:val="00507FBE"/>
    <w:rsid w:val="00516E39"/>
    <w:rsid w:val="00520394"/>
    <w:rsid w:val="00532810"/>
    <w:rsid w:val="005A2167"/>
    <w:rsid w:val="005A6923"/>
    <w:rsid w:val="005B210C"/>
    <w:rsid w:val="005B71EB"/>
    <w:rsid w:val="005C3FAE"/>
    <w:rsid w:val="005D4FC9"/>
    <w:rsid w:val="005E6D7E"/>
    <w:rsid w:val="005F412C"/>
    <w:rsid w:val="00602910"/>
    <w:rsid w:val="006060A8"/>
    <w:rsid w:val="00606192"/>
    <w:rsid w:val="006125DF"/>
    <w:rsid w:val="0061429D"/>
    <w:rsid w:val="00622693"/>
    <w:rsid w:val="00634773"/>
    <w:rsid w:val="006423E4"/>
    <w:rsid w:val="006456B8"/>
    <w:rsid w:val="00661D5C"/>
    <w:rsid w:val="00673290"/>
    <w:rsid w:val="00674633"/>
    <w:rsid w:val="00675E24"/>
    <w:rsid w:val="00683444"/>
    <w:rsid w:val="00684423"/>
    <w:rsid w:val="00693C87"/>
    <w:rsid w:val="006A4A11"/>
    <w:rsid w:val="006B4E4B"/>
    <w:rsid w:val="006C2696"/>
    <w:rsid w:val="006C2C76"/>
    <w:rsid w:val="006C4EB6"/>
    <w:rsid w:val="006D1AA8"/>
    <w:rsid w:val="006D202B"/>
    <w:rsid w:val="006E763B"/>
    <w:rsid w:val="006F54FA"/>
    <w:rsid w:val="006F6293"/>
    <w:rsid w:val="00703E6C"/>
    <w:rsid w:val="00716912"/>
    <w:rsid w:val="0072408A"/>
    <w:rsid w:val="007501B0"/>
    <w:rsid w:val="00757C7B"/>
    <w:rsid w:val="0078599F"/>
    <w:rsid w:val="0079327C"/>
    <w:rsid w:val="007B5A42"/>
    <w:rsid w:val="007B6472"/>
    <w:rsid w:val="007B674E"/>
    <w:rsid w:val="007D0C50"/>
    <w:rsid w:val="007F2547"/>
    <w:rsid w:val="007F5512"/>
    <w:rsid w:val="007F5A42"/>
    <w:rsid w:val="008004FA"/>
    <w:rsid w:val="00802E6F"/>
    <w:rsid w:val="00805A3B"/>
    <w:rsid w:val="00807326"/>
    <w:rsid w:val="00810498"/>
    <w:rsid w:val="008279AB"/>
    <w:rsid w:val="0083138B"/>
    <w:rsid w:val="008322E7"/>
    <w:rsid w:val="008433AF"/>
    <w:rsid w:val="0084671E"/>
    <w:rsid w:val="0087021E"/>
    <w:rsid w:val="008724CC"/>
    <w:rsid w:val="0087293C"/>
    <w:rsid w:val="00881DFB"/>
    <w:rsid w:val="008B475D"/>
    <w:rsid w:val="008C1231"/>
    <w:rsid w:val="008D0656"/>
    <w:rsid w:val="008D5973"/>
    <w:rsid w:val="008E3D1B"/>
    <w:rsid w:val="008F0AE3"/>
    <w:rsid w:val="00902495"/>
    <w:rsid w:val="00902EAD"/>
    <w:rsid w:val="00931BF9"/>
    <w:rsid w:val="00931E02"/>
    <w:rsid w:val="0094477B"/>
    <w:rsid w:val="00962711"/>
    <w:rsid w:val="0097698C"/>
    <w:rsid w:val="009B3482"/>
    <w:rsid w:val="009C7725"/>
    <w:rsid w:val="009E6185"/>
    <w:rsid w:val="009F057D"/>
    <w:rsid w:val="009F095D"/>
    <w:rsid w:val="00A0136A"/>
    <w:rsid w:val="00A02C1F"/>
    <w:rsid w:val="00A04B21"/>
    <w:rsid w:val="00A05621"/>
    <w:rsid w:val="00A0786D"/>
    <w:rsid w:val="00A14E0B"/>
    <w:rsid w:val="00A21E30"/>
    <w:rsid w:val="00A531C2"/>
    <w:rsid w:val="00A54D53"/>
    <w:rsid w:val="00A5681E"/>
    <w:rsid w:val="00A649AA"/>
    <w:rsid w:val="00A775BD"/>
    <w:rsid w:val="00AA7289"/>
    <w:rsid w:val="00AB0133"/>
    <w:rsid w:val="00AB0C55"/>
    <w:rsid w:val="00AB2433"/>
    <w:rsid w:val="00AD13F9"/>
    <w:rsid w:val="00AD2E7B"/>
    <w:rsid w:val="00AE08C8"/>
    <w:rsid w:val="00AF4EE1"/>
    <w:rsid w:val="00AF7989"/>
    <w:rsid w:val="00B075E0"/>
    <w:rsid w:val="00B14E3A"/>
    <w:rsid w:val="00B236B4"/>
    <w:rsid w:val="00B53399"/>
    <w:rsid w:val="00B60030"/>
    <w:rsid w:val="00B6468B"/>
    <w:rsid w:val="00B64F53"/>
    <w:rsid w:val="00B708E5"/>
    <w:rsid w:val="00B73770"/>
    <w:rsid w:val="00B74C8C"/>
    <w:rsid w:val="00BA2ADF"/>
    <w:rsid w:val="00BB0C73"/>
    <w:rsid w:val="00BB42F5"/>
    <w:rsid w:val="00BB76F8"/>
    <w:rsid w:val="00BC7BE7"/>
    <w:rsid w:val="00BD765D"/>
    <w:rsid w:val="00BE5698"/>
    <w:rsid w:val="00BF2E86"/>
    <w:rsid w:val="00BF6F30"/>
    <w:rsid w:val="00C0382F"/>
    <w:rsid w:val="00C213E5"/>
    <w:rsid w:val="00C25ED8"/>
    <w:rsid w:val="00C31586"/>
    <w:rsid w:val="00C47553"/>
    <w:rsid w:val="00C73CE1"/>
    <w:rsid w:val="00C77E77"/>
    <w:rsid w:val="00C86EA8"/>
    <w:rsid w:val="00C94971"/>
    <w:rsid w:val="00C94F7E"/>
    <w:rsid w:val="00CA7B96"/>
    <w:rsid w:val="00CB4F5A"/>
    <w:rsid w:val="00CC70EA"/>
    <w:rsid w:val="00CE07E4"/>
    <w:rsid w:val="00CE4804"/>
    <w:rsid w:val="00CF0A35"/>
    <w:rsid w:val="00CF1E09"/>
    <w:rsid w:val="00CF211A"/>
    <w:rsid w:val="00CF3B26"/>
    <w:rsid w:val="00D067B0"/>
    <w:rsid w:val="00D071D6"/>
    <w:rsid w:val="00D3248A"/>
    <w:rsid w:val="00D32CE4"/>
    <w:rsid w:val="00D334D3"/>
    <w:rsid w:val="00D36FCE"/>
    <w:rsid w:val="00D511FA"/>
    <w:rsid w:val="00D57E5C"/>
    <w:rsid w:val="00D76549"/>
    <w:rsid w:val="00D811E2"/>
    <w:rsid w:val="00D838AF"/>
    <w:rsid w:val="00D84FCF"/>
    <w:rsid w:val="00D9087B"/>
    <w:rsid w:val="00D92F65"/>
    <w:rsid w:val="00D957B5"/>
    <w:rsid w:val="00DA1698"/>
    <w:rsid w:val="00DA4B6C"/>
    <w:rsid w:val="00DB555C"/>
    <w:rsid w:val="00DB5967"/>
    <w:rsid w:val="00DC1CCC"/>
    <w:rsid w:val="00DC65BA"/>
    <w:rsid w:val="00E00192"/>
    <w:rsid w:val="00E017CA"/>
    <w:rsid w:val="00E10269"/>
    <w:rsid w:val="00E141D2"/>
    <w:rsid w:val="00E16AB2"/>
    <w:rsid w:val="00E32106"/>
    <w:rsid w:val="00E40CD7"/>
    <w:rsid w:val="00E47E3D"/>
    <w:rsid w:val="00E5509D"/>
    <w:rsid w:val="00E642C9"/>
    <w:rsid w:val="00E758ED"/>
    <w:rsid w:val="00E76A1E"/>
    <w:rsid w:val="00EC63A1"/>
    <w:rsid w:val="00ED7151"/>
    <w:rsid w:val="00EE013F"/>
    <w:rsid w:val="00EE2231"/>
    <w:rsid w:val="00EF0C14"/>
    <w:rsid w:val="00F07312"/>
    <w:rsid w:val="00F1225B"/>
    <w:rsid w:val="00F23FBE"/>
    <w:rsid w:val="00F33966"/>
    <w:rsid w:val="00F62C01"/>
    <w:rsid w:val="00F637FC"/>
    <w:rsid w:val="00F73C6B"/>
    <w:rsid w:val="00F7679C"/>
    <w:rsid w:val="00F77628"/>
    <w:rsid w:val="00FC3D88"/>
    <w:rsid w:val="00FD4EBD"/>
    <w:rsid w:val="00FD7918"/>
    <w:rsid w:val="00FE3B40"/>
    <w:rsid w:val="00FF0C59"/>
    <w:rsid w:val="00FF6B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1D57F"/>
  <w15:chartTrackingRefBased/>
  <w15:docId w15:val="{035529EC-718F-4A53-BEC1-F3B9D12C4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31"/>
    <w:rPr>
      <w:rFonts w:ascii="Times New Roman" w:eastAsia="Times New Roman" w:hAnsi="Times New Roman"/>
      <w:sz w:val="24"/>
      <w:szCs w:val="24"/>
      <w:lang w:val="es-PR"/>
    </w:rPr>
  </w:style>
  <w:style w:type="paragraph" w:styleId="Heading1">
    <w:name w:val="heading 1"/>
    <w:basedOn w:val="Normal"/>
    <w:next w:val="Normal"/>
    <w:link w:val="Heading1Char"/>
    <w:uiPriority w:val="9"/>
    <w:qFormat/>
    <w:rsid w:val="008C1231"/>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link w:val="Heading2Char"/>
    <w:uiPriority w:val="9"/>
    <w:semiHidden/>
    <w:unhideWhenUsed/>
    <w:qFormat/>
    <w:rsid w:val="008C1231"/>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link w:val="Heading3Char"/>
    <w:uiPriority w:val="9"/>
    <w:semiHidden/>
    <w:unhideWhenUsed/>
    <w:qFormat/>
    <w:rsid w:val="008C1231"/>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rsid w:val="008C1231"/>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rsid w:val="008C1231"/>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rsid w:val="008C1231"/>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8C1231"/>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8C1231"/>
    <w:pPr>
      <w:keepNext/>
      <w:keepLines/>
      <w:outlineLvl w:val="7"/>
    </w:pPr>
    <w:rPr>
      <w:i/>
      <w:iCs/>
      <w:color w:val="272727"/>
    </w:rPr>
  </w:style>
  <w:style w:type="paragraph" w:styleId="Heading9">
    <w:name w:val="heading 9"/>
    <w:basedOn w:val="Normal"/>
    <w:next w:val="Normal"/>
    <w:link w:val="Heading9Char"/>
    <w:uiPriority w:val="9"/>
    <w:semiHidden/>
    <w:unhideWhenUsed/>
    <w:qFormat/>
    <w:rsid w:val="008C1231"/>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C1231"/>
    <w:rPr>
      <w:rFonts w:ascii="Calibri Light" w:eastAsia="Times New Roman" w:hAnsi="Calibri Light" w:cs="Times New Roman"/>
      <w:color w:val="2F5496"/>
      <w:sz w:val="40"/>
      <w:szCs w:val="40"/>
      <w:lang w:val="es-ES_tradnl"/>
    </w:rPr>
  </w:style>
  <w:style w:type="character" w:customStyle="1" w:styleId="Heading2Char">
    <w:name w:val="Heading 2 Char"/>
    <w:link w:val="Heading2"/>
    <w:uiPriority w:val="9"/>
    <w:semiHidden/>
    <w:rsid w:val="008C1231"/>
    <w:rPr>
      <w:rFonts w:ascii="Calibri Light" w:eastAsia="Times New Roman" w:hAnsi="Calibri Light" w:cs="Times New Roman"/>
      <w:color w:val="2F5496"/>
      <w:sz w:val="32"/>
      <w:szCs w:val="32"/>
      <w:lang w:val="es-ES_tradnl"/>
    </w:rPr>
  </w:style>
  <w:style w:type="character" w:customStyle="1" w:styleId="Heading3Char">
    <w:name w:val="Heading 3 Char"/>
    <w:link w:val="Heading3"/>
    <w:uiPriority w:val="9"/>
    <w:semiHidden/>
    <w:rsid w:val="008C1231"/>
    <w:rPr>
      <w:rFonts w:eastAsia="Times New Roman" w:cs="Times New Roman"/>
      <w:color w:val="2F5496"/>
      <w:sz w:val="28"/>
      <w:szCs w:val="28"/>
      <w:lang w:val="es-ES_tradnl"/>
    </w:rPr>
  </w:style>
  <w:style w:type="character" w:customStyle="1" w:styleId="Heading4Char">
    <w:name w:val="Heading 4 Char"/>
    <w:link w:val="Heading4"/>
    <w:uiPriority w:val="9"/>
    <w:semiHidden/>
    <w:rsid w:val="008C1231"/>
    <w:rPr>
      <w:rFonts w:eastAsia="Times New Roman" w:cs="Times New Roman"/>
      <w:i/>
      <w:iCs/>
      <w:color w:val="2F5496"/>
      <w:lang w:val="es-ES_tradnl"/>
    </w:rPr>
  </w:style>
  <w:style w:type="character" w:customStyle="1" w:styleId="Heading5Char">
    <w:name w:val="Heading 5 Char"/>
    <w:link w:val="Heading5"/>
    <w:uiPriority w:val="9"/>
    <w:semiHidden/>
    <w:rsid w:val="008C1231"/>
    <w:rPr>
      <w:rFonts w:eastAsia="Times New Roman" w:cs="Times New Roman"/>
      <w:color w:val="2F5496"/>
      <w:lang w:val="es-ES_tradnl"/>
    </w:rPr>
  </w:style>
  <w:style w:type="character" w:customStyle="1" w:styleId="Heading6Char">
    <w:name w:val="Heading 6 Char"/>
    <w:link w:val="Heading6"/>
    <w:uiPriority w:val="9"/>
    <w:semiHidden/>
    <w:rsid w:val="008C1231"/>
    <w:rPr>
      <w:rFonts w:eastAsia="Times New Roman" w:cs="Times New Roman"/>
      <w:i/>
      <w:iCs/>
      <w:color w:val="595959"/>
      <w:lang w:val="es-ES_tradnl"/>
    </w:rPr>
  </w:style>
  <w:style w:type="character" w:customStyle="1" w:styleId="Heading7Char">
    <w:name w:val="Heading 7 Char"/>
    <w:link w:val="Heading7"/>
    <w:uiPriority w:val="9"/>
    <w:semiHidden/>
    <w:rsid w:val="008C1231"/>
    <w:rPr>
      <w:rFonts w:eastAsia="Times New Roman" w:cs="Times New Roman"/>
      <w:color w:val="595959"/>
      <w:lang w:val="es-ES_tradnl"/>
    </w:rPr>
  </w:style>
  <w:style w:type="character" w:customStyle="1" w:styleId="Heading8Char">
    <w:name w:val="Heading 8 Char"/>
    <w:link w:val="Heading8"/>
    <w:uiPriority w:val="9"/>
    <w:semiHidden/>
    <w:rsid w:val="008C1231"/>
    <w:rPr>
      <w:rFonts w:eastAsia="Times New Roman" w:cs="Times New Roman"/>
      <w:i/>
      <w:iCs/>
      <w:color w:val="272727"/>
      <w:lang w:val="es-ES_tradnl"/>
    </w:rPr>
  </w:style>
  <w:style w:type="character" w:customStyle="1" w:styleId="Heading9Char">
    <w:name w:val="Heading 9 Char"/>
    <w:link w:val="Heading9"/>
    <w:uiPriority w:val="9"/>
    <w:semiHidden/>
    <w:rsid w:val="008C1231"/>
    <w:rPr>
      <w:rFonts w:eastAsia="Times New Roman" w:cs="Times New Roman"/>
      <w:color w:val="272727"/>
      <w:lang w:val="es-ES_tradnl"/>
    </w:rPr>
  </w:style>
  <w:style w:type="paragraph" w:styleId="Title">
    <w:name w:val="Title"/>
    <w:basedOn w:val="Normal"/>
    <w:next w:val="Normal"/>
    <w:link w:val="TitleChar"/>
    <w:uiPriority w:val="10"/>
    <w:qFormat/>
    <w:rsid w:val="008C1231"/>
    <w:pPr>
      <w:spacing w:after="80"/>
      <w:contextualSpacing/>
    </w:pPr>
    <w:rPr>
      <w:rFonts w:ascii="Calibri Light" w:hAnsi="Calibri Light"/>
      <w:spacing w:val="-10"/>
      <w:kern w:val="28"/>
      <w:sz w:val="56"/>
      <w:szCs w:val="56"/>
    </w:rPr>
  </w:style>
  <w:style w:type="character" w:customStyle="1" w:styleId="TitleChar">
    <w:name w:val="Title Char"/>
    <w:link w:val="Title"/>
    <w:uiPriority w:val="10"/>
    <w:rsid w:val="008C1231"/>
    <w:rPr>
      <w:rFonts w:ascii="Calibri Light" w:eastAsia="Times New Roman" w:hAnsi="Calibri Light" w:cs="Times New Roman"/>
      <w:spacing w:val="-10"/>
      <w:kern w:val="28"/>
      <w:sz w:val="56"/>
      <w:szCs w:val="56"/>
      <w:lang w:val="es-ES_tradnl"/>
    </w:rPr>
  </w:style>
  <w:style w:type="paragraph" w:styleId="Subtitle">
    <w:name w:val="Subtitle"/>
    <w:basedOn w:val="Normal"/>
    <w:next w:val="Normal"/>
    <w:link w:val="SubtitleChar"/>
    <w:uiPriority w:val="11"/>
    <w:qFormat/>
    <w:rsid w:val="008C1231"/>
    <w:pPr>
      <w:numPr>
        <w:ilvl w:val="1"/>
      </w:numPr>
    </w:pPr>
    <w:rPr>
      <w:color w:val="595959"/>
      <w:spacing w:val="15"/>
      <w:sz w:val="28"/>
      <w:szCs w:val="28"/>
    </w:rPr>
  </w:style>
  <w:style w:type="character" w:customStyle="1" w:styleId="SubtitleChar">
    <w:name w:val="Subtitle Char"/>
    <w:link w:val="Subtitle"/>
    <w:uiPriority w:val="11"/>
    <w:rsid w:val="008C1231"/>
    <w:rPr>
      <w:rFonts w:eastAsia="Times New Roman" w:cs="Times New Roman"/>
      <w:color w:val="595959"/>
      <w:spacing w:val="15"/>
      <w:sz w:val="28"/>
      <w:szCs w:val="28"/>
      <w:lang w:val="es-ES_tradnl"/>
    </w:rPr>
  </w:style>
  <w:style w:type="paragraph" w:styleId="Quote">
    <w:name w:val="Quote"/>
    <w:basedOn w:val="Normal"/>
    <w:next w:val="Normal"/>
    <w:link w:val="QuoteChar"/>
    <w:uiPriority w:val="29"/>
    <w:qFormat/>
    <w:rsid w:val="008C1231"/>
    <w:pPr>
      <w:spacing w:before="160"/>
      <w:jc w:val="center"/>
    </w:pPr>
    <w:rPr>
      <w:i/>
      <w:iCs/>
      <w:color w:val="404040"/>
    </w:rPr>
  </w:style>
  <w:style w:type="character" w:customStyle="1" w:styleId="QuoteChar">
    <w:name w:val="Quote Char"/>
    <w:link w:val="Quote"/>
    <w:uiPriority w:val="29"/>
    <w:rsid w:val="008C1231"/>
    <w:rPr>
      <w:i/>
      <w:iCs/>
      <w:color w:val="404040"/>
      <w:lang w:val="es-ES_tradnl"/>
    </w:rPr>
  </w:style>
  <w:style w:type="paragraph" w:styleId="ListParagraph">
    <w:name w:val="List Paragraph"/>
    <w:basedOn w:val="Normal"/>
    <w:uiPriority w:val="34"/>
    <w:qFormat/>
    <w:rsid w:val="008C1231"/>
    <w:pPr>
      <w:ind w:left="720"/>
      <w:contextualSpacing/>
    </w:pPr>
  </w:style>
  <w:style w:type="character" w:styleId="IntenseEmphasis">
    <w:name w:val="Intense Emphasis"/>
    <w:uiPriority w:val="21"/>
    <w:qFormat/>
    <w:rsid w:val="008C1231"/>
    <w:rPr>
      <w:i/>
      <w:iCs/>
      <w:color w:val="2F5496"/>
    </w:rPr>
  </w:style>
  <w:style w:type="paragraph" w:styleId="IntenseQuote">
    <w:name w:val="Intense Quote"/>
    <w:basedOn w:val="Normal"/>
    <w:next w:val="Normal"/>
    <w:link w:val="IntenseQuoteChar"/>
    <w:uiPriority w:val="30"/>
    <w:qFormat/>
    <w:rsid w:val="008C1231"/>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8C1231"/>
    <w:rPr>
      <w:i/>
      <w:iCs/>
      <w:color w:val="2F5496"/>
      <w:lang w:val="es-ES_tradnl"/>
    </w:rPr>
  </w:style>
  <w:style w:type="character" w:styleId="IntenseReference">
    <w:name w:val="Intense Reference"/>
    <w:uiPriority w:val="32"/>
    <w:qFormat/>
    <w:rsid w:val="008C1231"/>
    <w:rPr>
      <w:b/>
      <w:bCs/>
      <w:smallCaps/>
      <w:color w:val="2F5496"/>
      <w:spacing w:val="5"/>
    </w:rPr>
  </w:style>
  <w:style w:type="paragraph" w:styleId="BodyTextIndent">
    <w:name w:val="Body Text Indent"/>
    <w:basedOn w:val="Normal"/>
    <w:link w:val="BodyTextIndentChar"/>
    <w:rsid w:val="008C1231"/>
    <w:pPr>
      <w:ind w:left="720"/>
      <w:jc w:val="both"/>
    </w:pPr>
  </w:style>
  <w:style w:type="character" w:customStyle="1" w:styleId="BodyTextIndentChar">
    <w:name w:val="Body Text Indent Char"/>
    <w:link w:val="BodyTextIndent"/>
    <w:rsid w:val="008C1231"/>
    <w:rPr>
      <w:rFonts w:ascii="Times New Roman" w:eastAsia="Times New Roman" w:hAnsi="Times New Roman" w:cs="Times New Roman"/>
      <w:sz w:val="24"/>
      <w:szCs w:val="24"/>
      <w:lang w:val="es-PR"/>
    </w:rPr>
  </w:style>
  <w:style w:type="paragraph" w:styleId="Header">
    <w:name w:val="header"/>
    <w:basedOn w:val="Normal"/>
    <w:link w:val="HeaderChar"/>
    <w:rsid w:val="008C1231"/>
    <w:pPr>
      <w:tabs>
        <w:tab w:val="center" w:pos="4320"/>
        <w:tab w:val="right" w:pos="8640"/>
      </w:tabs>
    </w:pPr>
  </w:style>
  <w:style w:type="character" w:customStyle="1" w:styleId="HeaderChar">
    <w:name w:val="Header Char"/>
    <w:link w:val="Header"/>
    <w:rsid w:val="008C1231"/>
    <w:rPr>
      <w:rFonts w:ascii="Times New Roman" w:eastAsia="Times New Roman" w:hAnsi="Times New Roman" w:cs="Times New Roman"/>
      <w:sz w:val="24"/>
      <w:szCs w:val="24"/>
      <w:lang w:val="es-PR"/>
    </w:rPr>
  </w:style>
  <w:style w:type="character" w:styleId="PageNumber">
    <w:name w:val="page number"/>
    <w:basedOn w:val="DefaultParagraphFont"/>
    <w:rsid w:val="008C1231"/>
  </w:style>
  <w:style w:type="paragraph" w:customStyle="1" w:styleId="parrafo">
    <w:name w:val="parrafo"/>
    <w:basedOn w:val="Normal"/>
    <w:rsid w:val="008C1231"/>
    <w:pPr>
      <w:spacing w:before="100" w:beforeAutospacing="1" w:after="100" w:afterAutospacing="1"/>
    </w:pPr>
  </w:style>
  <w:style w:type="character" w:styleId="LineNumber">
    <w:name w:val="line number"/>
    <w:basedOn w:val="DefaultParagraphFont"/>
    <w:uiPriority w:val="99"/>
    <w:semiHidden/>
    <w:unhideWhenUsed/>
    <w:rsid w:val="008C1231"/>
  </w:style>
  <w:style w:type="paragraph" w:customStyle="1" w:styleId="Title2">
    <w:name w:val="Title2"/>
    <w:basedOn w:val="Normal"/>
    <w:next w:val="Normal"/>
    <w:rsid w:val="00B236B4"/>
    <w:pPr>
      <w:tabs>
        <w:tab w:val="left" w:pos="648"/>
        <w:tab w:val="right" w:pos="7776"/>
        <w:tab w:val="left" w:pos="7848"/>
      </w:tabs>
    </w:pPr>
    <w:rPr>
      <w:szCs w:val="20"/>
      <w:lang w:val="es-ES_tradnl"/>
    </w:rPr>
  </w:style>
  <w:style w:type="paragraph" w:styleId="FootnoteText">
    <w:name w:val="footnote text"/>
    <w:basedOn w:val="Normal"/>
    <w:link w:val="FootnoteTextChar"/>
    <w:uiPriority w:val="99"/>
    <w:semiHidden/>
    <w:unhideWhenUsed/>
    <w:rsid w:val="00B236B4"/>
    <w:rPr>
      <w:rFonts w:ascii="Calibri" w:eastAsia="Calibri" w:hAnsi="Calibri"/>
      <w:sz w:val="20"/>
      <w:szCs w:val="20"/>
      <w:lang w:val="es-ES_tradnl"/>
    </w:rPr>
  </w:style>
  <w:style w:type="character" w:customStyle="1" w:styleId="FootnoteTextChar">
    <w:name w:val="Footnote Text Char"/>
    <w:link w:val="FootnoteText"/>
    <w:uiPriority w:val="99"/>
    <w:semiHidden/>
    <w:rsid w:val="00B236B4"/>
    <w:rPr>
      <w:sz w:val="20"/>
      <w:szCs w:val="20"/>
      <w:lang w:val="es-ES_tradnl"/>
    </w:rPr>
  </w:style>
  <w:style w:type="character" w:styleId="FootnoteReference">
    <w:name w:val="footnote reference"/>
    <w:uiPriority w:val="99"/>
    <w:semiHidden/>
    <w:unhideWhenUsed/>
    <w:rsid w:val="00B236B4"/>
    <w:rPr>
      <w:vertAlign w:val="superscript"/>
    </w:rPr>
  </w:style>
  <w:style w:type="character" w:styleId="Hyperlink">
    <w:name w:val="Hyperlink"/>
    <w:uiPriority w:val="99"/>
    <w:unhideWhenUsed/>
    <w:rsid w:val="00B236B4"/>
    <w:rPr>
      <w:color w:val="0563C1"/>
      <w:u w:val="single"/>
    </w:rPr>
  </w:style>
  <w:style w:type="paragraph" w:styleId="Footer">
    <w:name w:val="footer"/>
    <w:basedOn w:val="Normal"/>
    <w:link w:val="FooterChar"/>
    <w:uiPriority w:val="99"/>
    <w:unhideWhenUsed/>
    <w:rsid w:val="00437D94"/>
    <w:pPr>
      <w:tabs>
        <w:tab w:val="center" w:pos="4680"/>
        <w:tab w:val="right" w:pos="9360"/>
      </w:tabs>
    </w:pPr>
  </w:style>
  <w:style w:type="character" w:customStyle="1" w:styleId="FooterChar">
    <w:name w:val="Footer Char"/>
    <w:link w:val="Footer"/>
    <w:uiPriority w:val="99"/>
    <w:rsid w:val="00437D94"/>
    <w:rPr>
      <w:rFonts w:ascii="Times New Roman" w:eastAsia="Times New Roman" w:hAnsi="Times New Roman" w:cs="Times New Roman"/>
      <w:sz w:val="24"/>
      <w:szCs w:val="24"/>
      <w:lang w:val="es-PR"/>
    </w:rPr>
  </w:style>
  <w:style w:type="paragraph" w:styleId="BodyText">
    <w:name w:val="Body Text"/>
    <w:basedOn w:val="Normal"/>
    <w:link w:val="BodyTextChar"/>
    <w:uiPriority w:val="99"/>
    <w:semiHidden/>
    <w:unhideWhenUsed/>
    <w:rsid w:val="00EE2231"/>
    <w:pPr>
      <w:spacing w:after="120"/>
    </w:pPr>
  </w:style>
  <w:style w:type="character" w:customStyle="1" w:styleId="BodyTextChar">
    <w:name w:val="Body Text Char"/>
    <w:link w:val="BodyText"/>
    <w:uiPriority w:val="99"/>
    <w:semiHidden/>
    <w:rsid w:val="00EE2231"/>
    <w:rPr>
      <w:rFonts w:ascii="Times New Roman" w:eastAsia="Times New Roman" w:hAnsi="Times New Roman"/>
      <w:sz w:val="24"/>
      <w:szCs w:val="24"/>
      <w:lang w:val="es-PR"/>
    </w:rPr>
  </w:style>
  <w:style w:type="paragraph" w:styleId="NormalWeb">
    <w:name w:val="Normal (Web)"/>
    <w:basedOn w:val="Normal"/>
    <w:uiPriority w:val="99"/>
    <w:unhideWhenUsed/>
    <w:rsid w:val="00661D5C"/>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517423">
      <w:bodyDiv w:val="1"/>
      <w:marLeft w:val="0"/>
      <w:marRight w:val="0"/>
      <w:marTop w:val="0"/>
      <w:marBottom w:val="0"/>
      <w:divBdr>
        <w:top w:val="none" w:sz="0" w:space="0" w:color="auto"/>
        <w:left w:val="none" w:sz="0" w:space="0" w:color="auto"/>
        <w:bottom w:val="none" w:sz="0" w:space="0" w:color="auto"/>
        <w:right w:val="none" w:sz="0" w:space="0" w:color="auto"/>
      </w:divBdr>
    </w:div>
    <w:div w:id="192919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4SQX5P7U7WPY-958212181-822335</_dlc_DocId>
    <_dlc_DocIdUrl xmlns="c890fddd-4e87-4e08-8b51-545f2a3f7b06">
      <Url>https://senpr.sharepoint.com/sites/obralegislativa/_layouts/15/DocIdRedir.aspx?ID=4SQX5P7U7WPY-958212181-822335</Url>
      <Description>4SQX5P7U7WPY-958212181-822335</Description>
    </_dlc_DocIdUrl>
  </documentManagement>
</p:properties>
</file>

<file path=customXml/itemProps1.xml><?xml version="1.0" encoding="utf-8"?>
<ds:datastoreItem xmlns:ds="http://schemas.openxmlformats.org/officeDocument/2006/customXml" ds:itemID="{D9249A5F-1620-45B6-8AFF-536FF32682EE}"/>
</file>

<file path=customXml/itemProps2.xml><?xml version="1.0" encoding="utf-8"?>
<ds:datastoreItem xmlns:ds="http://schemas.openxmlformats.org/officeDocument/2006/customXml" ds:itemID="{419227C1-D96E-4A6F-80E7-927BBDF877E3}">
  <ds:schemaRefs>
    <ds:schemaRef ds:uri="http://schemas.microsoft.com/office/2006/metadata/longProperties"/>
  </ds:schemaRefs>
</ds:datastoreItem>
</file>

<file path=customXml/itemProps3.xml><?xml version="1.0" encoding="utf-8"?>
<ds:datastoreItem xmlns:ds="http://schemas.openxmlformats.org/officeDocument/2006/customXml" ds:itemID="{1CF60920-F28D-449F-9A66-9FE461048B74}">
  <ds:schemaRefs>
    <ds:schemaRef ds:uri="http://schemas.microsoft.com/sharepoint/events"/>
  </ds:schemaRefs>
</ds:datastoreItem>
</file>

<file path=customXml/itemProps4.xml><?xml version="1.0" encoding="utf-8"?>
<ds:datastoreItem xmlns:ds="http://schemas.openxmlformats.org/officeDocument/2006/customXml" ds:itemID="{CA806A78-DCAA-473D-8245-62C5F984019D}">
  <ds:schemaRefs>
    <ds:schemaRef ds:uri="http://schemas.microsoft.com/sharepoint/v3/contenttype/forms"/>
  </ds:schemaRefs>
</ds:datastoreItem>
</file>

<file path=customXml/itemProps5.xml><?xml version="1.0" encoding="utf-8"?>
<ds:datastoreItem xmlns:ds="http://schemas.openxmlformats.org/officeDocument/2006/customXml" ds:itemID="{7A0A9168-FC5A-4C10-8609-25DBDB47C242}">
  <ds:schemaRefs>
    <ds:schemaRef ds:uri="http://schemas.openxmlformats.org/officeDocument/2006/bibliography"/>
  </ds:schemaRefs>
</ds:datastoreItem>
</file>

<file path=customXml/itemProps6.xml><?xml version="1.0" encoding="utf-8"?>
<ds:datastoreItem xmlns:ds="http://schemas.openxmlformats.org/officeDocument/2006/customXml" ds:itemID="{C2CD46FF-078D-40B9-9F73-4FF14CF5EAFC}">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yesenia alvarez</dc:creator>
  <cp:keywords/>
  <dc:description/>
  <cp:lastModifiedBy>Monica Maldonado Gonzalez (Trámites y Récords)</cp:lastModifiedBy>
  <cp:revision>2</cp:revision>
  <cp:lastPrinted>2025-10-20T18:26:00Z</cp:lastPrinted>
  <dcterms:created xsi:type="dcterms:W3CDTF">2026-01-14T18:52:00Z</dcterms:created>
  <dcterms:modified xsi:type="dcterms:W3CDTF">2026-01-14T18:52:00Z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4SQX5P7U7WPY-958212181-819266</vt:lpwstr>
  </property>
  <property fmtid="{D5CDD505-2E9C-101B-9397-08002B2CF9AE}" pid="3" name="_dlc_DocIdItemGuid">
    <vt:lpwstr>0fea3cb2-08f4-4238-b607-c9e2aa159219</vt:lpwstr>
  </property>
  <property fmtid="{D5CDD505-2E9C-101B-9397-08002B2CF9AE}" pid="4" name="_dlc_DocIdUrl">
    <vt:lpwstr>https://senpr.sharepoint.com/sites/obralegislativa/_layouts/15/DocIdRedir.aspx?ID=4SQX5P7U7WPY-958212181-819266, 4SQX5P7U7WPY-958212181-819266</vt:lpwstr>
  </property>
  <property fmtid="{D5CDD505-2E9C-101B-9397-08002B2CF9AE}" pid="5" name="MediaServiceImageTags">
    <vt:lpwstr/>
  </property>
  <property fmtid="{D5CDD505-2E9C-101B-9397-08002B2CF9AE}" pid="6" name="ContentTypeId">
    <vt:lpwstr>0x0101008C58FC75B682744FB4A53C756BEDC3A3</vt:lpwstr>
  </property>
</Properties>
</file>