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08E7FF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217FF3">
        <w:rPr>
          <w:rFonts w:ascii="Book Antiqua" w:hAnsi="Book Antiqua"/>
          <w:lang w:val="es-ES_tradnl"/>
        </w:rPr>
        <w:t>3</w:t>
      </w:r>
      <w:r w:rsidR="001A4A89" w:rsidRPr="0049600B">
        <w:rPr>
          <w:rFonts w:ascii="Book Antiqua" w:hAnsi="Book Antiqua"/>
          <w:lang w:val="es-ES_tradnl"/>
        </w:rPr>
        <w:t xml:space="preserve"> </w:t>
      </w:r>
      <w:proofErr w:type="spellStart"/>
      <w:r w:rsidR="00217FF3">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8B9095E" w:rsidR="001A4A89" w:rsidRPr="00AC627E" w:rsidRDefault="002E36C3" w:rsidP="00B76F7C">
      <w:pPr>
        <w:ind w:firstLine="720"/>
        <w:jc w:val="center"/>
        <w:rPr>
          <w:rFonts w:ascii="Book Antiqua" w:hAnsi="Book Antiqua"/>
          <w:b/>
          <w:sz w:val="52"/>
          <w:lang w:val="es-ES"/>
        </w:rPr>
      </w:pPr>
      <w:r>
        <w:rPr>
          <w:rFonts w:ascii="Book Antiqua" w:hAnsi="Book Antiqua"/>
          <w:b/>
          <w:sz w:val="52"/>
          <w:lang w:val="es-ES"/>
        </w:rPr>
        <w:t>R.C. del S</w:t>
      </w:r>
      <w:r w:rsidR="00800181">
        <w:rPr>
          <w:rFonts w:ascii="Book Antiqua" w:hAnsi="Book Antiqua"/>
          <w:b/>
          <w:sz w:val="52"/>
          <w:lang w:val="es-ES"/>
        </w:rPr>
        <w:t xml:space="preserve">. </w:t>
      </w:r>
      <w:r>
        <w:rPr>
          <w:rFonts w:ascii="Book Antiqua" w:hAnsi="Book Antiqua"/>
          <w:b/>
          <w:sz w:val="52"/>
          <w:lang w:val="es-ES"/>
        </w:rPr>
        <w:t>10</w:t>
      </w:r>
      <w:r w:rsidR="00BD1E39">
        <w:rPr>
          <w:rFonts w:ascii="Book Antiqua" w:hAnsi="Book Antiqua"/>
          <w:b/>
          <w:sz w:val="52"/>
          <w:lang w:val="es-ES"/>
        </w:rPr>
        <w:t>4</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08621A70"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5B6F185C" w:rsidR="00D71003" w:rsidRPr="00160853" w:rsidRDefault="008C3756"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21 </w:t>
      </w:r>
      <w:r w:rsidR="00D71003" w:rsidRPr="00160853">
        <w:rPr>
          <w:rFonts w:ascii="Book Antiqua" w:hAnsi="Book Antiqua"/>
          <w:color w:val="000000" w:themeColor="text1"/>
          <w:sz w:val="22"/>
          <w:szCs w:val="18"/>
          <w:lang w:val="es-PR"/>
        </w:rPr>
        <w:t xml:space="preserve"> DE</w:t>
      </w:r>
      <w:r w:rsidR="00217FF3">
        <w:rPr>
          <w:rFonts w:ascii="Book Antiqua" w:hAnsi="Book Antiqua"/>
          <w:color w:val="000000" w:themeColor="text1"/>
          <w:sz w:val="22"/>
          <w:szCs w:val="18"/>
          <w:lang w:val="es-PR"/>
        </w:rPr>
        <w:t xml:space="preserve"> </w:t>
      </w:r>
      <w:r w:rsidR="00046FF1">
        <w:rPr>
          <w:rFonts w:ascii="Book Antiqua" w:hAnsi="Book Antiqua"/>
          <w:color w:val="000000" w:themeColor="text1"/>
          <w:sz w:val="22"/>
          <w:szCs w:val="18"/>
          <w:lang w:val="es-PR"/>
        </w:rPr>
        <w:t>ABRIL</w:t>
      </w:r>
      <w:r w:rsidR="00046FF1">
        <w:rPr>
          <w:rFonts w:ascii="Book Antiqua" w:hAnsi="Book Antiqua"/>
          <w:color w:val="000000" w:themeColor="text1"/>
          <w:sz w:val="22"/>
          <w:szCs w:val="18"/>
          <w:lang w:val="es-PR"/>
        </w:rPr>
        <w:tab/>
      </w:r>
      <w:r w:rsidR="00C120CE">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217FF3">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0DA4D8BA" w14:textId="77777777" w:rsidR="003254DE" w:rsidRPr="003254DE" w:rsidRDefault="003254DE" w:rsidP="003254DE">
      <w:pPr>
        <w:spacing w:before="100" w:beforeAutospacing="1" w:after="100" w:afterAutospacing="1"/>
        <w:ind w:firstLine="720"/>
        <w:jc w:val="both"/>
        <w:rPr>
          <w:rFonts w:ascii="Book Antiqua" w:hAnsi="Book Antiqua"/>
          <w:lang w:val="es-PR"/>
        </w:rPr>
      </w:pPr>
      <w:bookmarkStart w:id="0" w:name="_Hlk191047724"/>
      <w:r w:rsidRPr="003254DE">
        <w:rPr>
          <w:rFonts w:ascii="Book Antiqua" w:hAnsi="Book Antiqua"/>
          <w:lang w:val="es-PR"/>
        </w:rPr>
        <w:t xml:space="preserve">La Comisión de Educación de la Cámara de Representantes, tras un exhaustivo análisis y evaluación, recomienda respetuosamente a este Honorable Cuerpo Legislativo la aprobación de la Resolución Conjunta del Senado 104 (en adelante, R. C. del S. 104), a través del presente Informe Positivo, que incorpora las enmiendas sugeridas al título, según se detallan en el </w:t>
      </w:r>
      <w:proofErr w:type="spellStart"/>
      <w:r w:rsidRPr="003254DE">
        <w:rPr>
          <w:rFonts w:ascii="Book Antiqua" w:hAnsi="Book Antiqua"/>
          <w:lang w:val="es-PR"/>
        </w:rPr>
        <w:t>entirillado</w:t>
      </w:r>
      <w:proofErr w:type="spellEnd"/>
      <w:r w:rsidRPr="003254DE">
        <w:rPr>
          <w:rFonts w:ascii="Book Antiqua" w:hAnsi="Book Antiqua"/>
          <w:lang w:val="es-PR"/>
        </w:rPr>
        <w:t xml:space="preserve"> electrónico que se acompaña.</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720EF5D6" w14:textId="03C7FF40" w:rsidR="00DE5604" w:rsidRPr="00C1650E" w:rsidRDefault="002E36C3" w:rsidP="00FA6951">
      <w:pPr>
        <w:ind w:firstLine="720"/>
        <w:jc w:val="both"/>
        <w:rPr>
          <w:rFonts w:ascii="Book Antiqua" w:hAnsi="Book Antiqua"/>
          <w:szCs w:val="24"/>
          <w:lang w:val="es-PR"/>
        </w:rPr>
      </w:pPr>
      <w:r>
        <w:rPr>
          <w:rFonts w:ascii="Book Antiqua" w:hAnsi="Book Antiqua"/>
          <w:szCs w:val="24"/>
          <w:lang w:val="es-ES_tradnl"/>
        </w:rPr>
        <w:t>La</w:t>
      </w:r>
      <w:r w:rsidR="0044004B">
        <w:rPr>
          <w:rFonts w:ascii="Book Antiqua" w:hAnsi="Book Antiqua"/>
          <w:szCs w:val="24"/>
          <w:lang w:val="es-ES_tradnl"/>
        </w:rPr>
        <w:t xml:space="preserve"> </w:t>
      </w:r>
      <w:r>
        <w:rPr>
          <w:rFonts w:ascii="Book Antiqua" w:hAnsi="Book Antiqua"/>
          <w:szCs w:val="24"/>
          <w:lang w:val="es-ES_tradnl"/>
        </w:rPr>
        <w:t>R.C. del S. 10</w:t>
      </w:r>
      <w:r w:rsidR="00BD1E39">
        <w:rPr>
          <w:rFonts w:ascii="Book Antiqua" w:hAnsi="Book Antiqua"/>
          <w:szCs w:val="24"/>
          <w:lang w:val="es-ES_tradnl"/>
        </w:rPr>
        <w:t>4</w:t>
      </w:r>
      <w:r w:rsidR="003B48DE">
        <w:rPr>
          <w:rFonts w:ascii="Book Antiqua" w:hAnsi="Book Antiqua"/>
          <w:szCs w:val="24"/>
          <w:lang w:val="es-ES_tradnl"/>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6271D1" w:rsidRPr="00C1650E">
        <w:rPr>
          <w:rFonts w:ascii="Book Antiqua" w:hAnsi="Book Antiqua"/>
          <w:szCs w:val="24"/>
          <w:lang w:val="es-PR"/>
        </w:rPr>
        <w:t xml:space="preserve"> </w:t>
      </w:r>
      <w:r w:rsidR="000A0416" w:rsidRPr="000A0416">
        <w:rPr>
          <w:rFonts w:ascii="Book Antiqua" w:hAnsi="Book Antiqua"/>
          <w:szCs w:val="24"/>
          <w:lang w:val="es-PR"/>
        </w:rPr>
        <w:t>declarar Patrimonio Cultural del Municipio de Cidra, la Tuna Estudiantil de Cidra; y para otros fines relacionados.</w:t>
      </w:r>
    </w:p>
    <w:p w14:paraId="5BF29253" w14:textId="4012ABF4" w:rsidR="00FA6951" w:rsidRPr="00C1650E" w:rsidRDefault="00FA6951" w:rsidP="00FA6951">
      <w:pPr>
        <w:ind w:firstLine="720"/>
        <w:jc w:val="both"/>
        <w:rPr>
          <w:rFonts w:ascii="Book Antiqua" w:hAnsi="Book Antiqua"/>
          <w:lang w:val="es-ES_tradnl"/>
        </w:rPr>
      </w:pPr>
    </w:p>
    <w:p w14:paraId="26C62843" w14:textId="4400E99D" w:rsidR="00364902" w:rsidRPr="00C1650E" w:rsidRDefault="00364902" w:rsidP="001A4DCF">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045347F7" w14:textId="77777777" w:rsid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La Exposición de Motivos de la pieza legislativa destaca que la Tuna Estudiantil de Cidra, fundada en 1972 por Brunilda Vázquez y Eduardo Gil, constituye una institución cultural clave del Municipio Autónomo de Cidra. Surgida como un proyecto escolar innovador, ha servido durante más de cincuenta años como un espacio educativo, artístico y comunitario para estudiantes del distrito y, desde 2017, para los de la Escuela Especializada en Música Jesús T. Piñero.</w:t>
      </w:r>
    </w:p>
    <w:p w14:paraId="64BA3AEE" w14:textId="7CD7F808"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 xml:space="preserve">A lo largo de su trayectoria, la Tuna ha realizado numerosas presentaciones, grabaciones y colaboraciones con reconocidos artistas, además de representar a Cidra en eventos locales, nacionales e internacionales. Su aportación se ha mantenido firme pese a </w:t>
      </w:r>
      <w:r w:rsidRPr="003B48DE">
        <w:rPr>
          <w:rFonts w:ascii="Book Antiqua" w:hAnsi="Book Antiqua"/>
          <w:szCs w:val="24"/>
          <w:lang w:val="es-PR"/>
        </w:rPr>
        <w:lastRenderedPageBreak/>
        <w:t>desafíos institucionales, económicos y desastres naturales, gracias al compromiso de maestros, estudiantes, padres y miembros de la comunidad.</w:t>
      </w:r>
    </w:p>
    <w:p w14:paraId="57739D31" w14:textId="77777777" w:rsidR="003B48DE" w:rsidRPr="003B48DE" w:rsidRDefault="003B48DE" w:rsidP="003B48DE">
      <w:pPr>
        <w:spacing w:before="100" w:beforeAutospacing="1" w:after="100" w:afterAutospacing="1"/>
        <w:jc w:val="both"/>
        <w:rPr>
          <w:rFonts w:ascii="Book Antiqua" w:hAnsi="Book Antiqua"/>
          <w:szCs w:val="24"/>
          <w:lang w:val="es-PR"/>
        </w:rPr>
      </w:pPr>
      <w:r w:rsidRPr="003B48DE">
        <w:rPr>
          <w:rFonts w:ascii="Book Antiqua" w:hAnsi="Book Antiqua"/>
          <w:szCs w:val="24"/>
          <w:lang w:val="es-PR"/>
        </w:rPr>
        <w:t xml:space="preserve">La Tuna ha formado generaciones de jóvenes en la cultura, la disciplina y el servicio, consolidándose como un símbolo de resiliencia y tradición </w:t>
      </w:r>
      <w:proofErr w:type="spellStart"/>
      <w:r w:rsidRPr="003B48DE">
        <w:rPr>
          <w:rFonts w:ascii="Book Antiqua" w:hAnsi="Book Antiqua"/>
          <w:szCs w:val="24"/>
          <w:lang w:val="es-PR"/>
        </w:rPr>
        <w:t>cidreña</w:t>
      </w:r>
      <w:proofErr w:type="spellEnd"/>
      <w:r w:rsidRPr="003B48DE">
        <w:rPr>
          <w:rFonts w:ascii="Book Antiqua" w:hAnsi="Book Antiqua"/>
          <w:szCs w:val="24"/>
          <w:lang w:val="es-PR"/>
        </w:rPr>
        <w:t>. Por ello, y en reconocimiento al esfuerzo de sus dirigentes, integrantes y colaboradores, se considera meritorio declarar esta institución como Patrimonio Cultural de Cidra y de Puerto Rico.</w:t>
      </w:r>
    </w:p>
    <w:p w14:paraId="6D6403C5" w14:textId="77777777" w:rsidR="004E4E62" w:rsidRPr="00C1650E" w:rsidRDefault="00B7320F" w:rsidP="003B48DE">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0776C7C3" w14:textId="77777777" w:rsidR="003B48DE" w:rsidRDefault="004E4E62" w:rsidP="003B48DE">
      <w:pPr>
        <w:spacing w:before="100" w:beforeAutospacing="1" w:after="100" w:afterAutospacing="1"/>
        <w:jc w:val="both"/>
        <w:rPr>
          <w:rFonts w:ascii="Book Antiqua" w:hAnsi="Book Antiqua"/>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3B48DE" w:rsidRPr="003B48DE">
        <w:rPr>
          <w:rFonts w:ascii="Book Antiqua" w:hAnsi="Book Antiqua"/>
          <w:lang w:val="es-PR"/>
        </w:rPr>
        <w:t>Para la evaluación y el análisis de la R. C. del S. 104, se solicitaron memoriales explicativos al Departamento de Educación de Puerto Rico, al Municipio de Cidra y a la Oficina Estatal de Conservación Histórica.</w:t>
      </w:r>
    </w:p>
    <w:p w14:paraId="650D8896" w14:textId="77777777" w:rsidR="003B48DE" w:rsidRDefault="003B48DE" w:rsidP="003B48DE">
      <w:pPr>
        <w:spacing w:before="100" w:beforeAutospacing="1" w:after="100" w:afterAutospacing="1"/>
        <w:ind w:firstLine="720"/>
        <w:jc w:val="both"/>
        <w:rPr>
          <w:rFonts w:ascii="Book Antiqua" w:hAnsi="Book Antiqua"/>
          <w:lang w:val="es-PR"/>
        </w:rPr>
      </w:pPr>
      <w:r w:rsidRPr="003B48DE">
        <w:rPr>
          <w:rFonts w:ascii="Book Antiqua" w:hAnsi="Book Antiqua"/>
          <w:szCs w:val="24"/>
          <w:lang w:val="es-PR"/>
        </w:rPr>
        <w:t>En cumplimiento con nuestra responsabilidad legislativa, y con el propósito de contar con el insumo necesario, los memoriales recibidos fueron debidamente evaluados y analizados para la preparación del presente informe.</w:t>
      </w:r>
    </w:p>
    <w:p w14:paraId="5CCF44CB" w14:textId="36AEA570" w:rsidR="003B48DE" w:rsidRPr="003B48DE" w:rsidRDefault="003B48DE" w:rsidP="003B48DE">
      <w:pPr>
        <w:spacing w:before="100" w:beforeAutospacing="1" w:after="100" w:afterAutospacing="1"/>
        <w:ind w:firstLine="720"/>
        <w:jc w:val="both"/>
        <w:rPr>
          <w:rFonts w:ascii="Book Antiqua" w:hAnsi="Book Antiqua"/>
          <w:lang w:val="es-PR"/>
        </w:rPr>
      </w:pPr>
      <w:r w:rsidRPr="003B48DE">
        <w:rPr>
          <w:rFonts w:ascii="Book Antiqua" w:hAnsi="Book Antiqua"/>
          <w:szCs w:val="24"/>
          <w:lang w:val="es-PR"/>
        </w:rPr>
        <w:t>A continuación, se presenta un resumen detallado de los comentarios provistos por las entidades gubernamentales antes mencionadas:</w:t>
      </w:r>
    </w:p>
    <w:p w14:paraId="1B81B8A0" w14:textId="168EF624" w:rsidR="00BD1E39" w:rsidRDefault="00BD1E39" w:rsidP="003B48DE">
      <w:pPr>
        <w:spacing w:before="100" w:beforeAutospacing="1" w:after="100" w:afterAutospacing="1"/>
        <w:jc w:val="center"/>
        <w:rPr>
          <w:rFonts w:ascii="Book Antiqua" w:hAnsi="Book Antiqua"/>
          <w:b/>
          <w:bCs/>
          <w:szCs w:val="24"/>
          <w:lang w:val="es-PR"/>
        </w:rPr>
      </w:pPr>
      <w:r w:rsidRPr="00BD1E39">
        <w:rPr>
          <w:rFonts w:ascii="Book Antiqua" w:hAnsi="Book Antiqua"/>
          <w:b/>
          <w:bCs/>
          <w:szCs w:val="24"/>
          <w:lang w:val="es-PR"/>
        </w:rPr>
        <w:t>DEPARTAMENTO DE EDUCACION DE PUERTO RICO</w:t>
      </w:r>
    </w:p>
    <w:p w14:paraId="5D72787B"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 xml:space="preserve">El Departamento de Educación de Puerto Rico (en adelante, DEPR), representado por su </w:t>
      </w:r>
      <w:proofErr w:type="gramStart"/>
      <w:r w:rsidRPr="003B48DE">
        <w:rPr>
          <w:rFonts w:ascii="Book Antiqua" w:hAnsi="Book Antiqua"/>
          <w:szCs w:val="24"/>
          <w:lang w:val="es-PR"/>
        </w:rPr>
        <w:t>Secretario</w:t>
      </w:r>
      <w:proofErr w:type="gramEnd"/>
      <w:r w:rsidRPr="003B48DE">
        <w:rPr>
          <w:rFonts w:ascii="Book Antiqua" w:hAnsi="Book Antiqua"/>
          <w:szCs w:val="24"/>
          <w:lang w:val="es-PR"/>
        </w:rPr>
        <w:t>, Lcdo. Eliezer Ramos Parés, remitió sus comentarios en relación con la R. C. del S. 104.</w:t>
      </w:r>
    </w:p>
    <w:p w14:paraId="0B84F236"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El DEPR expresó una valoración positiva sobre la medida, al entender que reconoce de manera justa y necesaria la importancia histórica y cultural de la Tuna Estudiantil de Cidra. Destacó que esta agrupación ha constituido un espacio educativo y cultural significativo para generaciones de estudiantes, brindándoles disciplina, creatividad y un profundo sentido de compromiso social.</w:t>
      </w:r>
    </w:p>
    <w:p w14:paraId="064CA7D6"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 xml:space="preserve">La agencia afirmó que la aprobación de esta medida reafirma el compromiso legislativo con la protección de manifestaciones culturales que enriquecen la vida comunitaria y fortalecen la identidad puertorriqueña. Subrayó que, con más de cinco décadas de trayectoria, la Tuna representa un símbolo vivo de la cultura </w:t>
      </w:r>
      <w:proofErr w:type="spellStart"/>
      <w:r w:rsidRPr="003B48DE">
        <w:rPr>
          <w:rFonts w:ascii="Book Antiqua" w:hAnsi="Book Antiqua"/>
          <w:szCs w:val="24"/>
          <w:lang w:val="es-PR"/>
        </w:rPr>
        <w:t>cidreña</w:t>
      </w:r>
      <w:proofErr w:type="spellEnd"/>
      <w:r w:rsidRPr="003B48DE">
        <w:rPr>
          <w:rFonts w:ascii="Book Antiqua" w:hAnsi="Book Antiqua"/>
          <w:szCs w:val="24"/>
          <w:lang w:val="es-PR"/>
        </w:rPr>
        <w:t xml:space="preserve"> y un ejemplo del poder transformador de la música.</w:t>
      </w:r>
    </w:p>
    <w:p w14:paraId="74DEB0B5" w14:textId="5C28BC91" w:rsidR="00394108" w:rsidRDefault="00394108" w:rsidP="00394108">
      <w:pPr>
        <w:spacing w:before="100" w:beforeAutospacing="1" w:after="100" w:afterAutospacing="1"/>
        <w:ind w:firstLine="720"/>
        <w:jc w:val="center"/>
        <w:rPr>
          <w:rFonts w:ascii="Book Antiqua" w:hAnsi="Book Antiqua"/>
          <w:b/>
          <w:bCs/>
          <w:szCs w:val="24"/>
          <w:lang w:val="es-PR"/>
        </w:rPr>
      </w:pPr>
      <w:r w:rsidRPr="00394108">
        <w:rPr>
          <w:rFonts w:ascii="Book Antiqua" w:hAnsi="Book Antiqua"/>
          <w:b/>
          <w:bCs/>
          <w:szCs w:val="24"/>
          <w:lang w:val="es-PR"/>
        </w:rPr>
        <w:t>MUNICIPIO DE CIDRA</w:t>
      </w:r>
    </w:p>
    <w:p w14:paraId="23FDA1A8"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 xml:space="preserve">El Municipio de Cidra, representado por la </w:t>
      </w:r>
      <w:proofErr w:type="gramStart"/>
      <w:r w:rsidRPr="003B48DE">
        <w:rPr>
          <w:rFonts w:ascii="Book Antiqua" w:hAnsi="Book Antiqua"/>
          <w:szCs w:val="24"/>
          <w:lang w:val="es-PR"/>
        </w:rPr>
        <w:t>Secretaria</w:t>
      </w:r>
      <w:proofErr w:type="gramEnd"/>
      <w:r w:rsidRPr="003B48DE">
        <w:rPr>
          <w:rFonts w:ascii="Book Antiqua" w:hAnsi="Book Antiqua"/>
          <w:szCs w:val="24"/>
          <w:lang w:val="es-PR"/>
        </w:rPr>
        <w:t xml:space="preserve"> de la Legislatura Municipal, Dayanara Casillas Vicente, presentó la Ordenanza Municipal Núm. 03, Serie 2025</w:t>
      </w:r>
      <w:r w:rsidRPr="003B48DE">
        <w:rPr>
          <w:rFonts w:ascii="Book Antiqua" w:hAnsi="Book Antiqua"/>
          <w:szCs w:val="24"/>
          <w:lang w:val="es-PR"/>
        </w:rPr>
        <w:noBreakHyphen/>
        <w:t>2026 (en adelante, la Ordenanza), mediante la cual se declara a la Tuna Estudiantil de Cidra como Patrimonio Cultural Municipal.</w:t>
      </w:r>
    </w:p>
    <w:p w14:paraId="542F7675"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lastRenderedPageBreak/>
        <w:t>Según la Ordenanza, la Tuna ha sido, por más de cinco décadas, una institución musical fundamental dedicada a la formación artística, ciudadana y comunitaria de estudiantes del distrito escolar y, desde 2017, de la Escuela Especializada en Música Jesús T. Piñero. El documento resalta sus presentaciones, grabaciones y colaboraciones con reconocidos artistas, así como su participación representando al municipio en escenarios nacionales e internacionales. Asimismo, subraya su función en el desarrollo de valores como la disciplina, el liderazgo y el compromiso social, además de su capacidad de resiliencia frente a limitaciones presupuestarias, desastres naturales y la pandemia del COVID</w:t>
      </w:r>
      <w:r w:rsidRPr="003B48DE">
        <w:rPr>
          <w:rFonts w:ascii="Book Antiqua" w:hAnsi="Book Antiqua"/>
          <w:szCs w:val="24"/>
          <w:lang w:val="es-PR"/>
        </w:rPr>
        <w:noBreakHyphen/>
        <w:t>19.</w:t>
      </w:r>
    </w:p>
    <w:p w14:paraId="3BE04AD5" w14:textId="77777777"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Tanto el Municipio de Cidra como su Legislatura Municipal sostienen que institucionalizar la Tuna Estudiantil resulta esencial para asegurar la continuidad de una tradición cultural que promueve la participación juvenil, fortalece los valores comunitarios y contribuye al desarrollo integral de la niñez y la juventud.</w:t>
      </w:r>
    </w:p>
    <w:p w14:paraId="4CBD6A9F" w14:textId="5274B953" w:rsidR="00394108" w:rsidRDefault="00394108" w:rsidP="00234D61">
      <w:pPr>
        <w:spacing w:before="100" w:beforeAutospacing="1" w:after="100" w:afterAutospacing="1"/>
        <w:jc w:val="center"/>
        <w:rPr>
          <w:rFonts w:ascii="Book Antiqua" w:hAnsi="Book Antiqua"/>
          <w:b/>
          <w:bCs/>
          <w:szCs w:val="24"/>
          <w:lang w:val="es-PR"/>
        </w:rPr>
      </w:pPr>
      <w:r w:rsidRPr="00394108">
        <w:rPr>
          <w:rFonts w:ascii="Book Antiqua" w:hAnsi="Book Antiqua"/>
          <w:b/>
          <w:bCs/>
          <w:szCs w:val="24"/>
          <w:lang w:val="es-PR"/>
        </w:rPr>
        <w:t>OFICINA ESTATAL DE CONSERVACI</w:t>
      </w:r>
      <w:r w:rsidR="00A20767">
        <w:rPr>
          <w:rFonts w:ascii="Book Antiqua" w:hAnsi="Book Antiqua"/>
          <w:b/>
          <w:bCs/>
          <w:szCs w:val="24"/>
          <w:lang w:val="es-PR"/>
        </w:rPr>
        <w:t>Ó</w:t>
      </w:r>
      <w:r w:rsidRPr="00394108">
        <w:rPr>
          <w:rFonts w:ascii="Book Antiqua" w:hAnsi="Book Antiqua"/>
          <w:b/>
          <w:bCs/>
          <w:szCs w:val="24"/>
          <w:lang w:val="es-PR"/>
        </w:rPr>
        <w:t>N HIST</w:t>
      </w:r>
      <w:r w:rsidR="00A20767">
        <w:rPr>
          <w:rFonts w:ascii="Book Antiqua" w:hAnsi="Book Antiqua"/>
          <w:b/>
          <w:bCs/>
          <w:szCs w:val="24"/>
          <w:lang w:val="es-PR"/>
        </w:rPr>
        <w:t>Ó</w:t>
      </w:r>
      <w:r w:rsidRPr="00394108">
        <w:rPr>
          <w:rFonts w:ascii="Book Antiqua" w:hAnsi="Book Antiqua"/>
          <w:b/>
          <w:bCs/>
          <w:szCs w:val="24"/>
          <w:lang w:val="es-PR"/>
        </w:rPr>
        <w:t>RICA</w:t>
      </w:r>
    </w:p>
    <w:p w14:paraId="3ABFE9F5" w14:textId="77777777" w:rsid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La Oficina Estatal de Conservación Histórica (en adelante, OECH), representada por su Oficial Estatal, Carlos A. Rubio Cancela, informó que, conforme a su creación bajo la Ley 183</w:t>
      </w:r>
      <w:r w:rsidRPr="003B48DE">
        <w:rPr>
          <w:rFonts w:ascii="Book Antiqua" w:hAnsi="Book Antiqua"/>
          <w:szCs w:val="24"/>
          <w:lang w:val="es-PR"/>
        </w:rPr>
        <w:noBreakHyphen/>
        <w:t>2000 y la legislación federal aplicable, su función principal es ofrecer asistencia técnica para la conservación de propiedades históricas.</w:t>
      </w:r>
    </w:p>
    <w:p w14:paraId="09F2BB76" w14:textId="1A51448F" w:rsidR="003B48DE" w:rsidRPr="003B48DE" w:rsidRDefault="003B48DE" w:rsidP="003B48DE">
      <w:pPr>
        <w:spacing w:before="100" w:beforeAutospacing="1" w:after="100" w:afterAutospacing="1"/>
        <w:ind w:firstLine="720"/>
        <w:jc w:val="both"/>
        <w:rPr>
          <w:rFonts w:ascii="Book Antiqua" w:hAnsi="Book Antiqua"/>
          <w:szCs w:val="24"/>
          <w:lang w:val="es-PR"/>
        </w:rPr>
      </w:pPr>
      <w:r w:rsidRPr="003B48DE">
        <w:rPr>
          <w:rFonts w:ascii="Book Antiqua" w:hAnsi="Book Antiqua"/>
          <w:szCs w:val="24"/>
          <w:lang w:val="es-PR"/>
        </w:rPr>
        <w:t>La agencia considera meritorio el propósito de la R. C. del S. 104 al reconocer la aportación musical de la Tuna Estudiantil de Cidra como parte del patrimonio intangible del municipio. No obstante, la OECH aclaró que no emite comentarios adicionales sobre la medida, ya que el patrimonio intangible no forma parte de su jurisdicción ni de su área de competencia.</w:t>
      </w:r>
    </w:p>
    <w:p w14:paraId="08C63446" w14:textId="2E622654" w:rsidR="000871B0" w:rsidRPr="00C1650E" w:rsidRDefault="000871B0" w:rsidP="000871B0">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4118B517" w14:textId="77777777" w:rsidR="00EC4C69" w:rsidRPr="00EC4C69" w:rsidRDefault="000871B0" w:rsidP="00EC4C69">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EC4C69" w:rsidRPr="00EC4C69">
        <w:rPr>
          <w:rFonts w:ascii="Book Antiqua" w:hAnsi="Book Antiqua"/>
          <w:szCs w:val="24"/>
          <w:lang w:val="es-PR"/>
        </w:rPr>
        <w:t>Conforme al análisis y los hallazgos relacionados con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77308AA4" w14:textId="77777777" w:rsidR="00EC4C69" w:rsidRDefault="00EC4C69" w:rsidP="00EC4C69">
      <w:pPr>
        <w:spacing w:before="100" w:beforeAutospacing="1"/>
        <w:ind w:firstLine="720"/>
        <w:jc w:val="both"/>
        <w:rPr>
          <w:rFonts w:ascii="Book Antiqua" w:hAnsi="Book Antiqua"/>
          <w:color w:val="000000" w:themeColor="text1"/>
          <w:lang w:val="es-PR"/>
        </w:rPr>
      </w:pPr>
      <w:r w:rsidRPr="00EC4C69">
        <w:rPr>
          <w:rFonts w:ascii="Book Antiqua" w:hAnsi="Book Antiqua"/>
          <w:color w:val="000000" w:themeColor="text1"/>
          <w:lang w:val="es-PR"/>
        </w:rPr>
        <w:t>La Comisión de Educación</w:t>
      </w:r>
      <w:r>
        <w:rPr>
          <w:rFonts w:ascii="Book Antiqua" w:hAnsi="Book Antiqua"/>
          <w:color w:val="000000" w:themeColor="text1"/>
          <w:lang w:val="es-PR"/>
        </w:rPr>
        <w:t xml:space="preserve"> de la Cámara de Representantes</w:t>
      </w:r>
      <w:r w:rsidRPr="00EC4C69">
        <w:rPr>
          <w:rFonts w:ascii="Book Antiqua" w:hAnsi="Book Antiqua"/>
          <w:color w:val="000000" w:themeColor="text1"/>
          <w:lang w:val="es-PR"/>
        </w:rPr>
        <w:t xml:space="preserve"> ha llevado a cabo un análisis detallado de las comunicaciones recibidas. Las agencias consultadas han expresado su respaldo a la medida.</w:t>
      </w:r>
    </w:p>
    <w:p w14:paraId="7743C7DB" w14:textId="77777777" w:rsidR="00EC4C69" w:rsidRDefault="00EC4C69" w:rsidP="00EC4C69">
      <w:pPr>
        <w:spacing w:before="100" w:beforeAutospacing="1"/>
        <w:ind w:firstLine="720"/>
        <w:jc w:val="both"/>
        <w:rPr>
          <w:rFonts w:ascii="Book Antiqua" w:hAnsi="Book Antiqua"/>
          <w:color w:val="000000" w:themeColor="text1"/>
          <w:lang w:val="es-PR"/>
        </w:rPr>
      </w:pPr>
      <w:r w:rsidRPr="00EC4C69">
        <w:rPr>
          <w:rFonts w:ascii="Book Antiqua" w:hAnsi="Book Antiqua"/>
          <w:color w:val="000000" w:themeColor="text1"/>
          <w:lang w:val="es-PR"/>
        </w:rPr>
        <w:t xml:space="preserve">Las posiciones evaluadas reflejan un apoyo amplio y consistente: tanto el Municipio de Cidra como el DEPR destacan el valor educativo, artístico y comunitario de la Tuna Estudiantil de Cidra. Por su parte, la OECH, aunque reconoce el mérito de la </w:t>
      </w:r>
      <w:r w:rsidRPr="00EC4C69">
        <w:rPr>
          <w:rFonts w:ascii="Book Antiqua" w:hAnsi="Book Antiqua"/>
          <w:color w:val="000000" w:themeColor="text1"/>
          <w:lang w:val="es-PR"/>
        </w:rPr>
        <w:lastRenderedPageBreak/>
        <w:t>medida, señala que el patrimonio intangible excede su jurisdicción, sin que ello represente objeción alguna al reconocimiento propuesto.</w:t>
      </w:r>
    </w:p>
    <w:p w14:paraId="63DC515C" w14:textId="77777777" w:rsidR="00EC4C69" w:rsidRDefault="00EC4C69" w:rsidP="00EC4C69">
      <w:pPr>
        <w:spacing w:before="100" w:beforeAutospacing="1"/>
        <w:ind w:firstLine="720"/>
        <w:jc w:val="both"/>
        <w:rPr>
          <w:rFonts w:ascii="Book Antiqua" w:hAnsi="Book Antiqua"/>
          <w:color w:val="000000" w:themeColor="text1"/>
          <w:lang w:val="es-PR"/>
        </w:rPr>
      </w:pPr>
      <w:r w:rsidRPr="00EC4C69">
        <w:rPr>
          <w:rFonts w:ascii="Book Antiqua" w:hAnsi="Book Antiqua"/>
          <w:color w:val="000000" w:themeColor="text1"/>
          <w:lang w:val="es-PR"/>
        </w:rPr>
        <w:t>En conjunto, las perspectivas recibidas subrayan el carácter trascendental de la Tuna Estudiantil de Cidra como institución cultural viva, resiliente y emblemática. La evidencia presentada demuestra que su aportación al desarrollo artístico, comunitario y formativo del municipio constituye un legado que merece ser preservado e institucionalizado. Por ello, se estima que la aprobación de la medida es no solo pertinente, sino necesaria para asegurar la continuidad de una tradición que enriquece el acervo cultural de Puerto Rico y fortalece el sentido de pertenencia de las futuras generaciones.</w:t>
      </w:r>
    </w:p>
    <w:p w14:paraId="0F3BA09C" w14:textId="07B2D652" w:rsidR="00EC4C69" w:rsidRPr="00EC4C69" w:rsidRDefault="00EC4C69" w:rsidP="00EC4C69">
      <w:pPr>
        <w:spacing w:before="100" w:beforeAutospacing="1"/>
        <w:ind w:firstLine="720"/>
        <w:jc w:val="both"/>
        <w:rPr>
          <w:rFonts w:ascii="Book Antiqua" w:hAnsi="Book Antiqua"/>
          <w:color w:val="000000" w:themeColor="text1"/>
          <w:lang w:val="es-PR"/>
        </w:rPr>
      </w:pPr>
      <w:r w:rsidRPr="00EC4C69">
        <w:rPr>
          <w:rFonts w:ascii="Book Antiqua" w:hAnsi="Book Antiqua"/>
          <w:b/>
          <w:bCs/>
          <w:color w:val="000000" w:themeColor="text1"/>
          <w:lang w:val="es-PR"/>
        </w:rPr>
        <w:t>POR LO ANTES EXPUESTO,</w:t>
      </w:r>
      <w:r w:rsidRPr="00EC4C69">
        <w:rPr>
          <w:rFonts w:ascii="Book Antiqua" w:hAnsi="Book Antiqua"/>
          <w:color w:val="000000" w:themeColor="text1"/>
          <w:lang w:val="es-PR"/>
        </w:rPr>
        <w:t xml:space="preserve"> la Comisión de Educación </w:t>
      </w:r>
      <w:r>
        <w:rPr>
          <w:rFonts w:ascii="Book Antiqua" w:hAnsi="Book Antiqua"/>
          <w:color w:val="000000" w:themeColor="text1"/>
          <w:lang w:val="es-PR"/>
        </w:rPr>
        <w:t>de la Cá</w:t>
      </w:r>
      <w:r w:rsidR="00E0795F">
        <w:rPr>
          <w:rFonts w:ascii="Book Antiqua" w:hAnsi="Book Antiqua"/>
          <w:color w:val="000000" w:themeColor="text1"/>
          <w:lang w:val="es-PR"/>
        </w:rPr>
        <w:t>m</w:t>
      </w:r>
      <w:r>
        <w:rPr>
          <w:rFonts w:ascii="Book Antiqua" w:hAnsi="Book Antiqua"/>
          <w:color w:val="000000" w:themeColor="text1"/>
          <w:lang w:val="es-PR"/>
        </w:rPr>
        <w:t xml:space="preserve">ara de representantes </w:t>
      </w:r>
      <w:r w:rsidRPr="00EC4C69">
        <w:rPr>
          <w:rFonts w:ascii="Book Antiqua" w:hAnsi="Book Antiqua"/>
          <w:color w:val="000000" w:themeColor="text1"/>
          <w:lang w:val="es-PR"/>
        </w:rPr>
        <w:t xml:space="preserve">recomienda la aprobación de la R. C. del S. 104, mediante el presente Informe Positivo, incorporando las enmiendas sugeridas al título, según se detallan en el </w:t>
      </w:r>
      <w:proofErr w:type="spellStart"/>
      <w:r w:rsidRPr="00EC4C69">
        <w:rPr>
          <w:rFonts w:ascii="Book Antiqua" w:hAnsi="Book Antiqua"/>
          <w:color w:val="000000" w:themeColor="text1"/>
          <w:lang w:val="es-PR"/>
        </w:rPr>
        <w:t>entirillado</w:t>
      </w:r>
      <w:proofErr w:type="spellEnd"/>
      <w:r w:rsidRPr="00EC4C69">
        <w:rPr>
          <w:rFonts w:ascii="Book Antiqua" w:hAnsi="Book Antiqua"/>
          <w:color w:val="000000" w:themeColor="text1"/>
          <w:lang w:val="es-PR"/>
        </w:rPr>
        <w:t xml:space="preserve"> electrónico que se acompaña.</w:t>
      </w: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32961CC3" w14:textId="77777777" w:rsidR="00F70E67" w:rsidRDefault="00F70E67" w:rsidP="003D6317">
      <w:pPr>
        <w:spacing w:before="100" w:beforeAutospacing="1"/>
        <w:rPr>
          <w:rFonts w:ascii="Book Antiqua" w:hAnsi="Book Antiqua"/>
          <w:color w:val="000000" w:themeColor="text1"/>
          <w:lang w:val="es-PR"/>
        </w:rPr>
      </w:pPr>
    </w:p>
    <w:p w14:paraId="31CAA1EC" w14:textId="77777777" w:rsidR="00EC4C69" w:rsidRPr="00C1650E" w:rsidRDefault="00EC4C69"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35587" w14:textId="77777777" w:rsidR="00907A45" w:rsidRDefault="00907A45">
      <w:r>
        <w:separator/>
      </w:r>
    </w:p>
  </w:endnote>
  <w:endnote w:type="continuationSeparator" w:id="0">
    <w:p w14:paraId="444BE8C1" w14:textId="77777777" w:rsidR="00907A45" w:rsidRDefault="0090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4FDD9" w14:textId="77777777" w:rsidR="00907A45" w:rsidRDefault="00907A45">
      <w:r>
        <w:separator/>
      </w:r>
    </w:p>
  </w:footnote>
  <w:footnote w:type="continuationSeparator" w:id="0">
    <w:p w14:paraId="337FB428" w14:textId="77777777" w:rsidR="00907A45" w:rsidRDefault="00907A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6675AB6D" w:rsidR="00F042CB" w:rsidRPr="00487A4D" w:rsidRDefault="00487A4D" w:rsidP="00487A4D">
    <w:pPr>
      <w:pStyle w:val="Header"/>
      <w:rPr>
        <w:lang w:val="es-PR"/>
      </w:rPr>
    </w:pPr>
    <w:r w:rsidRPr="00C1650E">
      <w:rPr>
        <w:rStyle w:val="PageNumber"/>
        <w:lang w:val="es-PR"/>
      </w:rPr>
      <w:t xml:space="preserve">Informe Positivo sobre </w:t>
    </w:r>
    <w:r w:rsidR="00394108">
      <w:rPr>
        <w:rStyle w:val="PageNumber"/>
        <w:lang w:val="es-PR"/>
      </w:rPr>
      <w:t>la R.C. del S. 10</w:t>
    </w:r>
    <w:r w:rsidR="00BD1E39">
      <w:rPr>
        <w:rStyle w:val="PageNumber"/>
        <w:lang w:val="es-PR"/>
      </w:rPr>
      <w:t>4</w:t>
    </w:r>
    <w:r w:rsidRPr="00C1650E">
      <w:rPr>
        <w:rStyle w:val="PageNumber"/>
        <w:lang w:val="es-PR"/>
      </w:rPr>
      <w:t xml:space="preserve"> </w:t>
    </w:r>
    <w:r w:rsidR="00046FF1">
      <w:rPr>
        <w:rStyle w:val="PageNumber"/>
        <w:lang w:val="es-PR"/>
      </w:rPr>
      <w:tab/>
    </w:r>
    <w:r w:rsidR="00046FF1">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3"/>
  </w:num>
  <w:num w:numId="2" w16cid:durableId="1647583042">
    <w:abstractNumId w:val="4"/>
  </w:num>
  <w:num w:numId="3" w16cid:durableId="31856016">
    <w:abstractNumId w:val="5"/>
  </w:num>
  <w:num w:numId="4" w16cid:durableId="1489134421">
    <w:abstractNumId w:val="0"/>
  </w:num>
  <w:num w:numId="5" w16cid:durableId="639266677">
    <w:abstractNumId w:val="1"/>
  </w:num>
  <w:num w:numId="6" w16cid:durableId="844244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0DB"/>
    <w:rsid w:val="00043DD0"/>
    <w:rsid w:val="00046FF1"/>
    <w:rsid w:val="000518F3"/>
    <w:rsid w:val="00056024"/>
    <w:rsid w:val="00063D87"/>
    <w:rsid w:val="00073275"/>
    <w:rsid w:val="00074D2C"/>
    <w:rsid w:val="00075BAB"/>
    <w:rsid w:val="00080836"/>
    <w:rsid w:val="000871B0"/>
    <w:rsid w:val="00091A87"/>
    <w:rsid w:val="00091F2F"/>
    <w:rsid w:val="00095AE1"/>
    <w:rsid w:val="0009712F"/>
    <w:rsid w:val="000A0416"/>
    <w:rsid w:val="000A6B6C"/>
    <w:rsid w:val="000B0DBB"/>
    <w:rsid w:val="000B4DBB"/>
    <w:rsid w:val="000C2850"/>
    <w:rsid w:val="000C2CBF"/>
    <w:rsid w:val="000C3382"/>
    <w:rsid w:val="000D60DB"/>
    <w:rsid w:val="000E2586"/>
    <w:rsid w:val="000E2DCB"/>
    <w:rsid w:val="000E3D6D"/>
    <w:rsid w:val="000E7F87"/>
    <w:rsid w:val="00105AB1"/>
    <w:rsid w:val="00111E71"/>
    <w:rsid w:val="001127B0"/>
    <w:rsid w:val="00114602"/>
    <w:rsid w:val="00124D9A"/>
    <w:rsid w:val="00127C6A"/>
    <w:rsid w:val="001363FE"/>
    <w:rsid w:val="001606CA"/>
    <w:rsid w:val="00166098"/>
    <w:rsid w:val="0017132B"/>
    <w:rsid w:val="00173F45"/>
    <w:rsid w:val="00174574"/>
    <w:rsid w:val="00187B2B"/>
    <w:rsid w:val="001911C9"/>
    <w:rsid w:val="00193BB7"/>
    <w:rsid w:val="001A062F"/>
    <w:rsid w:val="001A2E09"/>
    <w:rsid w:val="001A36DC"/>
    <w:rsid w:val="001A4A89"/>
    <w:rsid w:val="001A4DCF"/>
    <w:rsid w:val="001D15CB"/>
    <w:rsid w:val="001D6FC5"/>
    <w:rsid w:val="001E15C2"/>
    <w:rsid w:val="001E211C"/>
    <w:rsid w:val="001F1883"/>
    <w:rsid w:val="001F4CA3"/>
    <w:rsid w:val="001F5064"/>
    <w:rsid w:val="001F612A"/>
    <w:rsid w:val="00205FE7"/>
    <w:rsid w:val="00211396"/>
    <w:rsid w:val="00217FF3"/>
    <w:rsid w:val="00220B05"/>
    <w:rsid w:val="00222320"/>
    <w:rsid w:val="00225B9B"/>
    <w:rsid w:val="00226AE6"/>
    <w:rsid w:val="00234D61"/>
    <w:rsid w:val="00245B34"/>
    <w:rsid w:val="0026318A"/>
    <w:rsid w:val="00263355"/>
    <w:rsid w:val="002648C4"/>
    <w:rsid w:val="00273792"/>
    <w:rsid w:val="00284E77"/>
    <w:rsid w:val="002878CD"/>
    <w:rsid w:val="00287B17"/>
    <w:rsid w:val="0029726D"/>
    <w:rsid w:val="002A1054"/>
    <w:rsid w:val="002A73D5"/>
    <w:rsid w:val="002B4F94"/>
    <w:rsid w:val="002C1204"/>
    <w:rsid w:val="002C3ECF"/>
    <w:rsid w:val="002C6295"/>
    <w:rsid w:val="002D4AC8"/>
    <w:rsid w:val="002E161E"/>
    <w:rsid w:val="002E36C3"/>
    <w:rsid w:val="00307183"/>
    <w:rsid w:val="00320BDF"/>
    <w:rsid w:val="00320D78"/>
    <w:rsid w:val="003254DE"/>
    <w:rsid w:val="0034124E"/>
    <w:rsid w:val="00364902"/>
    <w:rsid w:val="00380FE5"/>
    <w:rsid w:val="00384455"/>
    <w:rsid w:val="003851A7"/>
    <w:rsid w:val="003924DD"/>
    <w:rsid w:val="00394108"/>
    <w:rsid w:val="00394FCB"/>
    <w:rsid w:val="003963BE"/>
    <w:rsid w:val="003963F4"/>
    <w:rsid w:val="003B48DE"/>
    <w:rsid w:val="003B5254"/>
    <w:rsid w:val="003B75A6"/>
    <w:rsid w:val="003C7E14"/>
    <w:rsid w:val="003D2C21"/>
    <w:rsid w:val="003D6317"/>
    <w:rsid w:val="003F05CE"/>
    <w:rsid w:val="003F0BE6"/>
    <w:rsid w:val="003F5044"/>
    <w:rsid w:val="003F76A8"/>
    <w:rsid w:val="004061CA"/>
    <w:rsid w:val="00413299"/>
    <w:rsid w:val="00415689"/>
    <w:rsid w:val="00424D08"/>
    <w:rsid w:val="0044004B"/>
    <w:rsid w:val="004440CB"/>
    <w:rsid w:val="00446E40"/>
    <w:rsid w:val="004713D2"/>
    <w:rsid w:val="004731D3"/>
    <w:rsid w:val="00487A4D"/>
    <w:rsid w:val="00491D4B"/>
    <w:rsid w:val="0049600B"/>
    <w:rsid w:val="004B6E28"/>
    <w:rsid w:val="004B7326"/>
    <w:rsid w:val="004B7486"/>
    <w:rsid w:val="004D7000"/>
    <w:rsid w:val="004E4E62"/>
    <w:rsid w:val="004F5525"/>
    <w:rsid w:val="00502819"/>
    <w:rsid w:val="00521639"/>
    <w:rsid w:val="0053167D"/>
    <w:rsid w:val="00532BB7"/>
    <w:rsid w:val="005332E4"/>
    <w:rsid w:val="0053550C"/>
    <w:rsid w:val="00536D92"/>
    <w:rsid w:val="00537AB4"/>
    <w:rsid w:val="005409B4"/>
    <w:rsid w:val="00551919"/>
    <w:rsid w:val="00553C3F"/>
    <w:rsid w:val="00555018"/>
    <w:rsid w:val="00561060"/>
    <w:rsid w:val="00566198"/>
    <w:rsid w:val="005723DC"/>
    <w:rsid w:val="00574A8A"/>
    <w:rsid w:val="00580214"/>
    <w:rsid w:val="00584305"/>
    <w:rsid w:val="005B00A9"/>
    <w:rsid w:val="005C1565"/>
    <w:rsid w:val="005D64AD"/>
    <w:rsid w:val="005F0B0E"/>
    <w:rsid w:val="005F3881"/>
    <w:rsid w:val="005F6CA9"/>
    <w:rsid w:val="005F79AB"/>
    <w:rsid w:val="00603CDA"/>
    <w:rsid w:val="006149B6"/>
    <w:rsid w:val="00617F8F"/>
    <w:rsid w:val="006207C1"/>
    <w:rsid w:val="006210DC"/>
    <w:rsid w:val="006263AB"/>
    <w:rsid w:val="006271D1"/>
    <w:rsid w:val="0063112E"/>
    <w:rsid w:val="00631D0C"/>
    <w:rsid w:val="006353C5"/>
    <w:rsid w:val="0064349D"/>
    <w:rsid w:val="0064355F"/>
    <w:rsid w:val="00645825"/>
    <w:rsid w:val="00646973"/>
    <w:rsid w:val="00653EED"/>
    <w:rsid w:val="00672DCF"/>
    <w:rsid w:val="00677B4B"/>
    <w:rsid w:val="006832CB"/>
    <w:rsid w:val="00685549"/>
    <w:rsid w:val="00693449"/>
    <w:rsid w:val="006A1FD5"/>
    <w:rsid w:val="006A397E"/>
    <w:rsid w:val="006A5999"/>
    <w:rsid w:val="006B0196"/>
    <w:rsid w:val="006B183E"/>
    <w:rsid w:val="006B2451"/>
    <w:rsid w:val="006B7365"/>
    <w:rsid w:val="006C1C9E"/>
    <w:rsid w:val="006C2D81"/>
    <w:rsid w:val="006C7DF8"/>
    <w:rsid w:val="006D0164"/>
    <w:rsid w:val="006D63D7"/>
    <w:rsid w:val="006D6856"/>
    <w:rsid w:val="006E67CA"/>
    <w:rsid w:val="006F3E81"/>
    <w:rsid w:val="006F40B9"/>
    <w:rsid w:val="006F48C0"/>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8006C"/>
    <w:rsid w:val="0079176E"/>
    <w:rsid w:val="007B0660"/>
    <w:rsid w:val="007C2BB1"/>
    <w:rsid w:val="007C4411"/>
    <w:rsid w:val="007C5056"/>
    <w:rsid w:val="007D4194"/>
    <w:rsid w:val="007E3868"/>
    <w:rsid w:val="007F7E2E"/>
    <w:rsid w:val="00800181"/>
    <w:rsid w:val="00800609"/>
    <w:rsid w:val="00815082"/>
    <w:rsid w:val="00817DB9"/>
    <w:rsid w:val="00817EEB"/>
    <w:rsid w:val="00820C41"/>
    <w:rsid w:val="0082209E"/>
    <w:rsid w:val="00833427"/>
    <w:rsid w:val="00837443"/>
    <w:rsid w:val="00846BDD"/>
    <w:rsid w:val="00850256"/>
    <w:rsid w:val="00855CE1"/>
    <w:rsid w:val="00860B5A"/>
    <w:rsid w:val="00862095"/>
    <w:rsid w:val="00867C71"/>
    <w:rsid w:val="00875D08"/>
    <w:rsid w:val="00883E61"/>
    <w:rsid w:val="0089630F"/>
    <w:rsid w:val="008A27E1"/>
    <w:rsid w:val="008A54FD"/>
    <w:rsid w:val="008A6474"/>
    <w:rsid w:val="008C0763"/>
    <w:rsid w:val="008C3756"/>
    <w:rsid w:val="008C59FC"/>
    <w:rsid w:val="008D2C0D"/>
    <w:rsid w:val="008E186E"/>
    <w:rsid w:val="008E4411"/>
    <w:rsid w:val="008E783C"/>
    <w:rsid w:val="008F5A3F"/>
    <w:rsid w:val="00902E09"/>
    <w:rsid w:val="00904F0A"/>
    <w:rsid w:val="00907A45"/>
    <w:rsid w:val="0091088A"/>
    <w:rsid w:val="00915C3C"/>
    <w:rsid w:val="00922DEA"/>
    <w:rsid w:val="00923928"/>
    <w:rsid w:val="0093246F"/>
    <w:rsid w:val="00934318"/>
    <w:rsid w:val="0093686F"/>
    <w:rsid w:val="00942FD4"/>
    <w:rsid w:val="009431E9"/>
    <w:rsid w:val="00945790"/>
    <w:rsid w:val="00951997"/>
    <w:rsid w:val="00953A32"/>
    <w:rsid w:val="009573AB"/>
    <w:rsid w:val="009750D1"/>
    <w:rsid w:val="00990352"/>
    <w:rsid w:val="009B5F1F"/>
    <w:rsid w:val="009C5DAB"/>
    <w:rsid w:val="009D09D7"/>
    <w:rsid w:val="009D12CD"/>
    <w:rsid w:val="009D2DB5"/>
    <w:rsid w:val="009D50F2"/>
    <w:rsid w:val="009E798F"/>
    <w:rsid w:val="009F49A6"/>
    <w:rsid w:val="00A03405"/>
    <w:rsid w:val="00A03BDA"/>
    <w:rsid w:val="00A05430"/>
    <w:rsid w:val="00A10113"/>
    <w:rsid w:val="00A12741"/>
    <w:rsid w:val="00A1528A"/>
    <w:rsid w:val="00A1595B"/>
    <w:rsid w:val="00A16CF7"/>
    <w:rsid w:val="00A20767"/>
    <w:rsid w:val="00A300F7"/>
    <w:rsid w:val="00A33918"/>
    <w:rsid w:val="00A33A63"/>
    <w:rsid w:val="00A367D6"/>
    <w:rsid w:val="00A37E34"/>
    <w:rsid w:val="00A40714"/>
    <w:rsid w:val="00A43E00"/>
    <w:rsid w:val="00A61046"/>
    <w:rsid w:val="00A62E93"/>
    <w:rsid w:val="00A673DD"/>
    <w:rsid w:val="00A7014B"/>
    <w:rsid w:val="00A7629F"/>
    <w:rsid w:val="00A82D98"/>
    <w:rsid w:val="00A97113"/>
    <w:rsid w:val="00AA2C8E"/>
    <w:rsid w:val="00AA73E7"/>
    <w:rsid w:val="00AA74D9"/>
    <w:rsid w:val="00AB2538"/>
    <w:rsid w:val="00AB3BB4"/>
    <w:rsid w:val="00AB58B0"/>
    <w:rsid w:val="00AC171B"/>
    <w:rsid w:val="00AC627E"/>
    <w:rsid w:val="00AD1505"/>
    <w:rsid w:val="00AE193F"/>
    <w:rsid w:val="00AE26CF"/>
    <w:rsid w:val="00AF0CEE"/>
    <w:rsid w:val="00AF6E13"/>
    <w:rsid w:val="00B0092F"/>
    <w:rsid w:val="00B02DB9"/>
    <w:rsid w:val="00B116E9"/>
    <w:rsid w:val="00B15D49"/>
    <w:rsid w:val="00B23E2A"/>
    <w:rsid w:val="00B31B02"/>
    <w:rsid w:val="00B3252A"/>
    <w:rsid w:val="00B42703"/>
    <w:rsid w:val="00B442E8"/>
    <w:rsid w:val="00B54A47"/>
    <w:rsid w:val="00B62A94"/>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1E39"/>
    <w:rsid w:val="00BD4378"/>
    <w:rsid w:val="00BE124B"/>
    <w:rsid w:val="00BE60D8"/>
    <w:rsid w:val="00BF16AA"/>
    <w:rsid w:val="00BF526C"/>
    <w:rsid w:val="00C03062"/>
    <w:rsid w:val="00C0414C"/>
    <w:rsid w:val="00C1179C"/>
    <w:rsid w:val="00C120CE"/>
    <w:rsid w:val="00C15F04"/>
    <w:rsid w:val="00C1650E"/>
    <w:rsid w:val="00C26F5D"/>
    <w:rsid w:val="00C354B8"/>
    <w:rsid w:val="00C42A04"/>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70B3"/>
    <w:rsid w:val="00CB434E"/>
    <w:rsid w:val="00CB4FC8"/>
    <w:rsid w:val="00CD338B"/>
    <w:rsid w:val="00CD61C0"/>
    <w:rsid w:val="00CE4788"/>
    <w:rsid w:val="00CF3EBC"/>
    <w:rsid w:val="00CF797F"/>
    <w:rsid w:val="00D133AC"/>
    <w:rsid w:val="00D16374"/>
    <w:rsid w:val="00D417C2"/>
    <w:rsid w:val="00D422EF"/>
    <w:rsid w:val="00D54562"/>
    <w:rsid w:val="00D55185"/>
    <w:rsid w:val="00D579CB"/>
    <w:rsid w:val="00D60936"/>
    <w:rsid w:val="00D709EB"/>
    <w:rsid w:val="00D71003"/>
    <w:rsid w:val="00D74714"/>
    <w:rsid w:val="00D76BBD"/>
    <w:rsid w:val="00D82F3F"/>
    <w:rsid w:val="00D921C6"/>
    <w:rsid w:val="00D92384"/>
    <w:rsid w:val="00D94613"/>
    <w:rsid w:val="00D958C2"/>
    <w:rsid w:val="00D95C3F"/>
    <w:rsid w:val="00DD2FD5"/>
    <w:rsid w:val="00DE5604"/>
    <w:rsid w:val="00E04AB5"/>
    <w:rsid w:val="00E0795F"/>
    <w:rsid w:val="00E11E75"/>
    <w:rsid w:val="00E23ABC"/>
    <w:rsid w:val="00E50EEA"/>
    <w:rsid w:val="00E52F58"/>
    <w:rsid w:val="00E53469"/>
    <w:rsid w:val="00E54233"/>
    <w:rsid w:val="00E61403"/>
    <w:rsid w:val="00E65805"/>
    <w:rsid w:val="00E7187D"/>
    <w:rsid w:val="00E77E19"/>
    <w:rsid w:val="00E8764A"/>
    <w:rsid w:val="00E94927"/>
    <w:rsid w:val="00EA21D5"/>
    <w:rsid w:val="00EC1CEA"/>
    <w:rsid w:val="00EC26AA"/>
    <w:rsid w:val="00EC473E"/>
    <w:rsid w:val="00EC4C69"/>
    <w:rsid w:val="00EC6018"/>
    <w:rsid w:val="00ED7A53"/>
    <w:rsid w:val="00EE4273"/>
    <w:rsid w:val="00EF4484"/>
    <w:rsid w:val="00F01013"/>
    <w:rsid w:val="00F02004"/>
    <w:rsid w:val="00F042CB"/>
    <w:rsid w:val="00F10B74"/>
    <w:rsid w:val="00F14A41"/>
    <w:rsid w:val="00F21BB4"/>
    <w:rsid w:val="00F357D8"/>
    <w:rsid w:val="00F370B2"/>
    <w:rsid w:val="00F371BF"/>
    <w:rsid w:val="00F423DA"/>
    <w:rsid w:val="00F42DC5"/>
    <w:rsid w:val="00F47286"/>
    <w:rsid w:val="00F60941"/>
    <w:rsid w:val="00F60A20"/>
    <w:rsid w:val="00F65075"/>
    <w:rsid w:val="00F6633A"/>
    <w:rsid w:val="00F70E67"/>
    <w:rsid w:val="00F74502"/>
    <w:rsid w:val="00F82E7E"/>
    <w:rsid w:val="00F8412A"/>
    <w:rsid w:val="00F877BB"/>
    <w:rsid w:val="00F938A1"/>
    <w:rsid w:val="00F96885"/>
    <w:rsid w:val="00FA6951"/>
    <w:rsid w:val="00FB6903"/>
    <w:rsid w:val="00FC0A95"/>
    <w:rsid w:val="00FC2AE0"/>
    <w:rsid w:val="00FC319B"/>
    <w:rsid w:val="00FC3D9C"/>
    <w:rsid w:val="00FC579D"/>
    <w:rsid w:val="00FD3130"/>
    <w:rsid w:val="00FD3D12"/>
    <w:rsid w:val="00FD68A3"/>
    <w:rsid w:val="00FD6CB7"/>
    <w:rsid w:val="00FE14B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1139</Words>
  <Characters>6493</Characters>
  <Application>Microsoft Office Word</Application>
  <DocSecurity>4</DocSecurity>
  <Lines>54</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2025-11-13T21:05:00Z</cp:lastPrinted>
  <dcterms:created xsi:type="dcterms:W3CDTF">2026-04-21T15:25:00Z</dcterms:created>
  <dcterms:modified xsi:type="dcterms:W3CDTF">2026-04-21T15:25:00Z</dcterms:modified>
</cp:coreProperties>
</file>