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44125A8"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C120CE">
        <w:rPr>
          <w:rFonts w:ascii="Book Antiqua" w:hAnsi="Book Antiqua"/>
          <w:lang w:val="es-ES_tradnl"/>
        </w:rPr>
        <w:t>2</w:t>
      </w:r>
      <w:r w:rsidR="001A4A89" w:rsidRPr="0049600B">
        <w:rPr>
          <w:rFonts w:ascii="Book Antiqua" w:hAnsi="Book Antiqua"/>
          <w:lang w:val="es-ES_tradnl"/>
        </w:rPr>
        <w:t xml:space="preserve"> </w:t>
      </w:r>
      <w:r w:rsidR="00C120CE">
        <w:rPr>
          <w:rFonts w:ascii="Book Antiqua" w:hAnsi="Book Antiqua"/>
          <w:vertAlign w:val="superscript"/>
          <w:lang w:val="es-ES_tradnl"/>
        </w:rPr>
        <w:t>d</w:t>
      </w:r>
      <w:r w:rsidR="001A4A89"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4954E0A" w:rsidR="001A4A89" w:rsidRPr="00AC627E" w:rsidRDefault="002E36C3" w:rsidP="00B76F7C">
      <w:pPr>
        <w:ind w:firstLine="720"/>
        <w:jc w:val="center"/>
        <w:rPr>
          <w:rFonts w:ascii="Book Antiqua" w:hAnsi="Book Antiqua"/>
          <w:b/>
          <w:sz w:val="52"/>
          <w:lang w:val="es-ES"/>
        </w:rPr>
      </w:pPr>
      <w:r>
        <w:rPr>
          <w:rFonts w:ascii="Book Antiqua" w:hAnsi="Book Antiqua"/>
          <w:b/>
          <w:sz w:val="52"/>
          <w:lang w:val="es-ES"/>
        </w:rPr>
        <w:t>R.C. del S</w:t>
      </w:r>
      <w:r w:rsidR="00800181">
        <w:rPr>
          <w:rFonts w:ascii="Book Antiqua" w:hAnsi="Book Antiqua"/>
          <w:b/>
          <w:sz w:val="52"/>
          <w:lang w:val="es-ES"/>
        </w:rPr>
        <w:t xml:space="preserve">. </w:t>
      </w:r>
      <w:r>
        <w:rPr>
          <w:rFonts w:ascii="Book Antiqua" w:hAnsi="Book Antiqua"/>
          <w:b/>
          <w:sz w:val="52"/>
          <w:lang w:val="es-ES"/>
        </w:rPr>
        <w:t>106</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39B08A3B" w:rsidR="00D71003" w:rsidRPr="00BE60D8" w:rsidRDefault="005E628F" w:rsidP="00091A87">
      <w:pPr>
        <w:spacing w:before="100" w:beforeAutospacing="1" w:after="100" w:afterAutospacing="1" w:line="360" w:lineRule="auto"/>
        <w:jc w:val="center"/>
        <w:rPr>
          <w:rFonts w:ascii="Book Antiqua" w:hAnsi="Book Antiqua"/>
          <w:b/>
          <w:sz w:val="28"/>
          <w:lang w:val="es-ES"/>
        </w:rPr>
      </w:pPr>
      <w:r>
        <w:rPr>
          <w:rFonts w:ascii="Book Antiqua" w:hAnsi="Book Antiqua"/>
          <w:b/>
          <w:sz w:val="28"/>
          <w:lang w:val="es-ES"/>
        </w:rPr>
        <w:t xml:space="preserve">SEGUNDO </w:t>
      </w:r>
      <w:r w:rsidR="001A4A89" w:rsidRPr="00BE60D8">
        <w:rPr>
          <w:rFonts w:ascii="Book Antiqua" w:hAnsi="Book Antiqua"/>
          <w:b/>
          <w:sz w:val="28"/>
          <w:lang w:val="es-ES"/>
        </w:rPr>
        <w:t xml:space="preserve">INFORME </w:t>
      </w:r>
      <w:r w:rsidR="00AC627E">
        <w:rPr>
          <w:rFonts w:ascii="Book Antiqua" w:hAnsi="Book Antiqua"/>
          <w:b/>
          <w:sz w:val="28"/>
          <w:lang w:val="es-ES"/>
        </w:rPr>
        <w:t>POSITIVO</w:t>
      </w:r>
    </w:p>
    <w:p w14:paraId="7E659FF4" w14:textId="0A7292CF" w:rsidR="00D71003" w:rsidRPr="00160853" w:rsidRDefault="00915457"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21</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5E628F">
        <w:rPr>
          <w:rFonts w:ascii="Book Antiqua" w:hAnsi="Book Antiqua"/>
          <w:color w:val="000000" w:themeColor="text1"/>
          <w:sz w:val="22"/>
          <w:szCs w:val="18"/>
          <w:lang w:val="es-PR"/>
        </w:rPr>
        <w:t>ABRIL</w:t>
      </w:r>
      <w:r w:rsidR="002541F5">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w:t>
      </w:r>
      <w:r w:rsidR="002541F5">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14553AF3" w14:textId="7C479E2D" w:rsidR="00EB111D" w:rsidRPr="00C1650E" w:rsidRDefault="00EB111D" w:rsidP="00EB111D">
      <w:pPr>
        <w:spacing w:before="100" w:beforeAutospacing="1" w:after="100" w:afterAutospacing="1"/>
        <w:ind w:firstLine="720"/>
        <w:jc w:val="both"/>
        <w:rPr>
          <w:rFonts w:ascii="Book Antiqua" w:hAnsi="Book Antiqua"/>
          <w:lang w:val="es-PR"/>
        </w:rPr>
      </w:pPr>
      <w:bookmarkStart w:id="0" w:name="_Hlk191047724"/>
      <w:r w:rsidRPr="00C1650E">
        <w:rPr>
          <w:rFonts w:ascii="Book Antiqua" w:hAnsi="Book Antiqua"/>
          <w:lang w:val="es-PR"/>
        </w:rPr>
        <w:t>La Comisión de Educación</w:t>
      </w:r>
      <w:r>
        <w:rPr>
          <w:rFonts w:ascii="Book Antiqua" w:hAnsi="Book Antiqua"/>
          <w:lang w:val="es-PR"/>
        </w:rPr>
        <w:t xml:space="preserve"> de la Cámara de Representantes de Puerto Rico</w:t>
      </w:r>
      <w:r w:rsidRPr="00C1650E">
        <w:rPr>
          <w:rFonts w:ascii="Book Antiqua" w:hAnsi="Book Antiqua"/>
          <w:lang w:val="es-PR"/>
        </w:rPr>
        <w:t xml:space="preserve">, </w:t>
      </w:r>
      <w:r>
        <w:rPr>
          <w:rFonts w:ascii="Book Antiqua" w:hAnsi="Book Antiqua"/>
          <w:lang w:val="es-PR"/>
        </w:rPr>
        <w:t>luego de</w:t>
      </w:r>
      <w:r w:rsidRPr="00C1650E">
        <w:rPr>
          <w:rFonts w:ascii="Book Antiqua" w:hAnsi="Book Antiqua"/>
          <w:lang w:val="es-PR"/>
        </w:rPr>
        <w:t xml:space="preserve"> un exhaustivo análisis y evaluación, recomienda respetuosamente a este Honorable Cuerpo Legislativo la aprobación de la</w:t>
      </w:r>
      <w:r>
        <w:rPr>
          <w:rFonts w:ascii="Book Antiqua" w:hAnsi="Book Antiqua"/>
          <w:lang w:val="es-PR"/>
        </w:rPr>
        <w:t xml:space="preserve"> Resolución Conjunta del Senado</w:t>
      </w:r>
      <w:r w:rsidRPr="00C1650E">
        <w:rPr>
          <w:rFonts w:ascii="Book Antiqua" w:hAnsi="Book Antiqua"/>
          <w:lang w:val="es-PR"/>
        </w:rPr>
        <w:t xml:space="preserve"> </w:t>
      </w:r>
      <w:r>
        <w:rPr>
          <w:rFonts w:ascii="Book Antiqua" w:hAnsi="Book Antiqua"/>
          <w:lang w:val="es-PR"/>
        </w:rPr>
        <w:t>106</w:t>
      </w:r>
      <w:r w:rsidRPr="00C1650E">
        <w:rPr>
          <w:rFonts w:ascii="Book Antiqua" w:hAnsi="Book Antiqua"/>
          <w:lang w:val="es-PR"/>
        </w:rPr>
        <w:t xml:space="preserve"> (en adelante, </w:t>
      </w:r>
      <w:r>
        <w:rPr>
          <w:rFonts w:ascii="Book Antiqua" w:hAnsi="Book Antiqua"/>
          <w:lang w:val="es-PR"/>
        </w:rPr>
        <w:t>R.C. del S. 106</w:t>
      </w:r>
      <w:r w:rsidRPr="00C1650E">
        <w:rPr>
          <w:rFonts w:ascii="Book Antiqua" w:hAnsi="Book Antiqua"/>
          <w:lang w:val="es-PR"/>
        </w:rPr>
        <w:t xml:space="preserve">) </w:t>
      </w:r>
      <w:r>
        <w:rPr>
          <w:rFonts w:ascii="Book Antiqua" w:hAnsi="Book Antiqua"/>
          <w:lang w:val="es-PR"/>
        </w:rPr>
        <w:t xml:space="preserve">sin enmiendas, </w:t>
      </w:r>
      <w:r w:rsidRPr="00C1650E">
        <w:rPr>
          <w:rFonts w:ascii="Book Antiqua" w:hAnsi="Book Antiqua"/>
          <w:lang w:val="es-PR"/>
        </w:rPr>
        <w:t xml:space="preserve">mediante el presente </w:t>
      </w:r>
      <w:r>
        <w:rPr>
          <w:rFonts w:ascii="Book Antiqua" w:hAnsi="Book Antiqua"/>
          <w:lang w:val="es-PR"/>
        </w:rPr>
        <w:t xml:space="preserve">Segundo </w:t>
      </w:r>
      <w:r w:rsidRPr="00C1650E">
        <w:rPr>
          <w:rFonts w:ascii="Book Antiqua" w:hAnsi="Book Antiqua"/>
          <w:lang w:val="es-PR"/>
        </w:rPr>
        <w:t>Informe Positivo</w:t>
      </w:r>
      <w:r>
        <w:rPr>
          <w:rFonts w:ascii="Book Antiqua" w:hAnsi="Book Antiqua"/>
          <w:lang w:val="es-PR"/>
        </w:rPr>
        <w:t>.</w:t>
      </w:r>
    </w:p>
    <w:p w14:paraId="49988954" w14:textId="09E50ADC" w:rsidR="00FD6CB7" w:rsidRPr="00C1650E" w:rsidRDefault="001A4A89" w:rsidP="00F70E67">
      <w:pPr>
        <w:spacing w:before="100" w:beforeAutospacing="1" w:after="100" w:afterAutospacing="1"/>
        <w:ind w:firstLine="720"/>
        <w:jc w:val="center"/>
        <w:rPr>
          <w:rFonts w:ascii="Book Antiqua" w:hAnsi="Book Antiqua"/>
          <w:b/>
          <w:bCs/>
          <w:lang w:val="es-ES_tradnl"/>
        </w:rPr>
      </w:pPr>
      <w:r w:rsidRPr="00C1650E">
        <w:rPr>
          <w:rFonts w:ascii="Book Antiqua" w:hAnsi="Book Antiqua"/>
          <w:b/>
          <w:bCs/>
          <w:lang w:val="es-ES_tradnl"/>
        </w:rPr>
        <w:t>ALCANCE DE LA MEDIDA</w:t>
      </w:r>
    </w:p>
    <w:bookmarkEnd w:id="0"/>
    <w:p w14:paraId="720EF5D6" w14:textId="1BC389EC" w:rsidR="00DE5604" w:rsidRPr="00C1650E" w:rsidRDefault="002E36C3" w:rsidP="00FA6951">
      <w:pPr>
        <w:ind w:firstLine="720"/>
        <w:jc w:val="both"/>
        <w:rPr>
          <w:rFonts w:ascii="Book Antiqua" w:hAnsi="Book Antiqua"/>
          <w:szCs w:val="24"/>
          <w:lang w:val="es-PR"/>
        </w:rPr>
      </w:pPr>
      <w:r>
        <w:rPr>
          <w:rFonts w:ascii="Book Antiqua" w:hAnsi="Book Antiqua"/>
          <w:szCs w:val="24"/>
          <w:lang w:val="es-ES_tradnl"/>
        </w:rPr>
        <w:t>La</w:t>
      </w:r>
      <w:r w:rsidR="0044004B">
        <w:rPr>
          <w:rFonts w:ascii="Book Antiqua" w:hAnsi="Book Antiqua"/>
          <w:szCs w:val="24"/>
          <w:lang w:val="es-ES_tradnl"/>
        </w:rPr>
        <w:t xml:space="preserve"> </w:t>
      </w:r>
      <w:r>
        <w:rPr>
          <w:rFonts w:ascii="Book Antiqua" w:hAnsi="Book Antiqua"/>
          <w:szCs w:val="24"/>
          <w:lang w:val="es-ES_tradnl"/>
        </w:rPr>
        <w:t>R.C. del S. 106</w:t>
      </w:r>
      <w:r>
        <w:rPr>
          <w:rFonts w:ascii="Book Antiqua" w:hAnsi="Book Antiqua"/>
          <w:szCs w:val="24"/>
          <w:lang w:val="es-PR"/>
        </w:rPr>
        <w:t xml:space="preserve"> </w:t>
      </w:r>
      <w:r w:rsidR="002C1204" w:rsidRPr="00C1650E">
        <w:rPr>
          <w:rFonts w:ascii="Book Antiqua" w:hAnsi="Book Antiqua"/>
          <w:szCs w:val="24"/>
          <w:lang w:val="es-PR"/>
        </w:rPr>
        <w:t>tiene como propósit</w:t>
      </w:r>
      <w:r w:rsidR="00EC1CEA" w:rsidRPr="00C1650E">
        <w:rPr>
          <w:rFonts w:ascii="Book Antiqua" w:hAnsi="Book Antiqua"/>
          <w:szCs w:val="24"/>
          <w:lang w:val="es-PR"/>
        </w:rPr>
        <w:t>o</w:t>
      </w:r>
      <w:r w:rsidR="006271D1" w:rsidRPr="00C1650E">
        <w:rPr>
          <w:rFonts w:ascii="Book Antiqua" w:hAnsi="Book Antiqua"/>
          <w:szCs w:val="24"/>
          <w:lang w:val="es-PR"/>
        </w:rPr>
        <w:t xml:space="preserve"> </w:t>
      </w:r>
      <w:r w:rsidR="00394108" w:rsidRPr="00394108">
        <w:rPr>
          <w:rFonts w:ascii="Book Antiqua" w:hAnsi="Book Antiqua"/>
          <w:szCs w:val="24"/>
          <w:lang w:val="es-PR"/>
        </w:rPr>
        <w:t>declarar Patrimonio Cultural del Municipio de Cidra, la Banda Escolar de Cidra; y para otros fines relacionados</w:t>
      </w:r>
    </w:p>
    <w:p w14:paraId="5BF29253" w14:textId="77777777" w:rsidR="00FA6951" w:rsidRPr="00C1650E" w:rsidRDefault="00FA6951" w:rsidP="00FA6951">
      <w:pPr>
        <w:ind w:firstLine="720"/>
        <w:jc w:val="both"/>
        <w:rPr>
          <w:rFonts w:ascii="Book Antiqua" w:hAnsi="Book Antiqua"/>
          <w:lang w:val="es-ES_tradnl"/>
        </w:rPr>
      </w:pPr>
    </w:p>
    <w:p w14:paraId="26C62843" w14:textId="4400E99D" w:rsidR="00364902" w:rsidRPr="00C1650E" w:rsidRDefault="00364902" w:rsidP="001A4DCF">
      <w:pPr>
        <w:spacing w:before="100" w:beforeAutospacing="1" w:after="100" w:afterAutospacing="1"/>
        <w:jc w:val="center"/>
        <w:rPr>
          <w:rFonts w:ascii="Book Antiqua" w:hAnsi="Book Antiqua"/>
          <w:szCs w:val="24"/>
          <w:lang w:val="es-PR"/>
        </w:rPr>
      </w:pPr>
      <w:r w:rsidRPr="00C1650E">
        <w:rPr>
          <w:rFonts w:ascii="Book Antiqua" w:hAnsi="Book Antiqua"/>
          <w:b/>
          <w:bCs/>
          <w:lang w:val="es-ES_tradnl"/>
        </w:rPr>
        <w:t>INTRODUCCIÓN</w:t>
      </w:r>
    </w:p>
    <w:p w14:paraId="2F6A8F38" w14:textId="77777777" w:rsidR="00066D9D" w:rsidRDefault="00066D9D" w:rsidP="00066D9D">
      <w:pPr>
        <w:spacing w:before="100" w:beforeAutospacing="1" w:after="100" w:afterAutospacing="1"/>
        <w:ind w:firstLine="720"/>
        <w:jc w:val="both"/>
        <w:rPr>
          <w:rFonts w:ascii="Book Antiqua" w:hAnsi="Book Antiqua"/>
          <w:szCs w:val="24"/>
          <w:lang w:val="es-PR"/>
        </w:rPr>
      </w:pPr>
      <w:r w:rsidRPr="00066D9D">
        <w:rPr>
          <w:rFonts w:ascii="Book Antiqua" w:hAnsi="Book Antiqua"/>
          <w:szCs w:val="24"/>
          <w:lang w:val="es-PR"/>
        </w:rPr>
        <w:t xml:space="preserve">La Exposición de Motivos de la medida resalta la trayectoria de la Banda Escolar de Cidra, fundada en la década de 1960 y oficializada en 1963, como una de las instituciones musicales más destacadas del Municipio Autónomo de Cidra. Durante más de seis décadas, y bajo la dirección de los maestros Juan Bautista Rodríguez, Eduardo Gil, José A. Pérez Rivera y José R. Aponte Ortiz, la Banda ha servido como un valioso instrumento educativo y cultural para cientos de jóvenes, fomentando la disciplina, el trabajo en equipo, el liderazgo y el compromiso social. Su participación constante en actividades escolares, comunitarias y cívicas ha proyectado con orgullo el talento </w:t>
      </w:r>
      <w:proofErr w:type="spellStart"/>
      <w:r w:rsidRPr="00066D9D">
        <w:rPr>
          <w:rFonts w:ascii="Book Antiqua" w:hAnsi="Book Antiqua"/>
          <w:szCs w:val="24"/>
          <w:lang w:val="es-PR"/>
        </w:rPr>
        <w:t>cidreño</w:t>
      </w:r>
      <w:proofErr w:type="spellEnd"/>
      <w:r w:rsidRPr="00066D9D">
        <w:rPr>
          <w:rFonts w:ascii="Book Antiqua" w:hAnsi="Book Antiqua"/>
          <w:szCs w:val="24"/>
          <w:lang w:val="es-PR"/>
        </w:rPr>
        <w:t xml:space="preserve"> a través de toda la Isla.</w:t>
      </w:r>
    </w:p>
    <w:p w14:paraId="0B8EDFCC" w14:textId="75D960FC" w:rsidR="00066D9D" w:rsidRPr="00066D9D" w:rsidRDefault="00066D9D" w:rsidP="00066D9D">
      <w:pPr>
        <w:spacing w:before="100" w:beforeAutospacing="1" w:after="100" w:afterAutospacing="1"/>
        <w:ind w:firstLine="720"/>
        <w:jc w:val="both"/>
        <w:rPr>
          <w:rFonts w:ascii="Book Antiqua" w:hAnsi="Book Antiqua"/>
          <w:szCs w:val="24"/>
          <w:lang w:val="es-PR"/>
        </w:rPr>
      </w:pPr>
      <w:r w:rsidRPr="00066D9D">
        <w:rPr>
          <w:rFonts w:ascii="Book Antiqua" w:hAnsi="Book Antiqua"/>
          <w:szCs w:val="24"/>
          <w:lang w:val="es-PR"/>
        </w:rPr>
        <w:lastRenderedPageBreak/>
        <w:t xml:space="preserve">El impacto de la Banda Escolar de Cidra se refleja en la trayectoria de numerosos egresados que han sobresalido tanto en el ámbito musical como en el servicio a sus comunidades, consolidándola como un símbolo de identidad y orgullo </w:t>
      </w:r>
      <w:proofErr w:type="spellStart"/>
      <w:r w:rsidRPr="00066D9D">
        <w:rPr>
          <w:rFonts w:ascii="Book Antiqua" w:hAnsi="Book Antiqua"/>
          <w:szCs w:val="24"/>
          <w:lang w:val="es-PR"/>
        </w:rPr>
        <w:t>cidreño</w:t>
      </w:r>
      <w:proofErr w:type="spellEnd"/>
      <w:r w:rsidRPr="00066D9D">
        <w:rPr>
          <w:rFonts w:ascii="Book Antiqua" w:hAnsi="Book Antiqua"/>
          <w:szCs w:val="24"/>
          <w:lang w:val="es-PR"/>
        </w:rPr>
        <w:t>. En reconocimiento a esta valiosa aportación, la Asamblea Legislativa de Puerto Rico establece que la Banda Escolar de Cidra constituye parte integral del patrimonio cultural puertorriqueño y municipal, y reafirma su apoyo a la continuidad de esta institución y a su fortalecimiento en beneficio de las generaciones presentes y futuras.</w:t>
      </w:r>
    </w:p>
    <w:p w14:paraId="6D6403C5" w14:textId="77777777" w:rsidR="004E4E62" w:rsidRPr="00C1650E" w:rsidRDefault="00B7320F" w:rsidP="004E4E62">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ANÁLISIS DE LA MEDIDA</w:t>
      </w:r>
    </w:p>
    <w:p w14:paraId="2CD718C5" w14:textId="77777777" w:rsidR="00702F0A" w:rsidRDefault="00702F0A" w:rsidP="00702F0A">
      <w:pPr>
        <w:spacing w:before="100" w:beforeAutospacing="1" w:after="100" w:afterAutospacing="1"/>
        <w:ind w:firstLine="720"/>
        <w:jc w:val="both"/>
        <w:rPr>
          <w:rFonts w:ascii="Book Antiqua" w:hAnsi="Book Antiqua"/>
          <w:szCs w:val="24"/>
          <w:lang w:val="es-PR"/>
        </w:rPr>
      </w:pPr>
      <w:r w:rsidRPr="00702F0A">
        <w:rPr>
          <w:rFonts w:ascii="Book Antiqua" w:hAnsi="Book Antiqua"/>
          <w:szCs w:val="24"/>
          <w:lang w:val="es-PR"/>
        </w:rPr>
        <w:t>Para la evaluación y el análisis de la R. C. del S. 106, se solicitaron memoriales explicativos al Municipio de Cidra y a la Oficina Estatal de Conservación Histórica. En cumplimiento con nuestra responsabilidad legislativa, y con el propósito de contar con el insumo necesario, los memoriales recibidos fueron evaluados y analizados rigurosamente para la preparación del presente informe.</w:t>
      </w:r>
    </w:p>
    <w:p w14:paraId="448A4800" w14:textId="5A23DCB6" w:rsidR="00702F0A" w:rsidRPr="00702F0A" w:rsidRDefault="00702F0A" w:rsidP="00702F0A">
      <w:pPr>
        <w:spacing w:before="100" w:beforeAutospacing="1" w:after="100" w:afterAutospacing="1"/>
        <w:ind w:firstLine="720"/>
        <w:jc w:val="both"/>
        <w:rPr>
          <w:rFonts w:ascii="Book Antiqua" w:hAnsi="Book Antiqua"/>
          <w:szCs w:val="24"/>
          <w:lang w:val="es-PR"/>
        </w:rPr>
      </w:pPr>
      <w:r w:rsidRPr="00702F0A">
        <w:rPr>
          <w:rFonts w:ascii="Book Antiqua" w:hAnsi="Book Antiqua"/>
          <w:szCs w:val="24"/>
          <w:lang w:val="es-PR"/>
        </w:rPr>
        <w:t>A continuación, se presenta un resumen detallado de los comentarios provistos por las entidades gubernamentales antes mencionadas:</w:t>
      </w:r>
    </w:p>
    <w:p w14:paraId="74DEB0B5" w14:textId="3A5532B6" w:rsidR="00394108" w:rsidRDefault="00394108" w:rsidP="00702F0A">
      <w:pPr>
        <w:spacing w:before="100" w:beforeAutospacing="1" w:after="100" w:afterAutospacing="1"/>
        <w:jc w:val="center"/>
        <w:rPr>
          <w:rFonts w:ascii="Book Antiqua" w:hAnsi="Book Antiqua"/>
          <w:b/>
          <w:bCs/>
          <w:szCs w:val="24"/>
          <w:lang w:val="es-PR"/>
        </w:rPr>
      </w:pPr>
      <w:r w:rsidRPr="00394108">
        <w:rPr>
          <w:rFonts w:ascii="Book Antiqua" w:hAnsi="Book Antiqua"/>
          <w:b/>
          <w:bCs/>
          <w:szCs w:val="24"/>
          <w:lang w:val="es-PR"/>
        </w:rPr>
        <w:t>MUNICIPIO DE CIDRA</w:t>
      </w:r>
    </w:p>
    <w:p w14:paraId="4D872723" w14:textId="77777777" w:rsidR="00BA6D63" w:rsidRPr="00BA6D63" w:rsidRDefault="00BA6D63" w:rsidP="00BA6D63">
      <w:pPr>
        <w:spacing w:before="100" w:beforeAutospacing="1" w:after="100" w:afterAutospacing="1"/>
        <w:ind w:firstLine="720"/>
        <w:jc w:val="both"/>
        <w:rPr>
          <w:rFonts w:ascii="Book Antiqua" w:hAnsi="Book Antiqua"/>
          <w:szCs w:val="24"/>
          <w:lang w:val="es-PR"/>
        </w:rPr>
      </w:pPr>
      <w:r w:rsidRPr="00BA6D63">
        <w:rPr>
          <w:rFonts w:ascii="Book Antiqua" w:hAnsi="Book Antiqua"/>
          <w:szCs w:val="24"/>
          <w:lang w:val="es-PR"/>
        </w:rPr>
        <w:t xml:space="preserve">El Municipio de Cidra, representado por la </w:t>
      </w:r>
      <w:proofErr w:type="gramStart"/>
      <w:r w:rsidRPr="00BA6D63">
        <w:rPr>
          <w:rFonts w:ascii="Book Antiqua" w:hAnsi="Book Antiqua"/>
          <w:szCs w:val="24"/>
          <w:lang w:val="es-PR"/>
        </w:rPr>
        <w:t>Secretaria</w:t>
      </w:r>
      <w:proofErr w:type="gramEnd"/>
      <w:r w:rsidRPr="00BA6D63">
        <w:rPr>
          <w:rFonts w:ascii="Book Antiqua" w:hAnsi="Book Antiqua"/>
          <w:szCs w:val="24"/>
          <w:lang w:val="es-PR"/>
        </w:rPr>
        <w:t xml:space="preserve"> de la Legislatura Municipal, Dayanara Casillas Vicente, remitió la Ordenanza Municipal Núm. 04, Serie 2025</w:t>
      </w:r>
      <w:r w:rsidRPr="00BA6D63">
        <w:rPr>
          <w:rFonts w:ascii="Book Antiqua" w:hAnsi="Book Antiqua"/>
          <w:szCs w:val="24"/>
          <w:lang w:val="es-PR"/>
        </w:rPr>
        <w:noBreakHyphen/>
        <w:t xml:space="preserve">2026 (en adelante, la Ordenanza), mediante la cual se declara a la Banda Escolar de Cidra como Patrimonio Cultural Municipal, en reconocimiento a su trayectoria histórica, su aportación formativa y su influencia en la identidad cultural </w:t>
      </w:r>
      <w:proofErr w:type="spellStart"/>
      <w:r w:rsidRPr="00BA6D63">
        <w:rPr>
          <w:rFonts w:ascii="Book Antiqua" w:hAnsi="Book Antiqua"/>
          <w:szCs w:val="24"/>
          <w:lang w:val="es-PR"/>
        </w:rPr>
        <w:t>cidreña</w:t>
      </w:r>
      <w:proofErr w:type="spellEnd"/>
      <w:r w:rsidRPr="00BA6D63">
        <w:rPr>
          <w:rFonts w:ascii="Book Antiqua" w:hAnsi="Book Antiqua"/>
          <w:szCs w:val="24"/>
          <w:lang w:val="es-PR"/>
        </w:rPr>
        <w:t>. La Ordenanza destaca que la Banda, originada en la década de 1960 como banda municipal bajo la dirección de Juan Nieves Meléndez y formalizada en 1963 por el maestro Juan Bautista Rodríguez, se ha consolidado como un pilar de educación, disciplina y desarrollo cultural para generaciones de jóvenes.</w:t>
      </w:r>
    </w:p>
    <w:p w14:paraId="54F53D42" w14:textId="77777777" w:rsidR="00BA6D63" w:rsidRPr="00BA6D63" w:rsidRDefault="00BA6D63" w:rsidP="00BA6D63">
      <w:pPr>
        <w:spacing w:before="100" w:beforeAutospacing="1" w:after="100" w:afterAutospacing="1"/>
        <w:ind w:firstLine="720"/>
        <w:jc w:val="both"/>
        <w:rPr>
          <w:rFonts w:ascii="Book Antiqua" w:hAnsi="Book Antiqua"/>
          <w:szCs w:val="24"/>
          <w:lang w:val="es-PR"/>
        </w:rPr>
      </w:pPr>
      <w:r w:rsidRPr="00BA6D63">
        <w:rPr>
          <w:rFonts w:ascii="Book Antiqua" w:hAnsi="Book Antiqua"/>
          <w:szCs w:val="24"/>
          <w:lang w:val="es-PR"/>
        </w:rPr>
        <w:t xml:space="preserve">Asimismo, se subraya el liderazgo de maestros como Eduardo Gil, quien la dirigió por casi treinta años, y posteriormente José A. Pérez Rivera y José R. Aponte Ortiz, cuyas gestiones fortalecieron el rol de la Banda como instrumento de cohesión social y orgullo comunitario. La Ordenanza también resalta la formación de numerosos músicos </w:t>
      </w:r>
      <w:proofErr w:type="spellStart"/>
      <w:r w:rsidRPr="00BA6D63">
        <w:rPr>
          <w:rFonts w:ascii="Book Antiqua" w:hAnsi="Book Antiqua"/>
          <w:szCs w:val="24"/>
          <w:lang w:val="es-PR"/>
        </w:rPr>
        <w:t>cidreños</w:t>
      </w:r>
      <w:proofErr w:type="spellEnd"/>
      <w:r w:rsidRPr="00BA6D63">
        <w:rPr>
          <w:rFonts w:ascii="Book Antiqua" w:hAnsi="Book Antiqua"/>
          <w:szCs w:val="24"/>
          <w:lang w:val="es-PR"/>
        </w:rPr>
        <w:t xml:space="preserve"> que, tras su experiencia en la Banda, han sobresalido en diversos ámbitos artísticos y profesionales.</w:t>
      </w:r>
    </w:p>
    <w:p w14:paraId="5F3BFB1F" w14:textId="77777777" w:rsidR="00BA6D63" w:rsidRDefault="00BA6D63" w:rsidP="00BA6D63">
      <w:pPr>
        <w:spacing w:before="100" w:beforeAutospacing="1" w:after="100" w:afterAutospacing="1"/>
        <w:ind w:firstLine="720"/>
        <w:jc w:val="both"/>
        <w:rPr>
          <w:rFonts w:ascii="Book Antiqua" w:hAnsi="Book Antiqua"/>
          <w:szCs w:val="24"/>
          <w:lang w:val="es-PR"/>
        </w:rPr>
      </w:pPr>
      <w:r w:rsidRPr="00BA6D63">
        <w:rPr>
          <w:rFonts w:ascii="Book Antiqua" w:hAnsi="Book Antiqua"/>
          <w:szCs w:val="24"/>
          <w:lang w:val="es-PR"/>
        </w:rPr>
        <w:t>En virtud de este legado, el Municipio de Cidra sostiene la necesidad de institucionalizar la Banda Escolar como patrimonio cultural con el fin de garantizar la preservación de su función artística, educativa y social. Afirma que la Banda Escolar constituye un símbolo de identidad, tradición y compromiso comunitario, razón por la cual la Legislatura Municipal favorece la aprobación de la medida.</w:t>
      </w:r>
    </w:p>
    <w:p w14:paraId="1D471C1F" w14:textId="77777777" w:rsidR="00BA6D63" w:rsidRPr="00BA6D63" w:rsidRDefault="00BA6D63" w:rsidP="00BA6D63">
      <w:pPr>
        <w:spacing w:before="100" w:beforeAutospacing="1" w:after="100" w:afterAutospacing="1"/>
        <w:ind w:firstLine="720"/>
        <w:jc w:val="both"/>
        <w:rPr>
          <w:rFonts w:ascii="Book Antiqua" w:hAnsi="Book Antiqua"/>
          <w:szCs w:val="24"/>
          <w:lang w:val="es-PR"/>
        </w:rPr>
      </w:pPr>
    </w:p>
    <w:p w14:paraId="4CBD6A9F" w14:textId="5AA002F7" w:rsidR="00394108" w:rsidRDefault="00394108" w:rsidP="00394108">
      <w:pPr>
        <w:spacing w:before="100" w:beforeAutospacing="1" w:after="100" w:afterAutospacing="1"/>
        <w:ind w:firstLine="720"/>
        <w:jc w:val="center"/>
        <w:rPr>
          <w:rFonts w:ascii="Book Antiqua" w:hAnsi="Book Antiqua"/>
          <w:b/>
          <w:bCs/>
          <w:szCs w:val="24"/>
          <w:lang w:val="es-PR"/>
        </w:rPr>
      </w:pPr>
      <w:r w:rsidRPr="00394108">
        <w:rPr>
          <w:rFonts w:ascii="Book Antiqua" w:hAnsi="Book Antiqua"/>
          <w:b/>
          <w:bCs/>
          <w:szCs w:val="24"/>
          <w:lang w:val="es-PR"/>
        </w:rPr>
        <w:lastRenderedPageBreak/>
        <w:t>OFICINA ESTATAL DE CONSERVACION HISTORICA</w:t>
      </w:r>
    </w:p>
    <w:p w14:paraId="58DC71DC" w14:textId="77777777" w:rsidR="00BA6D63" w:rsidRPr="00BA6D63" w:rsidRDefault="00BA6D63" w:rsidP="00BA6D63">
      <w:pPr>
        <w:spacing w:before="100" w:beforeAutospacing="1" w:after="100" w:afterAutospacing="1"/>
        <w:ind w:firstLine="720"/>
        <w:jc w:val="both"/>
        <w:rPr>
          <w:rFonts w:ascii="Book Antiqua" w:hAnsi="Book Antiqua"/>
          <w:szCs w:val="24"/>
          <w:lang w:val="es-PR"/>
        </w:rPr>
      </w:pPr>
      <w:r w:rsidRPr="00BA6D63">
        <w:rPr>
          <w:rFonts w:ascii="Book Antiqua" w:hAnsi="Book Antiqua"/>
          <w:szCs w:val="24"/>
          <w:lang w:val="es-PR"/>
        </w:rPr>
        <w:t>La Oficina Estatal de Conservación Histórica, representada por su Oficial Estatal, Carlos A. Rubio Cancela, expresó que considera meritoria la R. C. del S. 106 al reconocer la contribución musical de la Banda Escolar de Cidra como parte del patrimonio intangible municipal. Sin embargo, aclaró que no emite comentarios adicionales sobre la medida, ya que el patrimonio intangible no forma parte de su área de competencia.</w:t>
      </w:r>
    </w:p>
    <w:p w14:paraId="08C63446" w14:textId="2E622654" w:rsidR="000871B0" w:rsidRPr="00C1650E" w:rsidRDefault="000871B0" w:rsidP="000871B0">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DETERMINACIÓN DE IMPACTO ECONÓMICO</w:t>
      </w:r>
    </w:p>
    <w:p w14:paraId="1E3D4EA8" w14:textId="496BEB72" w:rsidR="00F8412A" w:rsidRPr="00C1650E" w:rsidRDefault="000871B0" w:rsidP="00F70E67">
      <w:pPr>
        <w:spacing w:before="100" w:beforeAutospacing="1" w:after="100" w:afterAutospacing="1"/>
        <w:jc w:val="both"/>
        <w:rPr>
          <w:rFonts w:ascii="Book Antiqua" w:hAnsi="Book Antiqua"/>
          <w:szCs w:val="24"/>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00370704" w:rsidRPr="00370704">
        <w:rPr>
          <w:rFonts w:ascii="Book Antiqua" w:hAnsi="Book Antiqua"/>
          <w:szCs w:val="24"/>
          <w:lang w:val="es-PR"/>
        </w:rPr>
        <w:t>Conforme al análisis y los hallazgos relacionados con la medida, la Comisión de Educación determina que su aprobación no tendrá un impacto fiscal significativo en los presupuestos de las agencias, departamentos, organismos, instrumentalidades o corporaciones públicas que requiera certificación de la Oficina de Gerencia y Presupuesto.</w:t>
      </w:r>
    </w:p>
    <w:p w14:paraId="369CAC28" w14:textId="77777777" w:rsidR="00AC627E" w:rsidRPr="00C1650E" w:rsidRDefault="0076334C" w:rsidP="00AC627E">
      <w:pPr>
        <w:spacing w:before="100" w:beforeAutospacing="1" w:after="100" w:afterAutospacing="1"/>
        <w:jc w:val="center"/>
        <w:rPr>
          <w:rFonts w:ascii="Book Antiqua" w:hAnsi="Book Antiqua"/>
          <w:b/>
          <w:bCs/>
          <w:lang w:val="es-PR"/>
        </w:rPr>
      </w:pPr>
      <w:r w:rsidRPr="00C1650E">
        <w:rPr>
          <w:rFonts w:ascii="Book Antiqua" w:hAnsi="Book Antiqua"/>
          <w:b/>
          <w:bCs/>
          <w:lang w:val="es-PR"/>
        </w:rPr>
        <w:t>CONCLUSIÓN Y RECOMENDACIÓN</w:t>
      </w:r>
    </w:p>
    <w:p w14:paraId="24796A58" w14:textId="77777777" w:rsidR="00370704" w:rsidRDefault="00370704" w:rsidP="00370704">
      <w:pPr>
        <w:spacing w:before="100" w:beforeAutospacing="1"/>
        <w:ind w:firstLine="720"/>
        <w:jc w:val="both"/>
        <w:rPr>
          <w:rFonts w:ascii="Book Antiqua" w:hAnsi="Book Antiqua"/>
          <w:color w:val="000000" w:themeColor="text1"/>
          <w:lang w:val="es-PR"/>
        </w:rPr>
      </w:pPr>
      <w:r w:rsidRPr="00370704">
        <w:rPr>
          <w:rFonts w:ascii="Book Antiqua" w:hAnsi="Book Antiqua"/>
          <w:color w:val="000000" w:themeColor="text1"/>
          <w:lang w:val="es-PR"/>
        </w:rPr>
        <w:t xml:space="preserve">La Comisión de Educación </w:t>
      </w:r>
      <w:r>
        <w:rPr>
          <w:rFonts w:ascii="Book Antiqua" w:hAnsi="Book Antiqua"/>
          <w:color w:val="000000" w:themeColor="text1"/>
          <w:lang w:val="es-PR"/>
        </w:rPr>
        <w:t xml:space="preserve">de la Cámara de Representantes </w:t>
      </w:r>
      <w:r w:rsidRPr="00370704">
        <w:rPr>
          <w:rFonts w:ascii="Book Antiqua" w:hAnsi="Book Antiqua"/>
          <w:color w:val="000000" w:themeColor="text1"/>
          <w:lang w:val="es-PR"/>
        </w:rPr>
        <w:t>ha llevado a cabo un análisis minucioso del contenido de la medida y de las comunicaciones recibidas de las entidades consultadas. Las agencias que expresaron su posición manifestaron su respaldo a la R. C. del S. 106 o, en su defecto, no presentaron objeciones a su aprobación.</w:t>
      </w:r>
    </w:p>
    <w:p w14:paraId="793A8734" w14:textId="77777777" w:rsidR="00370704" w:rsidRDefault="00370704" w:rsidP="00370704">
      <w:pPr>
        <w:spacing w:before="100" w:beforeAutospacing="1"/>
        <w:ind w:firstLine="720"/>
        <w:jc w:val="both"/>
        <w:rPr>
          <w:rFonts w:ascii="Book Antiqua" w:hAnsi="Book Antiqua"/>
          <w:color w:val="000000" w:themeColor="text1"/>
          <w:lang w:val="es-PR"/>
        </w:rPr>
      </w:pPr>
      <w:r w:rsidRPr="00370704">
        <w:rPr>
          <w:rFonts w:ascii="Book Antiqua" w:hAnsi="Book Antiqua"/>
          <w:color w:val="000000" w:themeColor="text1"/>
          <w:lang w:val="es-PR"/>
        </w:rPr>
        <w:t xml:space="preserve">Tras examinar la evidencia y la información provista, esta Comisión concluye que la medida es meritoria y plenamente justificada. La Banda Escolar de Cidra ha demostrado ser una institución de profundo valor cultural, educativo y comunitario, cuya trayectoria ha trascendido generaciones y ha contribuido significativamente al fortalecimiento de la identidad </w:t>
      </w:r>
      <w:proofErr w:type="spellStart"/>
      <w:r w:rsidRPr="00370704">
        <w:rPr>
          <w:rFonts w:ascii="Book Antiqua" w:hAnsi="Book Antiqua"/>
          <w:color w:val="000000" w:themeColor="text1"/>
          <w:lang w:val="es-PR"/>
        </w:rPr>
        <w:t>cidreña</w:t>
      </w:r>
      <w:proofErr w:type="spellEnd"/>
      <w:r w:rsidRPr="00370704">
        <w:rPr>
          <w:rFonts w:ascii="Book Antiqua" w:hAnsi="Book Antiqua"/>
          <w:color w:val="000000" w:themeColor="text1"/>
          <w:lang w:val="es-PR"/>
        </w:rPr>
        <w:t>. Su reconocimiento como patrimonio cultural representa un acto de justicia histórica y una reafirmación del compromiso del Estado con la preservación de tradiciones vivas que continúan impactando positivamente a la juventud y a la comunidad en general.</w:t>
      </w:r>
    </w:p>
    <w:p w14:paraId="5712B9B8" w14:textId="77777777" w:rsidR="00370704" w:rsidRDefault="00370704" w:rsidP="00370704">
      <w:pPr>
        <w:spacing w:before="100" w:beforeAutospacing="1"/>
        <w:ind w:firstLine="720"/>
        <w:jc w:val="both"/>
        <w:rPr>
          <w:rFonts w:ascii="Book Antiqua" w:hAnsi="Book Antiqua"/>
          <w:color w:val="000000" w:themeColor="text1"/>
          <w:lang w:val="es-PR"/>
        </w:rPr>
      </w:pPr>
      <w:r w:rsidRPr="00370704">
        <w:rPr>
          <w:rFonts w:ascii="Book Antiqua" w:hAnsi="Book Antiqua"/>
          <w:color w:val="000000" w:themeColor="text1"/>
          <w:lang w:val="es-PR"/>
        </w:rPr>
        <w:t>En virtud de lo anterior, y considerando la importancia de salvaguardar este legado institucional, la Comisión favorece la aprobación de la medida, reconociendo su aportación al acervo cultural de Puerto Rico y su rol en el enriquecimiento de la vida cívica y educativa del Municipio de Cidra.</w:t>
      </w:r>
    </w:p>
    <w:p w14:paraId="11944B92" w14:textId="10DF49E0" w:rsidR="008A54FD" w:rsidRDefault="00370704" w:rsidP="006B2CF3">
      <w:pPr>
        <w:spacing w:before="100" w:beforeAutospacing="1"/>
        <w:ind w:firstLine="720"/>
        <w:jc w:val="both"/>
        <w:rPr>
          <w:rFonts w:ascii="Book Antiqua" w:hAnsi="Book Antiqua"/>
          <w:color w:val="000000" w:themeColor="text1"/>
          <w:lang w:val="es-PR"/>
        </w:rPr>
      </w:pPr>
      <w:r w:rsidRPr="00370704">
        <w:rPr>
          <w:rFonts w:ascii="Book Antiqua" w:hAnsi="Book Antiqua"/>
          <w:b/>
          <w:bCs/>
          <w:color w:val="000000" w:themeColor="text1"/>
          <w:lang w:val="es-PR"/>
        </w:rPr>
        <w:t>POR LO ANTES EXPUESTO,</w:t>
      </w:r>
      <w:r w:rsidRPr="00370704">
        <w:rPr>
          <w:rFonts w:ascii="Book Antiqua" w:hAnsi="Book Antiqua"/>
          <w:color w:val="000000" w:themeColor="text1"/>
          <w:lang w:val="es-PR"/>
        </w:rPr>
        <w:t xml:space="preserve"> la Comisión de Educación</w:t>
      </w:r>
      <w:r>
        <w:rPr>
          <w:rFonts w:ascii="Book Antiqua" w:hAnsi="Book Antiqua"/>
          <w:color w:val="000000" w:themeColor="text1"/>
          <w:lang w:val="es-PR"/>
        </w:rPr>
        <w:t xml:space="preserve"> de la Cámara de Representantes</w:t>
      </w:r>
      <w:r w:rsidRPr="00370704">
        <w:rPr>
          <w:rFonts w:ascii="Book Antiqua" w:hAnsi="Book Antiqua"/>
          <w:color w:val="000000" w:themeColor="text1"/>
          <w:lang w:val="es-PR"/>
        </w:rPr>
        <w:t xml:space="preserve"> recomienda la aprobación de la R. C. del S. 106, sin enmiendas, mediante </w:t>
      </w:r>
      <w:r w:rsidR="00DC210F">
        <w:rPr>
          <w:rFonts w:ascii="Book Antiqua" w:hAnsi="Book Antiqua"/>
          <w:color w:val="000000" w:themeColor="text1"/>
          <w:lang w:val="es-PR"/>
        </w:rPr>
        <w:t>el</w:t>
      </w:r>
      <w:r w:rsidRPr="00370704">
        <w:rPr>
          <w:rFonts w:ascii="Book Antiqua" w:hAnsi="Book Antiqua"/>
          <w:color w:val="000000" w:themeColor="text1"/>
          <w:lang w:val="es-PR"/>
        </w:rPr>
        <w:t xml:space="preserve"> presente </w:t>
      </w:r>
      <w:r w:rsidR="00DC210F">
        <w:rPr>
          <w:rFonts w:ascii="Book Antiqua" w:hAnsi="Book Antiqua"/>
          <w:color w:val="000000" w:themeColor="text1"/>
          <w:lang w:val="es-PR"/>
        </w:rPr>
        <w:t xml:space="preserve">Segundo </w:t>
      </w:r>
      <w:r w:rsidRPr="00370704">
        <w:rPr>
          <w:rFonts w:ascii="Book Antiqua" w:hAnsi="Book Antiqua"/>
          <w:color w:val="000000" w:themeColor="text1"/>
          <w:lang w:val="es-PR"/>
        </w:rPr>
        <w:t>Informe Positivo.</w:t>
      </w:r>
    </w:p>
    <w:p w14:paraId="66B3C0C0" w14:textId="1AE569CA" w:rsidR="003D6317" w:rsidRPr="00C1650E" w:rsidRDefault="003D6317" w:rsidP="003D6317">
      <w:pPr>
        <w:spacing w:before="100" w:beforeAutospacing="1"/>
        <w:rPr>
          <w:rFonts w:ascii="Book Antiqua" w:hAnsi="Book Antiqua"/>
          <w:color w:val="000000" w:themeColor="text1"/>
          <w:lang w:val="es-PR"/>
        </w:rPr>
      </w:pPr>
      <w:r w:rsidRPr="00C1650E">
        <w:rPr>
          <w:rFonts w:ascii="Book Antiqua" w:hAnsi="Book Antiqua"/>
          <w:color w:val="000000" w:themeColor="text1"/>
          <w:lang w:val="es-PR"/>
        </w:rPr>
        <w:t>Respetuosamente Sometido,</w:t>
      </w:r>
    </w:p>
    <w:p w14:paraId="44F682D4" w14:textId="77777777" w:rsidR="003D6317" w:rsidRPr="00C1650E" w:rsidRDefault="003D6317" w:rsidP="003D6317">
      <w:pPr>
        <w:spacing w:before="100" w:beforeAutospacing="1"/>
        <w:rPr>
          <w:rFonts w:ascii="Book Antiqua" w:hAnsi="Book Antiqua"/>
          <w:color w:val="000000" w:themeColor="text1"/>
          <w:lang w:val="es-PR"/>
        </w:rPr>
      </w:pPr>
    </w:p>
    <w:p w14:paraId="1B633497" w14:textId="77777777" w:rsidR="000047BE" w:rsidRPr="00C1650E" w:rsidRDefault="000047BE" w:rsidP="003D6317">
      <w:pPr>
        <w:spacing w:before="100" w:beforeAutospacing="1"/>
        <w:rPr>
          <w:rFonts w:ascii="Book Antiqua" w:hAnsi="Book Antiqua"/>
          <w:lang w:val="es-PR"/>
        </w:rPr>
      </w:pPr>
    </w:p>
    <w:p w14:paraId="122F8FC2" w14:textId="5A18695C" w:rsidR="0076334C" w:rsidRPr="00C1650E" w:rsidRDefault="0076334C" w:rsidP="0076334C">
      <w:pPr>
        <w:jc w:val="both"/>
        <w:rPr>
          <w:rFonts w:ascii="Book Antiqua" w:hAnsi="Book Antiqua"/>
          <w:b/>
          <w:bCs/>
          <w:lang w:val="es-PR"/>
        </w:rPr>
      </w:pPr>
      <w:r w:rsidRPr="00C1650E">
        <w:rPr>
          <w:rFonts w:ascii="Book Antiqua" w:hAnsi="Book Antiqua"/>
          <w:b/>
          <w:bCs/>
          <w:lang w:val="es-PR"/>
        </w:rPr>
        <w:t xml:space="preserve">Hon. </w:t>
      </w:r>
      <w:r w:rsidR="00846BDD" w:rsidRPr="00C1650E">
        <w:rPr>
          <w:rFonts w:ascii="Book Antiqua" w:hAnsi="Book Antiqua"/>
          <w:b/>
          <w:bCs/>
          <w:lang w:val="es-PR"/>
        </w:rPr>
        <w:t>Tatiana Pérez Ramírez</w:t>
      </w:r>
      <w:r w:rsidR="00815082" w:rsidRPr="00C1650E">
        <w:rPr>
          <w:rFonts w:ascii="Book Antiqua" w:hAnsi="Book Antiqua"/>
          <w:b/>
          <w:bCs/>
          <w:lang w:val="es-PR"/>
        </w:rPr>
        <w:t xml:space="preserve">                                                  </w:t>
      </w:r>
    </w:p>
    <w:p w14:paraId="22C9AB09" w14:textId="236D8613" w:rsidR="0076334C" w:rsidRPr="00C1650E" w:rsidRDefault="0076334C" w:rsidP="0076334C">
      <w:pPr>
        <w:jc w:val="both"/>
        <w:rPr>
          <w:rFonts w:ascii="Book Antiqua" w:hAnsi="Book Antiqua"/>
          <w:lang w:val="es-PR"/>
        </w:rPr>
      </w:pPr>
      <w:r w:rsidRPr="00C1650E">
        <w:rPr>
          <w:rFonts w:ascii="Book Antiqua" w:hAnsi="Book Antiqua"/>
          <w:lang w:val="es-PR"/>
        </w:rPr>
        <w:t>Presidenta</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C1650E">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E4CA0" w14:textId="77777777" w:rsidR="00E5244E" w:rsidRDefault="00E5244E">
      <w:r>
        <w:separator/>
      </w:r>
    </w:p>
  </w:endnote>
  <w:endnote w:type="continuationSeparator" w:id="0">
    <w:p w14:paraId="5610FBDB" w14:textId="77777777" w:rsidR="00E5244E" w:rsidRDefault="00E52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D7A25" w14:textId="77777777" w:rsidR="00E5244E" w:rsidRDefault="00E5244E">
      <w:r>
        <w:separator/>
      </w:r>
    </w:p>
  </w:footnote>
  <w:footnote w:type="continuationSeparator" w:id="0">
    <w:p w14:paraId="6A4FE223" w14:textId="77777777" w:rsidR="00E5244E" w:rsidRDefault="00E52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C1650E" w:rsidRDefault="00487A4D" w:rsidP="00487A4D">
    <w:pPr>
      <w:pStyle w:val="Header"/>
      <w:rPr>
        <w:rStyle w:val="PageNumber"/>
        <w:lang w:val="es-PR"/>
      </w:rPr>
    </w:pPr>
    <w:r w:rsidRPr="00C1650E">
      <w:rPr>
        <w:rStyle w:val="PageNumber"/>
        <w:lang w:val="es-PR"/>
      </w:rPr>
      <w:t>Comisión de Educación</w:t>
    </w:r>
  </w:p>
  <w:p w14:paraId="36D58B22" w14:textId="738D6E23" w:rsidR="00F042CB" w:rsidRPr="00487A4D" w:rsidRDefault="0077482C" w:rsidP="00487A4D">
    <w:pPr>
      <w:pStyle w:val="Header"/>
      <w:rPr>
        <w:lang w:val="es-PR"/>
      </w:rPr>
    </w:pPr>
    <w:r>
      <w:rPr>
        <w:rStyle w:val="PageNumber"/>
        <w:lang w:val="es-PR"/>
      </w:rPr>
      <w:t xml:space="preserve">Segundo </w:t>
    </w:r>
    <w:r w:rsidR="00487A4D" w:rsidRPr="00C1650E">
      <w:rPr>
        <w:rStyle w:val="PageNumber"/>
        <w:lang w:val="es-PR"/>
      </w:rPr>
      <w:t xml:space="preserve">Informe Positivo sobre </w:t>
    </w:r>
    <w:r w:rsidR="00394108">
      <w:rPr>
        <w:rStyle w:val="PageNumber"/>
        <w:lang w:val="es-PR"/>
      </w:rPr>
      <w:t>la R.C. del S. 106</w:t>
    </w:r>
    <w:r w:rsidR="00487A4D" w:rsidRPr="00C1650E">
      <w:rPr>
        <w:rStyle w:val="PageNumber"/>
        <w:lang w:val="es-PR"/>
      </w:rPr>
      <w:t xml:space="preserve"> </w:t>
    </w:r>
    <w:r>
      <w:rPr>
        <w:rStyle w:val="PageNumber"/>
        <w:lang w:val="es-PR"/>
      </w:rPr>
      <w:tab/>
    </w:r>
    <w:r w:rsidR="00487A4D" w:rsidRPr="00C1650E">
      <w:rPr>
        <w:rStyle w:val="PageNumber"/>
        <w:lang w:val="es-PR"/>
      </w:rPr>
      <w:t xml:space="preserve">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3"/>
  </w:num>
  <w:num w:numId="2" w16cid:durableId="1647583042">
    <w:abstractNumId w:val="4"/>
  </w:num>
  <w:num w:numId="3" w16cid:durableId="31856016">
    <w:abstractNumId w:val="5"/>
  </w:num>
  <w:num w:numId="4" w16cid:durableId="1489134421">
    <w:abstractNumId w:val="0"/>
  </w:num>
  <w:num w:numId="5" w16cid:durableId="639266677">
    <w:abstractNumId w:val="1"/>
  </w:num>
  <w:num w:numId="6" w16cid:durableId="844244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7BE"/>
    <w:rsid w:val="000133D7"/>
    <w:rsid w:val="0001561B"/>
    <w:rsid w:val="00015DFB"/>
    <w:rsid w:val="00020BBB"/>
    <w:rsid w:val="00027C86"/>
    <w:rsid w:val="00032078"/>
    <w:rsid w:val="00043DD0"/>
    <w:rsid w:val="000518F3"/>
    <w:rsid w:val="00056024"/>
    <w:rsid w:val="00063D87"/>
    <w:rsid w:val="00066D9D"/>
    <w:rsid w:val="00073275"/>
    <w:rsid w:val="00074D2C"/>
    <w:rsid w:val="00075BAB"/>
    <w:rsid w:val="00080836"/>
    <w:rsid w:val="000871B0"/>
    <w:rsid w:val="00091A87"/>
    <w:rsid w:val="00091F2F"/>
    <w:rsid w:val="00095AE1"/>
    <w:rsid w:val="000A6B6C"/>
    <w:rsid w:val="000B0DBB"/>
    <w:rsid w:val="000C2850"/>
    <w:rsid w:val="000C2CBF"/>
    <w:rsid w:val="000D60DB"/>
    <w:rsid w:val="000E2586"/>
    <w:rsid w:val="000E2DCB"/>
    <w:rsid w:val="000E3D6D"/>
    <w:rsid w:val="000E7F87"/>
    <w:rsid w:val="00105AB1"/>
    <w:rsid w:val="00111E71"/>
    <w:rsid w:val="001127B0"/>
    <w:rsid w:val="00114602"/>
    <w:rsid w:val="00124D9A"/>
    <w:rsid w:val="00127C6A"/>
    <w:rsid w:val="00134F85"/>
    <w:rsid w:val="001363FE"/>
    <w:rsid w:val="001606CA"/>
    <w:rsid w:val="00166098"/>
    <w:rsid w:val="0017132B"/>
    <w:rsid w:val="00173F45"/>
    <w:rsid w:val="00174574"/>
    <w:rsid w:val="001824A9"/>
    <w:rsid w:val="00187B2B"/>
    <w:rsid w:val="001911C9"/>
    <w:rsid w:val="00193BB7"/>
    <w:rsid w:val="001A062F"/>
    <w:rsid w:val="001A2E09"/>
    <w:rsid w:val="001A36DC"/>
    <w:rsid w:val="001A4A89"/>
    <w:rsid w:val="001A4DCF"/>
    <w:rsid w:val="001D15CB"/>
    <w:rsid w:val="001D6FC5"/>
    <w:rsid w:val="001E15C2"/>
    <w:rsid w:val="001E211C"/>
    <w:rsid w:val="001F1883"/>
    <w:rsid w:val="001F4CA3"/>
    <w:rsid w:val="001F5064"/>
    <w:rsid w:val="001F612A"/>
    <w:rsid w:val="00205FE7"/>
    <w:rsid w:val="00211396"/>
    <w:rsid w:val="00220B05"/>
    <w:rsid w:val="00222320"/>
    <w:rsid w:val="00225B9B"/>
    <w:rsid w:val="00226AE6"/>
    <w:rsid w:val="00245B34"/>
    <w:rsid w:val="002541F5"/>
    <w:rsid w:val="0026318A"/>
    <w:rsid w:val="00263355"/>
    <w:rsid w:val="002648C4"/>
    <w:rsid w:val="00273792"/>
    <w:rsid w:val="00284E77"/>
    <w:rsid w:val="002878CD"/>
    <w:rsid w:val="00287B17"/>
    <w:rsid w:val="0029726D"/>
    <w:rsid w:val="002A1054"/>
    <w:rsid w:val="002A73D5"/>
    <w:rsid w:val="002B1685"/>
    <w:rsid w:val="002B4F94"/>
    <w:rsid w:val="002C1204"/>
    <w:rsid w:val="002C6295"/>
    <w:rsid w:val="002D4AC8"/>
    <w:rsid w:val="002E161E"/>
    <w:rsid w:val="002E36C3"/>
    <w:rsid w:val="00307183"/>
    <w:rsid w:val="00320BDF"/>
    <w:rsid w:val="00320D78"/>
    <w:rsid w:val="0034124E"/>
    <w:rsid w:val="00364902"/>
    <w:rsid w:val="00370704"/>
    <w:rsid w:val="00380FE5"/>
    <w:rsid w:val="00384455"/>
    <w:rsid w:val="003851A7"/>
    <w:rsid w:val="003924DD"/>
    <w:rsid w:val="00394108"/>
    <w:rsid w:val="00394FCB"/>
    <w:rsid w:val="003963BE"/>
    <w:rsid w:val="003963F4"/>
    <w:rsid w:val="003B5254"/>
    <w:rsid w:val="003B75A6"/>
    <w:rsid w:val="003C7E14"/>
    <w:rsid w:val="003D2C21"/>
    <w:rsid w:val="003D6317"/>
    <w:rsid w:val="003E3033"/>
    <w:rsid w:val="003F05CE"/>
    <w:rsid w:val="003F0BE6"/>
    <w:rsid w:val="003F5044"/>
    <w:rsid w:val="003F76A8"/>
    <w:rsid w:val="004061CA"/>
    <w:rsid w:val="00413299"/>
    <w:rsid w:val="00415689"/>
    <w:rsid w:val="00424D08"/>
    <w:rsid w:val="0044004B"/>
    <w:rsid w:val="004440CB"/>
    <w:rsid w:val="00446E40"/>
    <w:rsid w:val="004713D2"/>
    <w:rsid w:val="004731D3"/>
    <w:rsid w:val="00487A4D"/>
    <w:rsid w:val="00491D4B"/>
    <w:rsid w:val="0049600B"/>
    <w:rsid w:val="004B6E28"/>
    <w:rsid w:val="004B7486"/>
    <w:rsid w:val="004D7000"/>
    <w:rsid w:val="004E4E62"/>
    <w:rsid w:val="004F5525"/>
    <w:rsid w:val="00502819"/>
    <w:rsid w:val="00521639"/>
    <w:rsid w:val="0053167D"/>
    <w:rsid w:val="00532BB7"/>
    <w:rsid w:val="005332E4"/>
    <w:rsid w:val="0053550C"/>
    <w:rsid w:val="00536D92"/>
    <w:rsid w:val="00537AB4"/>
    <w:rsid w:val="00543B6A"/>
    <w:rsid w:val="00551919"/>
    <w:rsid w:val="00553C3F"/>
    <w:rsid w:val="00555018"/>
    <w:rsid w:val="00561060"/>
    <w:rsid w:val="00566198"/>
    <w:rsid w:val="005723DC"/>
    <w:rsid w:val="00574A8A"/>
    <w:rsid w:val="00580214"/>
    <w:rsid w:val="00584305"/>
    <w:rsid w:val="005B00A9"/>
    <w:rsid w:val="005C1565"/>
    <w:rsid w:val="005D64AD"/>
    <w:rsid w:val="005E628F"/>
    <w:rsid w:val="005F0B0E"/>
    <w:rsid w:val="005F3881"/>
    <w:rsid w:val="005F79AB"/>
    <w:rsid w:val="00603CDA"/>
    <w:rsid w:val="006149B6"/>
    <w:rsid w:val="006207C1"/>
    <w:rsid w:val="006210DC"/>
    <w:rsid w:val="006263AB"/>
    <w:rsid w:val="006271D1"/>
    <w:rsid w:val="0063112E"/>
    <w:rsid w:val="00631D0C"/>
    <w:rsid w:val="006353C5"/>
    <w:rsid w:val="0064349D"/>
    <w:rsid w:val="0064355F"/>
    <w:rsid w:val="00645825"/>
    <w:rsid w:val="00646973"/>
    <w:rsid w:val="00653EED"/>
    <w:rsid w:val="00672DCF"/>
    <w:rsid w:val="00677B4B"/>
    <w:rsid w:val="006832CB"/>
    <w:rsid w:val="00685549"/>
    <w:rsid w:val="00693449"/>
    <w:rsid w:val="006A1FD5"/>
    <w:rsid w:val="006A397E"/>
    <w:rsid w:val="006B0196"/>
    <w:rsid w:val="006B183E"/>
    <w:rsid w:val="006B2451"/>
    <w:rsid w:val="006B2CF3"/>
    <w:rsid w:val="006B7365"/>
    <w:rsid w:val="006C1C9E"/>
    <w:rsid w:val="006C2D81"/>
    <w:rsid w:val="006C7DF8"/>
    <w:rsid w:val="006D0164"/>
    <w:rsid w:val="006D63D7"/>
    <w:rsid w:val="006D6856"/>
    <w:rsid w:val="006E67CA"/>
    <w:rsid w:val="006F3E81"/>
    <w:rsid w:val="006F40B9"/>
    <w:rsid w:val="006F48C0"/>
    <w:rsid w:val="0070273C"/>
    <w:rsid w:val="00702F0A"/>
    <w:rsid w:val="007143B6"/>
    <w:rsid w:val="0071440D"/>
    <w:rsid w:val="00715335"/>
    <w:rsid w:val="007154DC"/>
    <w:rsid w:val="00716972"/>
    <w:rsid w:val="00736244"/>
    <w:rsid w:val="00741828"/>
    <w:rsid w:val="00742BED"/>
    <w:rsid w:val="00750FC8"/>
    <w:rsid w:val="007533D0"/>
    <w:rsid w:val="00753911"/>
    <w:rsid w:val="00755069"/>
    <w:rsid w:val="00762554"/>
    <w:rsid w:val="0076334C"/>
    <w:rsid w:val="0076543D"/>
    <w:rsid w:val="0076727A"/>
    <w:rsid w:val="00773E1D"/>
    <w:rsid w:val="0077482C"/>
    <w:rsid w:val="00776955"/>
    <w:rsid w:val="0079176E"/>
    <w:rsid w:val="007B0660"/>
    <w:rsid w:val="007C2BB1"/>
    <w:rsid w:val="007C4411"/>
    <w:rsid w:val="007C5056"/>
    <w:rsid w:val="007D4194"/>
    <w:rsid w:val="007E3868"/>
    <w:rsid w:val="007F7E2E"/>
    <w:rsid w:val="00800181"/>
    <w:rsid w:val="00800609"/>
    <w:rsid w:val="00815082"/>
    <w:rsid w:val="00817DB9"/>
    <w:rsid w:val="00817EEB"/>
    <w:rsid w:val="00820C41"/>
    <w:rsid w:val="0082209E"/>
    <w:rsid w:val="00833427"/>
    <w:rsid w:val="00837443"/>
    <w:rsid w:val="00846BDD"/>
    <w:rsid w:val="00850256"/>
    <w:rsid w:val="00855CE1"/>
    <w:rsid w:val="00860B5A"/>
    <w:rsid w:val="00862095"/>
    <w:rsid w:val="00867C71"/>
    <w:rsid w:val="00875D08"/>
    <w:rsid w:val="00883E61"/>
    <w:rsid w:val="0089630F"/>
    <w:rsid w:val="008A27E1"/>
    <w:rsid w:val="008A54FD"/>
    <w:rsid w:val="008A6474"/>
    <w:rsid w:val="008C0763"/>
    <w:rsid w:val="008C59FC"/>
    <w:rsid w:val="008D2C0D"/>
    <w:rsid w:val="008E186E"/>
    <w:rsid w:val="008E4411"/>
    <w:rsid w:val="008E783C"/>
    <w:rsid w:val="008F5A3F"/>
    <w:rsid w:val="00902E09"/>
    <w:rsid w:val="00904F0A"/>
    <w:rsid w:val="0091088A"/>
    <w:rsid w:val="00915457"/>
    <w:rsid w:val="00915C3C"/>
    <w:rsid w:val="00922DEA"/>
    <w:rsid w:val="00923928"/>
    <w:rsid w:val="0093246F"/>
    <w:rsid w:val="0093686F"/>
    <w:rsid w:val="00942FD4"/>
    <w:rsid w:val="009431E9"/>
    <w:rsid w:val="00945790"/>
    <w:rsid w:val="00951997"/>
    <w:rsid w:val="00953A32"/>
    <w:rsid w:val="009573AB"/>
    <w:rsid w:val="009750D1"/>
    <w:rsid w:val="00990352"/>
    <w:rsid w:val="00990F71"/>
    <w:rsid w:val="009B5F1F"/>
    <w:rsid w:val="009C5DAB"/>
    <w:rsid w:val="009D09D7"/>
    <w:rsid w:val="009D12CD"/>
    <w:rsid w:val="009D2DB5"/>
    <w:rsid w:val="009D50F2"/>
    <w:rsid w:val="009E798F"/>
    <w:rsid w:val="009F49A6"/>
    <w:rsid w:val="00A03405"/>
    <w:rsid w:val="00A03BDA"/>
    <w:rsid w:val="00A05430"/>
    <w:rsid w:val="00A10113"/>
    <w:rsid w:val="00A12741"/>
    <w:rsid w:val="00A1528A"/>
    <w:rsid w:val="00A1595B"/>
    <w:rsid w:val="00A16CF7"/>
    <w:rsid w:val="00A300F7"/>
    <w:rsid w:val="00A33918"/>
    <w:rsid w:val="00A33A63"/>
    <w:rsid w:val="00A367D6"/>
    <w:rsid w:val="00A37E34"/>
    <w:rsid w:val="00A40714"/>
    <w:rsid w:val="00A43E00"/>
    <w:rsid w:val="00A61046"/>
    <w:rsid w:val="00A62E93"/>
    <w:rsid w:val="00A66D6C"/>
    <w:rsid w:val="00A673DD"/>
    <w:rsid w:val="00A7014B"/>
    <w:rsid w:val="00A7629F"/>
    <w:rsid w:val="00A82D98"/>
    <w:rsid w:val="00A97113"/>
    <w:rsid w:val="00AA2C8E"/>
    <w:rsid w:val="00AA73E7"/>
    <w:rsid w:val="00AB2538"/>
    <w:rsid w:val="00AB3BB4"/>
    <w:rsid w:val="00AB58B0"/>
    <w:rsid w:val="00AC171B"/>
    <w:rsid w:val="00AC627E"/>
    <w:rsid w:val="00AE193F"/>
    <w:rsid w:val="00AE26CF"/>
    <w:rsid w:val="00AF0CEE"/>
    <w:rsid w:val="00AF6E13"/>
    <w:rsid w:val="00B0092F"/>
    <w:rsid w:val="00B02DB9"/>
    <w:rsid w:val="00B116E9"/>
    <w:rsid w:val="00B15D49"/>
    <w:rsid w:val="00B23E2A"/>
    <w:rsid w:val="00B31B02"/>
    <w:rsid w:val="00B3252A"/>
    <w:rsid w:val="00B42703"/>
    <w:rsid w:val="00B54A47"/>
    <w:rsid w:val="00B607F8"/>
    <w:rsid w:val="00B64321"/>
    <w:rsid w:val="00B667AD"/>
    <w:rsid w:val="00B7320F"/>
    <w:rsid w:val="00B76F7C"/>
    <w:rsid w:val="00B84C38"/>
    <w:rsid w:val="00B858B5"/>
    <w:rsid w:val="00B86C00"/>
    <w:rsid w:val="00B91B73"/>
    <w:rsid w:val="00B91D6A"/>
    <w:rsid w:val="00B947F6"/>
    <w:rsid w:val="00BA2D29"/>
    <w:rsid w:val="00BA6D63"/>
    <w:rsid w:val="00BB71A6"/>
    <w:rsid w:val="00BC15CD"/>
    <w:rsid w:val="00BC1C4E"/>
    <w:rsid w:val="00BD4378"/>
    <w:rsid w:val="00BE124B"/>
    <w:rsid w:val="00BE60D8"/>
    <w:rsid w:val="00BF16AA"/>
    <w:rsid w:val="00BF526C"/>
    <w:rsid w:val="00C03062"/>
    <w:rsid w:val="00C0414C"/>
    <w:rsid w:val="00C1179C"/>
    <w:rsid w:val="00C120CE"/>
    <w:rsid w:val="00C15F04"/>
    <w:rsid w:val="00C1650E"/>
    <w:rsid w:val="00C26F5D"/>
    <w:rsid w:val="00C32BD5"/>
    <w:rsid w:val="00C354B8"/>
    <w:rsid w:val="00C42A04"/>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70B3"/>
    <w:rsid w:val="00CB434E"/>
    <w:rsid w:val="00CB4FC8"/>
    <w:rsid w:val="00CD338B"/>
    <w:rsid w:val="00CD61C0"/>
    <w:rsid w:val="00CE4788"/>
    <w:rsid w:val="00CF3EBC"/>
    <w:rsid w:val="00CF797F"/>
    <w:rsid w:val="00D133AC"/>
    <w:rsid w:val="00D16374"/>
    <w:rsid w:val="00D417C2"/>
    <w:rsid w:val="00D422EF"/>
    <w:rsid w:val="00D54562"/>
    <w:rsid w:val="00D55185"/>
    <w:rsid w:val="00D579CB"/>
    <w:rsid w:val="00D60936"/>
    <w:rsid w:val="00D709EB"/>
    <w:rsid w:val="00D71003"/>
    <w:rsid w:val="00D74714"/>
    <w:rsid w:val="00D82F3F"/>
    <w:rsid w:val="00D921C6"/>
    <w:rsid w:val="00D92384"/>
    <w:rsid w:val="00D958C2"/>
    <w:rsid w:val="00D95C3F"/>
    <w:rsid w:val="00DC210F"/>
    <w:rsid w:val="00DD2FD5"/>
    <w:rsid w:val="00DE5604"/>
    <w:rsid w:val="00E04AB5"/>
    <w:rsid w:val="00E11E75"/>
    <w:rsid w:val="00E219A2"/>
    <w:rsid w:val="00E23ABC"/>
    <w:rsid w:val="00E50EEA"/>
    <w:rsid w:val="00E5244E"/>
    <w:rsid w:val="00E52F58"/>
    <w:rsid w:val="00E53469"/>
    <w:rsid w:val="00E54233"/>
    <w:rsid w:val="00E61403"/>
    <w:rsid w:val="00E65805"/>
    <w:rsid w:val="00E7187D"/>
    <w:rsid w:val="00E77E19"/>
    <w:rsid w:val="00E8764A"/>
    <w:rsid w:val="00E94927"/>
    <w:rsid w:val="00EA21D5"/>
    <w:rsid w:val="00EB111D"/>
    <w:rsid w:val="00EC1CEA"/>
    <w:rsid w:val="00EC26AA"/>
    <w:rsid w:val="00EC473E"/>
    <w:rsid w:val="00EC6018"/>
    <w:rsid w:val="00ED7A53"/>
    <w:rsid w:val="00EE4273"/>
    <w:rsid w:val="00F01013"/>
    <w:rsid w:val="00F02004"/>
    <w:rsid w:val="00F042CB"/>
    <w:rsid w:val="00F10B74"/>
    <w:rsid w:val="00F14A41"/>
    <w:rsid w:val="00F21BB4"/>
    <w:rsid w:val="00F357D8"/>
    <w:rsid w:val="00F370B2"/>
    <w:rsid w:val="00F371BF"/>
    <w:rsid w:val="00F423DA"/>
    <w:rsid w:val="00F42DC5"/>
    <w:rsid w:val="00F47286"/>
    <w:rsid w:val="00F60941"/>
    <w:rsid w:val="00F60A20"/>
    <w:rsid w:val="00F65075"/>
    <w:rsid w:val="00F6633A"/>
    <w:rsid w:val="00F70E67"/>
    <w:rsid w:val="00F74502"/>
    <w:rsid w:val="00F82E7E"/>
    <w:rsid w:val="00F8412A"/>
    <w:rsid w:val="00F877BB"/>
    <w:rsid w:val="00F938A1"/>
    <w:rsid w:val="00F96885"/>
    <w:rsid w:val="00FA6951"/>
    <w:rsid w:val="00FB6903"/>
    <w:rsid w:val="00FC0A95"/>
    <w:rsid w:val="00FC2AE0"/>
    <w:rsid w:val="00FC319B"/>
    <w:rsid w:val="00FC3D9C"/>
    <w:rsid w:val="00FC579D"/>
    <w:rsid w:val="00FD2031"/>
    <w:rsid w:val="00FD3130"/>
    <w:rsid w:val="00FD3D12"/>
    <w:rsid w:val="00FD68A3"/>
    <w:rsid w:val="00FD6CB7"/>
    <w:rsid w:val="00FE14B5"/>
    <w:rsid w:val="00FE5D1A"/>
    <w:rsid w:val="00FF0153"/>
    <w:rsid w:val="00FF4DD7"/>
    <w:rsid w:val="00FF513A"/>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981</Words>
  <Characters>5597</Characters>
  <Application>Microsoft Office Word</Application>
  <DocSecurity>4</DocSecurity>
  <Lines>46</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2025-11-13T21:05:00Z</cp:lastPrinted>
  <dcterms:created xsi:type="dcterms:W3CDTF">2026-04-21T15:30:00Z</dcterms:created>
  <dcterms:modified xsi:type="dcterms:W3CDTF">2026-04-21T15:30:00Z</dcterms:modified>
</cp:coreProperties>
</file>