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92806" w14:textId="77777777" w:rsidR="00AA74D4" w:rsidRPr="00AA74D4" w:rsidRDefault="00AA74D4" w:rsidP="00AA74D4">
      <w:pPr>
        <w:spacing w:line="281" w:lineRule="auto"/>
        <w:jc w:val="center"/>
        <w:rPr>
          <w:rFonts w:ascii="Book Antiqua" w:hAnsi="Book Antiqua"/>
          <w:sz w:val="28"/>
          <w:szCs w:val="28"/>
          <w:lang w:val="es-PR"/>
        </w:rPr>
      </w:pPr>
      <w:r w:rsidRPr="00AA74D4">
        <w:rPr>
          <w:rFonts w:ascii="Book Antiqua" w:hAnsi="Book Antiqua"/>
          <w:sz w:val="28"/>
          <w:szCs w:val="28"/>
          <w:lang w:val="es-PR"/>
        </w:rPr>
        <w:t>GOBIERNO DE PUERTO RICO</w:t>
      </w:r>
    </w:p>
    <w:p w14:paraId="0561573C" w14:textId="77777777" w:rsidR="00AA74D4" w:rsidRPr="00AA74D4" w:rsidRDefault="00AA74D4" w:rsidP="00AA74D4">
      <w:pPr>
        <w:tabs>
          <w:tab w:val="right" w:pos="9000"/>
        </w:tabs>
        <w:spacing w:line="281" w:lineRule="auto"/>
        <w:rPr>
          <w:rFonts w:ascii="Book Antiqua" w:hAnsi="Book Antiqua"/>
          <w:lang w:val="es-PR"/>
        </w:rPr>
      </w:pPr>
      <w:r w:rsidRPr="00AA74D4">
        <w:rPr>
          <w:rFonts w:ascii="Book Antiqua" w:hAnsi="Book Antiqua"/>
          <w:lang w:val="es-PR"/>
        </w:rPr>
        <w:t>20</w:t>
      </w:r>
      <w:r w:rsidRPr="00AA74D4">
        <w:rPr>
          <w:rFonts w:ascii="Book Antiqua" w:hAnsi="Book Antiqua"/>
          <w:vertAlign w:val="superscript"/>
          <w:lang w:val="es-PR"/>
        </w:rPr>
        <w:t>ma</w:t>
      </w:r>
      <w:r w:rsidRPr="00AA74D4">
        <w:rPr>
          <w:rFonts w:ascii="Book Antiqua" w:hAnsi="Book Antiqua"/>
          <w:lang w:val="es-PR"/>
        </w:rPr>
        <w:t xml:space="preserve"> Asamblea</w:t>
      </w:r>
      <w:r w:rsidRPr="00AA74D4">
        <w:rPr>
          <w:rFonts w:ascii="Book Antiqua" w:hAnsi="Book Antiqua"/>
          <w:lang w:val="es-PR"/>
        </w:rPr>
        <w:tab/>
        <w:t>3</w:t>
      </w:r>
      <w:r w:rsidRPr="00AA74D4">
        <w:rPr>
          <w:rFonts w:ascii="Book Antiqua" w:hAnsi="Book Antiqua"/>
          <w:vertAlign w:val="superscript"/>
          <w:lang w:val="es-PR"/>
        </w:rPr>
        <w:t>ra</w:t>
      </w:r>
      <w:r w:rsidRPr="00AA74D4">
        <w:rPr>
          <w:rFonts w:ascii="Book Antiqua" w:hAnsi="Book Antiqua"/>
          <w:lang w:val="es-PR"/>
        </w:rPr>
        <w:t xml:space="preserve"> Sesión</w:t>
      </w:r>
    </w:p>
    <w:p w14:paraId="025C3F3D" w14:textId="77777777" w:rsidR="00AA74D4" w:rsidRPr="00AA74D4" w:rsidRDefault="00AA74D4" w:rsidP="00AA74D4">
      <w:pPr>
        <w:tabs>
          <w:tab w:val="right" w:pos="9000"/>
        </w:tabs>
        <w:spacing w:line="281" w:lineRule="auto"/>
        <w:rPr>
          <w:rFonts w:ascii="Book Antiqua" w:hAnsi="Book Antiqua"/>
          <w:lang w:val="es-PR"/>
        </w:rPr>
      </w:pPr>
      <w:r w:rsidRPr="00AA74D4">
        <w:rPr>
          <w:rFonts w:ascii="Book Antiqua" w:hAnsi="Book Antiqua"/>
          <w:lang w:val="es-PR"/>
        </w:rPr>
        <w:t>Legislativa</w:t>
      </w:r>
      <w:r w:rsidRPr="00AA74D4">
        <w:rPr>
          <w:rFonts w:ascii="Book Antiqua" w:hAnsi="Book Antiqua"/>
          <w:lang w:val="es-PR"/>
        </w:rPr>
        <w:tab/>
        <w:t>Ordinaria</w:t>
      </w:r>
    </w:p>
    <w:p w14:paraId="6E264F2E" w14:textId="77777777" w:rsidR="00B57BF4" w:rsidRPr="00AA74D4" w:rsidRDefault="00E169C3" w:rsidP="00AA74D4">
      <w:pPr>
        <w:spacing w:before="80" w:after="120"/>
        <w:jc w:val="center"/>
        <w:rPr>
          <w:rFonts w:ascii="Book Antiqua" w:hAnsi="Book Antiqua"/>
          <w:b/>
          <w:bCs/>
          <w:sz w:val="36"/>
          <w:szCs w:val="36"/>
          <w:lang w:val="es-PR"/>
        </w:rPr>
      </w:pPr>
      <w:r w:rsidRPr="00AA74D4">
        <w:rPr>
          <w:rFonts w:ascii="Book Antiqua" w:hAnsi="Book Antiqua"/>
          <w:b/>
          <w:bCs/>
          <w:sz w:val="36"/>
          <w:szCs w:val="36"/>
          <w:lang w:val="es-PR"/>
        </w:rPr>
        <w:t>CÁMARA DE REPRESENTANTES</w:t>
      </w:r>
    </w:p>
    <w:p w14:paraId="395E0C3E" w14:textId="77777777" w:rsidR="00AA74D4" w:rsidRPr="00A564FC" w:rsidRDefault="00AA74D4" w:rsidP="00AA74D4">
      <w:pPr>
        <w:spacing w:after="120"/>
        <w:jc w:val="center"/>
        <w:rPr>
          <w:rFonts w:ascii="Book Antiqua" w:hAnsi="Book Antiqua"/>
          <w:sz w:val="52"/>
          <w:szCs w:val="52"/>
          <w:lang w:val="es-PR"/>
        </w:rPr>
      </w:pPr>
      <w:r w:rsidRPr="00A564FC">
        <w:rPr>
          <w:rFonts w:ascii="Book Antiqua" w:hAnsi="Book Antiqua"/>
          <w:b/>
          <w:bCs/>
          <w:sz w:val="52"/>
          <w:szCs w:val="52"/>
          <w:lang w:val="es-PR"/>
        </w:rPr>
        <w:t>R. C. DE LA C. 227</w:t>
      </w:r>
    </w:p>
    <w:p w14:paraId="197F07E1" w14:textId="77777777" w:rsidR="00AA74D4" w:rsidRPr="00AA74D4" w:rsidRDefault="00AA74D4" w:rsidP="00AA74D4">
      <w:pPr>
        <w:spacing w:before="80" w:after="120"/>
        <w:jc w:val="center"/>
        <w:rPr>
          <w:rFonts w:ascii="Book Antiqua" w:hAnsi="Book Antiqua"/>
          <w:lang w:val="es-PR"/>
        </w:rPr>
      </w:pPr>
    </w:p>
    <w:p w14:paraId="16AF2B8A" w14:textId="77777777" w:rsidR="00B57BF4" w:rsidRPr="00AA74D4" w:rsidRDefault="00E169C3" w:rsidP="00AA74D4">
      <w:pPr>
        <w:spacing w:after="120"/>
        <w:jc w:val="center"/>
        <w:rPr>
          <w:rFonts w:ascii="Book Antiqua" w:hAnsi="Book Antiqua"/>
          <w:b/>
          <w:bCs/>
          <w:lang w:val="es-PR"/>
        </w:rPr>
      </w:pPr>
      <w:r w:rsidRPr="00AA74D4">
        <w:rPr>
          <w:rFonts w:ascii="Book Antiqua" w:hAnsi="Book Antiqua"/>
          <w:b/>
          <w:bCs/>
          <w:lang w:val="es-PR"/>
        </w:rPr>
        <w:t>INFORME POSITIVO</w:t>
      </w:r>
    </w:p>
    <w:p w14:paraId="693ACA79" w14:textId="363778BC" w:rsidR="00AA74D4" w:rsidRPr="00AA74D4" w:rsidRDefault="00C42B90" w:rsidP="00AA74D4">
      <w:pPr>
        <w:spacing w:after="120"/>
        <w:jc w:val="center"/>
        <w:rPr>
          <w:rFonts w:ascii="Book Antiqua" w:hAnsi="Book Antiqua"/>
          <w:lang w:val="es-PR"/>
        </w:rPr>
      </w:pPr>
      <w:r>
        <w:rPr>
          <w:rFonts w:ascii="Book Antiqua" w:hAnsi="Book Antiqua"/>
          <w:b/>
          <w:bCs/>
          <w:lang w:val="es-PR"/>
        </w:rPr>
        <w:t>29</w:t>
      </w:r>
      <w:r w:rsidR="00AA74D4" w:rsidRPr="00AA74D4">
        <w:rPr>
          <w:rFonts w:ascii="Book Antiqua" w:hAnsi="Book Antiqua"/>
          <w:b/>
          <w:bCs/>
          <w:lang w:val="es-PR"/>
        </w:rPr>
        <w:t xml:space="preserve"> </w:t>
      </w:r>
      <w:r w:rsidR="00BC0188">
        <w:rPr>
          <w:rFonts w:ascii="Book Antiqua" w:hAnsi="Book Antiqua"/>
          <w:b/>
          <w:bCs/>
          <w:lang w:val="es-PR"/>
        </w:rPr>
        <w:t>de mayo de 2026</w:t>
      </w:r>
    </w:p>
    <w:p w14:paraId="13BB46E2" w14:textId="77777777" w:rsidR="00CE2677" w:rsidRPr="00AA74D4" w:rsidRDefault="00CE2677" w:rsidP="00AA74D4">
      <w:pPr>
        <w:spacing w:after="120"/>
        <w:rPr>
          <w:rFonts w:ascii="Book Antiqua" w:hAnsi="Book Antiqua"/>
          <w:i/>
          <w:iCs/>
          <w:lang w:val="es-PR"/>
        </w:rPr>
      </w:pPr>
    </w:p>
    <w:p w14:paraId="0A5379F9" w14:textId="6B333E73" w:rsidR="00CE2677" w:rsidRPr="00AA74D4" w:rsidRDefault="00CE2677" w:rsidP="00AA74D4">
      <w:pPr>
        <w:spacing w:after="120"/>
        <w:rPr>
          <w:rFonts w:ascii="Book Antiqua" w:hAnsi="Book Antiqua"/>
          <w:b/>
          <w:bCs/>
          <w:lang w:val="es-PR"/>
        </w:rPr>
      </w:pPr>
      <w:r w:rsidRPr="00AA74D4">
        <w:rPr>
          <w:rFonts w:ascii="Book Antiqua" w:hAnsi="Book Antiqua"/>
          <w:b/>
          <w:bCs/>
          <w:lang w:val="es-PR"/>
        </w:rPr>
        <w:t>A LA C</w:t>
      </w:r>
      <w:r w:rsidR="00BC0188">
        <w:rPr>
          <w:rFonts w:ascii="Book Antiqua" w:hAnsi="Book Antiqua"/>
          <w:b/>
          <w:bCs/>
          <w:lang w:val="es-PR"/>
        </w:rPr>
        <w:t>Á</w:t>
      </w:r>
      <w:r w:rsidRPr="00AA74D4">
        <w:rPr>
          <w:rFonts w:ascii="Book Antiqua" w:hAnsi="Book Antiqua"/>
          <w:b/>
          <w:bCs/>
          <w:lang w:val="es-PR"/>
        </w:rPr>
        <w:t>MARA DE REPRESENTANTES DE PUERTO RICO</w:t>
      </w:r>
      <w:r w:rsidR="00AA74D4" w:rsidRPr="00AA74D4">
        <w:rPr>
          <w:rFonts w:ascii="Book Antiqua" w:hAnsi="Book Antiqua"/>
          <w:b/>
          <w:bCs/>
          <w:lang w:val="es-PR"/>
        </w:rPr>
        <w:t>:</w:t>
      </w:r>
    </w:p>
    <w:p w14:paraId="7E31D578" w14:textId="77777777" w:rsidR="00AA74D4" w:rsidRPr="00AA74D4" w:rsidRDefault="00AA74D4" w:rsidP="00AA74D4">
      <w:pPr>
        <w:spacing w:after="120"/>
        <w:rPr>
          <w:rFonts w:ascii="Book Antiqua" w:hAnsi="Book Antiqua"/>
          <w:b/>
          <w:bCs/>
          <w:lang w:val="es-PR"/>
        </w:rPr>
      </w:pPr>
    </w:p>
    <w:p w14:paraId="4835F183" w14:textId="58D75E85" w:rsidR="00CE2677" w:rsidRDefault="00CE2677" w:rsidP="00AA74D4">
      <w:pPr>
        <w:spacing w:after="120"/>
        <w:ind w:firstLine="720"/>
        <w:jc w:val="both"/>
        <w:rPr>
          <w:rFonts w:ascii="Book Antiqua" w:hAnsi="Book Antiqua"/>
          <w:b/>
          <w:bCs/>
          <w:lang w:val="es-PR"/>
        </w:rPr>
      </w:pPr>
      <w:r w:rsidRPr="00AA74D4">
        <w:rPr>
          <w:rFonts w:ascii="Book Antiqua" w:hAnsi="Book Antiqua"/>
          <w:lang w:val="es-PR"/>
        </w:rPr>
        <w:t>La</w:t>
      </w:r>
      <w:r w:rsidRPr="00AA74D4">
        <w:rPr>
          <w:rFonts w:ascii="Book Antiqua" w:hAnsi="Book Antiqua"/>
          <w:b/>
          <w:bCs/>
          <w:lang w:val="es-PR"/>
        </w:rPr>
        <w:t xml:space="preserve"> </w:t>
      </w:r>
      <w:r w:rsidR="001D3DE9" w:rsidRPr="00AA74D4">
        <w:rPr>
          <w:rFonts w:ascii="Book Antiqua" w:hAnsi="Book Antiqua"/>
          <w:b/>
          <w:bCs/>
          <w:lang w:val="es-PR"/>
        </w:rPr>
        <w:t>Comisión de Recursos Naturales de la Cámara de Representantes del Gobierno</w:t>
      </w:r>
      <w:r w:rsidRPr="00AA74D4">
        <w:rPr>
          <w:rFonts w:ascii="Book Antiqua" w:hAnsi="Book Antiqua"/>
          <w:b/>
          <w:bCs/>
          <w:lang w:val="es-PR"/>
        </w:rPr>
        <w:t xml:space="preserve"> de Puerto Rico, </w:t>
      </w:r>
      <w:r w:rsidRPr="00AA74D4">
        <w:rPr>
          <w:rFonts w:ascii="Book Antiqua" w:hAnsi="Book Antiqua"/>
          <w:lang w:val="es-PR"/>
        </w:rPr>
        <w:t>previo estudio</w:t>
      </w:r>
      <w:r w:rsidR="001D3DE9" w:rsidRPr="00AA74D4">
        <w:rPr>
          <w:rFonts w:ascii="Book Antiqua" w:hAnsi="Book Antiqua"/>
          <w:lang w:val="es-PR"/>
        </w:rPr>
        <w:t xml:space="preserve"> y consideración de la </w:t>
      </w:r>
      <w:r w:rsidR="001D3DE9" w:rsidRPr="00AA74D4">
        <w:rPr>
          <w:rFonts w:ascii="Book Antiqua" w:hAnsi="Book Antiqua"/>
          <w:b/>
          <w:bCs/>
          <w:lang w:val="es-PR"/>
        </w:rPr>
        <w:t xml:space="preserve">Resolución Conjunta de la Cámara 227, </w:t>
      </w:r>
      <w:r w:rsidR="001D3DE9" w:rsidRPr="00AA74D4">
        <w:rPr>
          <w:rFonts w:ascii="Book Antiqua" w:hAnsi="Book Antiqua"/>
          <w:lang w:val="es-PR"/>
        </w:rPr>
        <w:t xml:space="preserve">tiene el honor de recomendar a este Honorable Cuerpo Legislativo su </w:t>
      </w:r>
      <w:r w:rsidR="001D3DE9" w:rsidRPr="00AA74D4">
        <w:rPr>
          <w:rFonts w:ascii="Book Antiqua" w:hAnsi="Book Antiqua"/>
          <w:b/>
          <w:bCs/>
          <w:lang w:val="es-PR"/>
        </w:rPr>
        <w:t>aprobación, sin enmiendas</w:t>
      </w:r>
      <w:r w:rsidR="00AA74D4" w:rsidRPr="00AA74D4">
        <w:rPr>
          <w:rFonts w:ascii="Book Antiqua" w:hAnsi="Book Antiqua"/>
          <w:b/>
          <w:bCs/>
          <w:lang w:val="es-PR"/>
        </w:rPr>
        <w:t>.</w:t>
      </w:r>
    </w:p>
    <w:p w14:paraId="325C3E3E" w14:textId="77777777" w:rsidR="00BC0188" w:rsidRPr="00AA74D4" w:rsidRDefault="00BC0188" w:rsidP="00AA74D4">
      <w:pPr>
        <w:spacing w:after="120"/>
        <w:ind w:firstLine="720"/>
        <w:jc w:val="both"/>
        <w:rPr>
          <w:rFonts w:ascii="Book Antiqua" w:hAnsi="Book Antiqua"/>
          <w:b/>
          <w:bCs/>
          <w:lang w:val="es-PR"/>
        </w:rPr>
      </w:pPr>
    </w:p>
    <w:p w14:paraId="60D290D9" w14:textId="3E4B084F" w:rsidR="00CE2677" w:rsidRPr="00AA74D4" w:rsidRDefault="00CE2677" w:rsidP="00AA74D4">
      <w:pPr>
        <w:spacing w:after="120"/>
        <w:jc w:val="center"/>
        <w:rPr>
          <w:rFonts w:ascii="Book Antiqua" w:hAnsi="Book Antiqua"/>
          <w:b/>
          <w:bCs/>
          <w:lang w:val="es-PR"/>
        </w:rPr>
      </w:pPr>
      <w:r w:rsidRPr="00AA74D4">
        <w:rPr>
          <w:rFonts w:ascii="Book Antiqua" w:hAnsi="Book Antiqua"/>
          <w:b/>
          <w:bCs/>
          <w:lang w:val="es-PR"/>
        </w:rPr>
        <w:t>ALCANCE DE LA MEDIDA</w:t>
      </w:r>
    </w:p>
    <w:p w14:paraId="6549FA50" w14:textId="36E43EFA" w:rsidR="00B57BF4" w:rsidRPr="00AA74D4" w:rsidRDefault="00CE2677" w:rsidP="00AA74D4">
      <w:pPr>
        <w:spacing w:after="120"/>
        <w:ind w:firstLine="720"/>
        <w:jc w:val="both"/>
        <w:rPr>
          <w:rFonts w:ascii="Book Antiqua" w:hAnsi="Book Antiqua"/>
          <w:lang w:val="es-PR"/>
        </w:rPr>
      </w:pPr>
      <w:r w:rsidRPr="00AA74D4">
        <w:rPr>
          <w:rFonts w:ascii="Book Antiqua" w:hAnsi="Book Antiqua"/>
          <w:lang w:val="es-PR"/>
        </w:rPr>
        <w:t xml:space="preserve">La </w:t>
      </w:r>
      <w:r w:rsidR="00AA74D4" w:rsidRPr="00AA74D4">
        <w:rPr>
          <w:rFonts w:ascii="Book Antiqua" w:hAnsi="Book Antiqua"/>
          <w:lang w:val="es-PR"/>
        </w:rPr>
        <w:t>R</w:t>
      </w:r>
      <w:r w:rsidRPr="00AA74D4">
        <w:rPr>
          <w:rFonts w:ascii="Book Antiqua" w:hAnsi="Book Antiqua"/>
          <w:lang w:val="es-PR"/>
        </w:rPr>
        <w:t>esolución Conjunta de la C</w:t>
      </w:r>
      <w:r w:rsidR="00BC0188">
        <w:rPr>
          <w:rFonts w:ascii="Book Antiqua" w:hAnsi="Book Antiqua"/>
          <w:lang w:val="es-PR"/>
        </w:rPr>
        <w:t>á</w:t>
      </w:r>
      <w:r w:rsidRPr="00AA74D4">
        <w:rPr>
          <w:rFonts w:ascii="Book Antiqua" w:hAnsi="Book Antiqua"/>
          <w:lang w:val="es-PR"/>
        </w:rPr>
        <w:t>mara 227 ordena</w:t>
      </w:r>
      <w:r w:rsidR="00E169C3" w:rsidRPr="00AA74D4">
        <w:rPr>
          <w:rFonts w:ascii="Book Antiqua" w:hAnsi="Book Antiqua"/>
          <w:lang w:val="es-PR"/>
        </w:rPr>
        <w:t xml:space="preserve"> al Departamento de Recursos Naturales y Ambientales</w:t>
      </w:r>
      <w:r w:rsidR="00BC0188">
        <w:rPr>
          <w:rFonts w:ascii="Book Antiqua" w:hAnsi="Book Antiqua"/>
          <w:lang w:val="es-PR"/>
        </w:rPr>
        <w:t xml:space="preserve"> (DRNA)</w:t>
      </w:r>
      <w:r w:rsidR="00E169C3" w:rsidRPr="00AA74D4">
        <w:rPr>
          <w:rFonts w:ascii="Book Antiqua" w:hAnsi="Book Antiqua"/>
          <w:lang w:val="es-PR"/>
        </w:rPr>
        <w:t>, realizar un estudio Geomorfológico en el área afectada por la erosión costera en la comunidad Parcelas Suárez del Municipio de Loíza, para determinar las alternativas posibles para corregir y evitar la erosión costera; y para otros fines relacionados.</w:t>
      </w:r>
    </w:p>
    <w:p w14:paraId="46577030" w14:textId="77777777" w:rsidR="00B57BF4" w:rsidRPr="00AA74D4" w:rsidRDefault="00E169C3" w:rsidP="00AA74D4">
      <w:pPr>
        <w:spacing w:after="120"/>
        <w:ind w:firstLine="720"/>
        <w:jc w:val="both"/>
        <w:rPr>
          <w:rFonts w:ascii="Book Antiqua" w:hAnsi="Book Antiqua"/>
          <w:lang w:val="es-PR"/>
        </w:rPr>
      </w:pPr>
      <w:r w:rsidRPr="00AA74D4">
        <w:rPr>
          <w:rFonts w:ascii="Book Antiqua" w:hAnsi="Book Antiqua"/>
          <w:lang w:val="es-PR"/>
        </w:rPr>
        <w:t>La medida dispone, además, que el DRNA buscará la colaboración y ayuda de otras agencias del Gobierno de Puerto Rico, así como de agencias federales, para dar cumplimiento al mandato de la Resolución Conjunta. La misma comenzará a regir inmediatamente después de su aprobación.</w:t>
      </w:r>
    </w:p>
    <w:p w14:paraId="45F62655" w14:textId="77777777" w:rsidR="00B57BF4" w:rsidRPr="00AA74D4" w:rsidRDefault="00E169C3" w:rsidP="00AA74D4">
      <w:pPr>
        <w:spacing w:after="120"/>
        <w:ind w:firstLine="720"/>
        <w:jc w:val="both"/>
        <w:rPr>
          <w:rFonts w:ascii="Book Antiqua" w:hAnsi="Book Antiqua"/>
          <w:lang w:val="es-PR"/>
        </w:rPr>
      </w:pPr>
      <w:r w:rsidRPr="00AA74D4">
        <w:rPr>
          <w:rFonts w:ascii="Book Antiqua" w:hAnsi="Book Antiqua"/>
          <w:lang w:val="es-PR"/>
        </w:rPr>
        <w:t>La geomorfología es la disciplina científica que estudia las formas de la superficie terrestre, su génesis y comportamiento dinámico. Su campo de estudio integra conocimientos de diversas ramas de la geografía física, tales como la climatología, la hidrografía, la pedología y la glaciología, entre otras, así como el análisis de fenómenos biológicos, geológicos y antrópicos que inciden en el relieve.</w:t>
      </w:r>
    </w:p>
    <w:p w14:paraId="0F296326" w14:textId="77777777" w:rsidR="00B57BF4" w:rsidRPr="00AA74D4" w:rsidRDefault="00E169C3" w:rsidP="00AA74D4">
      <w:pPr>
        <w:spacing w:after="120"/>
        <w:ind w:firstLine="720"/>
        <w:jc w:val="both"/>
        <w:rPr>
          <w:rFonts w:ascii="Book Antiqua" w:hAnsi="Book Antiqua"/>
          <w:lang w:val="es-PR"/>
        </w:rPr>
      </w:pPr>
      <w:r w:rsidRPr="00AA74D4">
        <w:rPr>
          <w:rFonts w:ascii="Book Antiqua" w:hAnsi="Book Antiqua"/>
          <w:lang w:val="es-PR"/>
        </w:rPr>
        <w:t xml:space="preserve">Los geomorfólogos utilizan una amplia gama de técnicas que incluyen trabajo de campo, interpretación de datos de sensores remotos, análisis geoquímicos y modelado numérico de la física de los paisajes. La geocronología y las técnicas de medición del terreno, como el GPS diferencial, los modelos digitales de terreno y el escaneo láser, </w:t>
      </w:r>
      <w:r w:rsidRPr="00AA74D4">
        <w:rPr>
          <w:rFonts w:ascii="Book Antiqua" w:hAnsi="Book Antiqua"/>
          <w:lang w:val="es-PR"/>
        </w:rPr>
        <w:lastRenderedPageBreak/>
        <w:t>permiten describir cuantitativamente las formas de la superficie terrestre y medir las tasas de cambio con precisión.</w:t>
      </w:r>
    </w:p>
    <w:p w14:paraId="41CD5B3B" w14:textId="77777777" w:rsidR="00B57BF4" w:rsidRPr="00AA74D4" w:rsidRDefault="00E169C3" w:rsidP="00AA74D4">
      <w:pPr>
        <w:spacing w:after="120"/>
        <w:ind w:firstLine="720"/>
        <w:jc w:val="both"/>
        <w:rPr>
          <w:rFonts w:ascii="Book Antiqua" w:hAnsi="Book Antiqua"/>
          <w:lang w:val="es-PR"/>
        </w:rPr>
      </w:pPr>
      <w:r w:rsidRPr="00AA74D4">
        <w:rPr>
          <w:rFonts w:ascii="Book Antiqua" w:hAnsi="Book Antiqua"/>
          <w:lang w:val="es-PR"/>
        </w:rPr>
        <w:t xml:space="preserve">Entre las aplicaciones prácticas de la geomorfología se encuentran la evaluación y mitigación de peligros naturales, incluyendo la predicción de deslizamientos de tierra, el control de ríos y la protección costera. La geomorfología aplicada, cuyo desarrollo fue impulsado por el Instituto de Geografía Aplicada fundado por Jean Tricart, se centra en la interacción entre las acciones humanas y las formas de la tierra, con especial énfasis en el manejo de los </w:t>
      </w:r>
      <w:proofErr w:type="spellStart"/>
      <w:r w:rsidRPr="00AA74D4">
        <w:rPr>
          <w:rFonts w:ascii="Book Antiqua" w:hAnsi="Book Antiqua"/>
          <w:lang w:val="es-PR"/>
        </w:rPr>
        <w:t>georriesgos</w:t>
      </w:r>
      <w:proofErr w:type="spellEnd"/>
      <w:r w:rsidRPr="00AA74D4">
        <w:rPr>
          <w:rFonts w:ascii="Book Antiqua" w:hAnsi="Book Antiqua"/>
          <w:lang w:val="es-PR"/>
        </w:rPr>
        <w:t>, entre los cuales se encuentran la erosión de playas, los movimientos en masa y la mitigación de inundaciones.</w:t>
      </w:r>
    </w:p>
    <w:p w14:paraId="7E31C9A3" w14:textId="77777777" w:rsidR="00B57BF4" w:rsidRPr="00AA74D4" w:rsidRDefault="00E169C3" w:rsidP="00AA74D4">
      <w:pPr>
        <w:spacing w:after="120"/>
        <w:ind w:firstLine="720"/>
        <w:jc w:val="both"/>
        <w:rPr>
          <w:rFonts w:ascii="Book Antiqua" w:hAnsi="Book Antiqua"/>
          <w:lang w:val="es-PR"/>
        </w:rPr>
      </w:pPr>
      <w:r w:rsidRPr="00AA74D4">
        <w:rPr>
          <w:rFonts w:ascii="Book Antiqua" w:hAnsi="Book Antiqua"/>
          <w:lang w:val="es-PR"/>
        </w:rPr>
        <w:t>En virtud de lo anterior, la Asamblea Legislativa determina que es necesario encomendar al Departamento de Recursos Naturales y Ambientales la realización de un estudio geomorfológico para identificar y evaluar las alternativas posibles para corregir y evitar la erosión costera que afecta la comunidad Parcelas Suárez del Municipio de Loíza.</w:t>
      </w:r>
    </w:p>
    <w:p w14:paraId="57115EEF" w14:textId="3142E2FC" w:rsidR="00B57BF4" w:rsidRPr="00AA74D4" w:rsidRDefault="001D3DE9" w:rsidP="00AA74D4">
      <w:pPr>
        <w:spacing w:before="280" w:after="120"/>
        <w:jc w:val="center"/>
        <w:rPr>
          <w:rFonts w:ascii="Book Antiqua" w:hAnsi="Book Antiqua"/>
          <w:b/>
          <w:bCs/>
          <w:lang w:val="es-PR"/>
        </w:rPr>
      </w:pPr>
      <w:r w:rsidRPr="00AA74D4">
        <w:rPr>
          <w:rFonts w:ascii="Book Antiqua" w:hAnsi="Book Antiqua"/>
          <w:b/>
          <w:bCs/>
          <w:lang w:val="es-PR"/>
        </w:rPr>
        <w:t>ANALISIS DE LA MEDIDA</w:t>
      </w:r>
    </w:p>
    <w:p w14:paraId="28D55F35" w14:textId="04EC475E" w:rsidR="001D3DE9" w:rsidRPr="00AA74D4" w:rsidRDefault="001D3DE9" w:rsidP="00AA74D4">
      <w:pPr>
        <w:spacing w:after="120"/>
        <w:ind w:firstLine="720"/>
        <w:jc w:val="both"/>
        <w:rPr>
          <w:rFonts w:ascii="Book Antiqua" w:hAnsi="Book Antiqua"/>
          <w:lang w:val="es-PR"/>
        </w:rPr>
      </w:pPr>
      <w:r w:rsidRPr="00AA74D4">
        <w:rPr>
          <w:rFonts w:ascii="Book Antiqua" w:hAnsi="Book Antiqua"/>
          <w:lang w:val="es-PR"/>
        </w:rPr>
        <w:t xml:space="preserve">La R. C. de la C. 227 fue presentada el 23 de octubre de 2025 por la representante Medina Calderón durante la Segunda Sesión Ordinaria de la </w:t>
      </w:r>
      <w:r w:rsidR="00BC0188" w:rsidRPr="00AA74D4">
        <w:rPr>
          <w:rFonts w:ascii="Book Antiqua" w:hAnsi="Book Antiqua"/>
          <w:lang w:val="es-PR"/>
        </w:rPr>
        <w:t>20</w:t>
      </w:r>
      <w:r w:rsidR="00BC0188" w:rsidRPr="00AA74D4">
        <w:rPr>
          <w:rFonts w:ascii="Book Antiqua" w:hAnsi="Book Antiqua"/>
          <w:vertAlign w:val="superscript"/>
          <w:lang w:val="es-PR"/>
        </w:rPr>
        <w:t>ma</w:t>
      </w:r>
      <w:r w:rsidR="00BC0188" w:rsidRPr="00AA74D4">
        <w:rPr>
          <w:rFonts w:ascii="Book Antiqua" w:hAnsi="Book Antiqua"/>
          <w:lang w:val="es-PR"/>
        </w:rPr>
        <w:t xml:space="preserve"> Asamblea </w:t>
      </w:r>
      <w:r w:rsidRPr="00AA74D4">
        <w:rPr>
          <w:rFonts w:ascii="Book Antiqua" w:hAnsi="Book Antiqua"/>
          <w:lang w:val="es-PR"/>
        </w:rPr>
        <w:t>Legislativa. Mediante referido de la Cámara de Representantes, la medida fue enviada a la Comisión de Recursos Naturales para su evaluación y consideración.</w:t>
      </w:r>
    </w:p>
    <w:p w14:paraId="1CB24A33" w14:textId="77777777" w:rsidR="001D3DE9" w:rsidRPr="00AA74D4" w:rsidRDefault="001D3DE9" w:rsidP="00AA74D4">
      <w:pPr>
        <w:spacing w:after="120"/>
        <w:ind w:firstLine="720"/>
        <w:jc w:val="both"/>
        <w:rPr>
          <w:rFonts w:ascii="Book Antiqua" w:hAnsi="Book Antiqua"/>
          <w:lang w:val="es-PR"/>
        </w:rPr>
      </w:pPr>
      <w:r w:rsidRPr="00AA74D4">
        <w:rPr>
          <w:rFonts w:ascii="Book Antiqua" w:hAnsi="Book Antiqua"/>
          <w:lang w:val="es-PR"/>
        </w:rPr>
        <w:t xml:space="preserve">En el curso de dicha evaluación, la Comisión recibió el memorial explicativo del Departamento de Recursos Naturales y Ambientales (DRNA), suscrito por su Secretario, el Hon. Waldemar Quiles Pérez, con fecha del 9 de febrero de 2026, así como el Informe 2026-505 de la Oficina de Presupuesto de la Asamblea Legislativa (OPAL), emitido en mayo de 2026 y suscrito por su Director Ejecutivo, el Lcdo. </w:t>
      </w:r>
      <w:proofErr w:type="spellStart"/>
      <w:r w:rsidRPr="00AA74D4">
        <w:rPr>
          <w:rFonts w:ascii="Book Antiqua" w:hAnsi="Book Antiqua"/>
          <w:lang w:val="es-PR"/>
        </w:rPr>
        <w:t>Hecrian</w:t>
      </w:r>
      <w:proofErr w:type="spellEnd"/>
      <w:r w:rsidRPr="00AA74D4">
        <w:rPr>
          <w:rFonts w:ascii="Book Antiqua" w:hAnsi="Book Antiqua"/>
          <w:lang w:val="es-PR"/>
        </w:rPr>
        <w:t xml:space="preserve"> D. Martínez </w:t>
      </w:r>
      <w:proofErr w:type="spellStart"/>
      <w:r w:rsidRPr="00AA74D4">
        <w:rPr>
          <w:rFonts w:ascii="Book Antiqua" w:hAnsi="Book Antiqua"/>
          <w:lang w:val="es-PR"/>
        </w:rPr>
        <w:t>Martínez</w:t>
      </w:r>
      <w:proofErr w:type="spellEnd"/>
      <w:r w:rsidRPr="00AA74D4">
        <w:rPr>
          <w:rFonts w:ascii="Book Antiqua" w:hAnsi="Book Antiqua"/>
          <w:lang w:val="es-PR"/>
        </w:rPr>
        <w:t>.</w:t>
      </w:r>
    </w:p>
    <w:p w14:paraId="5073E63E" w14:textId="5E809483" w:rsidR="00B57BF4" w:rsidRPr="00AA74D4" w:rsidRDefault="00E169C3" w:rsidP="0085234C">
      <w:pPr>
        <w:spacing w:before="200" w:after="120"/>
        <w:jc w:val="center"/>
        <w:rPr>
          <w:rFonts w:ascii="Book Antiqua" w:hAnsi="Book Antiqua"/>
          <w:lang w:val="es-PR"/>
        </w:rPr>
      </w:pPr>
      <w:r w:rsidRPr="00AA74D4">
        <w:rPr>
          <w:rFonts w:ascii="Book Antiqua" w:hAnsi="Book Antiqua"/>
          <w:b/>
          <w:bCs/>
          <w:lang w:val="es-PR"/>
        </w:rPr>
        <w:t>Departamento de Recursos Naturales y Ambientales</w:t>
      </w:r>
    </w:p>
    <w:p w14:paraId="0954B630" w14:textId="2BDC0999" w:rsidR="00B57BF4" w:rsidRPr="00AA74D4" w:rsidRDefault="00E169C3" w:rsidP="00AA74D4">
      <w:pPr>
        <w:spacing w:after="120"/>
        <w:ind w:firstLine="720"/>
        <w:jc w:val="both"/>
        <w:rPr>
          <w:rFonts w:ascii="Book Antiqua" w:hAnsi="Book Antiqua"/>
          <w:lang w:val="es-PR"/>
        </w:rPr>
      </w:pPr>
      <w:r w:rsidRPr="00AA74D4">
        <w:rPr>
          <w:rFonts w:ascii="Book Antiqua" w:hAnsi="Book Antiqua"/>
          <w:lang w:val="es-PR"/>
        </w:rPr>
        <w:t xml:space="preserve">Mediante memorial explicativo con fecha del 9 de febrero de 2026, </w:t>
      </w:r>
      <w:r w:rsidR="00BC0188">
        <w:rPr>
          <w:rFonts w:ascii="Book Antiqua" w:hAnsi="Book Antiqua"/>
          <w:lang w:val="es-PR"/>
        </w:rPr>
        <w:br w:type="textWrapping" w:clear="all"/>
      </w:r>
      <w:r w:rsidRPr="00AA74D4">
        <w:rPr>
          <w:rFonts w:ascii="Book Antiqua" w:hAnsi="Book Antiqua"/>
          <w:lang w:val="es-PR"/>
        </w:rPr>
        <w:t xml:space="preserve">el Hon. Waldemar Quiles Pérez, </w:t>
      </w:r>
      <w:proofErr w:type="gramStart"/>
      <w:r w:rsidRPr="00AA74D4">
        <w:rPr>
          <w:rFonts w:ascii="Book Antiqua" w:hAnsi="Book Antiqua"/>
          <w:lang w:val="es-PR"/>
        </w:rPr>
        <w:t>Secretario</w:t>
      </w:r>
      <w:proofErr w:type="gramEnd"/>
      <w:r w:rsidRPr="00AA74D4">
        <w:rPr>
          <w:rFonts w:ascii="Book Antiqua" w:hAnsi="Book Antiqua"/>
          <w:lang w:val="es-PR"/>
        </w:rPr>
        <w:t xml:space="preserve"> del Departamento de Recursos Naturales </w:t>
      </w:r>
      <w:r w:rsidR="00BC0188">
        <w:rPr>
          <w:rFonts w:ascii="Book Antiqua" w:hAnsi="Book Antiqua"/>
          <w:lang w:val="es-PR"/>
        </w:rPr>
        <w:br w:type="textWrapping" w:clear="all"/>
      </w:r>
      <w:r w:rsidRPr="00AA74D4">
        <w:rPr>
          <w:rFonts w:ascii="Book Antiqua" w:hAnsi="Book Antiqua"/>
          <w:lang w:val="es-PR"/>
        </w:rPr>
        <w:t xml:space="preserve">y Ambientales (DRNA), sometió los comentarios de la agencia en torno a </w:t>
      </w:r>
      <w:r w:rsidR="00BC0188">
        <w:rPr>
          <w:rFonts w:ascii="Book Antiqua" w:hAnsi="Book Antiqua"/>
          <w:lang w:val="es-PR"/>
        </w:rPr>
        <w:br w:type="textWrapping" w:clear="all"/>
      </w:r>
      <w:r w:rsidRPr="00AA74D4">
        <w:rPr>
          <w:rFonts w:ascii="Book Antiqua" w:hAnsi="Book Antiqua"/>
          <w:lang w:val="es-PR"/>
        </w:rPr>
        <w:t>la R. C. de la C. 227.</w:t>
      </w:r>
    </w:p>
    <w:p w14:paraId="11DE04DD" w14:textId="77777777" w:rsidR="00B57BF4" w:rsidRPr="00AA74D4" w:rsidRDefault="00E169C3" w:rsidP="00AA74D4">
      <w:pPr>
        <w:spacing w:after="120"/>
        <w:ind w:firstLine="720"/>
        <w:jc w:val="both"/>
        <w:rPr>
          <w:rFonts w:ascii="Book Antiqua" w:hAnsi="Book Antiqua"/>
          <w:lang w:val="es-PR"/>
        </w:rPr>
      </w:pPr>
      <w:r w:rsidRPr="00AA74D4">
        <w:rPr>
          <w:rFonts w:ascii="Book Antiqua" w:hAnsi="Book Antiqua"/>
          <w:lang w:val="es-PR"/>
        </w:rPr>
        <w:t>El DRNA concuerda con el propósito de la medida y reconoce la importancia de los estudios geomorfológicos como herramienta científica fundamental para comprender la dinámica litoral, evaluar riesgos y apoyar la toma de decisiones informadas en materia de manejo costero. La agencia reconoce que la erosión costera constituye uno de los principales retos ambientales y de infraestructura en Puerto Rico, particularmente en comunidades costeras vulnerables como Parcelas Suárez, donde la interacción de procesos naturales ha acelerado la pérdida de playa y la exposición de estructuras e infraestructura crítica.</w:t>
      </w:r>
    </w:p>
    <w:p w14:paraId="0D6D5952" w14:textId="77777777" w:rsidR="00B57BF4" w:rsidRPr="00AA74D4" w:rsidRDefault="00E169C3" w:rsidP="00AA74D4">
      <w:pPr>
        <w:spacing w:after="120"/>
        <w:ind w:firstLine="720"/>
        <w:jc w:val="both"/>
        <w:rPr>
          <w:rFonts w:ascii="Book Antiqua" w:hAnsi="Book Antiqua"/>
          <w:lang w:val="es-PR"/>
        </w:rPr>
      </w:pPr>
      <w:r w:rsidRPr="00AA74D4">
        <w:rPr>
          <w:rFonts w:ascii="Book Antiqua" w:hAnsi="Book Antiqua"/>
          <w:lang w:val="es-PR"/>
        </w:rPr>
        <w:t xml:space="preserve">El DRNA informó que ya ha iniciado gestiones para atender la problemática que enfrenta la comunidad de Parcelas Suárez. La agencia ha sostenido reuniones con la </w:t>
      </w:r>
      <w:r w:rsidRPr="00AA74D4">
        <w:rPr>
          <w:rFonts w:ascii="Book Antiqua" w:hAnsi="Book Antiqua"/>
          <w:lang w:val="es-PR"/>
        </w:rPr>
        <w:lastRenderedPageBreak/>
        <w:t>comunidad a los fines de atender sus preocupaciones y evaluar alternativas viables para mitigar la erosión costera en el área. Como resultado de dichas gestiones, el DRNA comenzó a trabajar en un proyecto piloto de mitigación costera en coordinación con la Universidad de Puerto Rico, Recinto de Aguadilla, enfocado en soluciones basadas en ingeniería costera de bajo impacto, alineadas con las condiciones geomorfológicas del área.</w:t>
      </w:r>
    </w:p>
    <w:p w14:paraId="370859C2" w14:textId="77777777" w:rsidR="00B57BF4" w:rsidRPr="00AA74D4" w:rsidRDefault="00E169C3" w:rsidP="00AA74D4">
      <w:pPr>
        <w:spacing w:after="120"/>
        <w:ind w:firstLine="720"/>
        <w:jc w:val="both"/>
        <w:rPr>
          <w:rFonts w:ascii="Book Antiqua" w:hAnsi="Book Antiqua"/>
          <w:lang w:val="es-PR"/>
        </w:rPr>
      </w:pPr>
      <w:r w:rsidRPr="00AA74D4">
        <w:rPr>
          <w:rFonts w:ascii="Book Antiqua" w:hAnsi="Book Antiqua"/>
          <w:lang w:val="es-PR"/>
        </w:rPr>
        <w:t>El proyecto contempla el uso de "</w:t>
      </w:r>
      <w:proofErr w:type="spellStart"/>
      <w:r w:rsidRPr="00AA74D4">
        <w:rPr>
          <w:rFonts w:ascii="Book Antiqua" w:hAnsi="Book Antiqua"/>
          <w:lang w:val="es-PR"/>
        </w:rPr>
        <w:t>trap</w:t>
      </w:r>
      <w:proofErr w:type="spellEnd"/>
      <w:r w:rsidRPr="00AA74D4">
        <w:rPr>
          <w:rFonts w:ascii="Book Antiqua" w:hAnsi="Book Antiqua"/>
          <w:lang w:val="es-PR"/>
        </w:rPr>
        <w:t xml:space="preserve"> bags", una técnica de mitigación costera de bajo costo y rápida implementación, consistente en estructuras flexibles tipo acordeón que se rellenan con arena del lugar y se compactan, formando barreras que absorben el impacto del oleaje, contribuyen a la retención de arena y favorecen la estabilización de la línea de costa. Alternativas similares han sido implementadas con éxito en otras jurisdicciones costeras, incluyendo Sarasota, Florida, como parte de proyectos dirigidos a atender procesos de erosión activa y proteger áreas vulnerables.</w:t>
      </w:r>
    </w:p>
    <w:p w14:paraId="56683F71" w14:textId="77777777" w:rsidR="00B57BF4" w:rsidRPr="00AA74D4" w:rsidRDefault="00E169C3" w:rsidP="00AA74D4">
      <w:pPr>
        <w:spacing w:after="120"/>
        <w:ind w:firstLine="720"/>
        <w:jc w:val="both"/>
        <w:rPr>
          <w:rFonts w:ascii="Book Antiqua" w:hAnsi="Book Antiqua"/>
          <w:lang w:val="es-PR"/>
        </w:rPr>
      </w:pPr>
      <w:r w:rsidRPr="00AA74D4">
        <w:rPr>
          <w:rFonts w:ascii="Book Antiqua" w:hAnsi="Book Antiqua"/>
          <w:lang w:val="es-PR"/>
        </w:rPr>
        <w:t>El DRNA concluye que las acciones ya iniciadas cumplen con el espíritu y el objetivo de la medida, al integrar conocimiento técnico-científico, participación comunitaria y colaboración interinstitucional. La agencia reitera su compromiso con la atención de la erosión costera en la comunidad Parcelas Suárez mediante enfoques científicos, participativos y sostenibles.</w:t>
      </w:r>
    </w:p>
    <w:p w14:paraId="7856B554" w14:textId="2936F08C" w:rsidR="00B57BF4" w:rsidRPr="00AA74D4" w:rsidRDefault="00E169C3" w:rsidP="00AA74D4">
      <w:pPr>
        <w:spacing w:before="200" w:after="120"/>
        <w:jc w:val="center"/>
        <w:rPr>
          <w:rFonts w:ascii="Book Antiqua" w:hAnsi="Book Antiqua"/>
          <w:lang w:val="es-PR"/>
        </w:rPr>
      </w:pPr>
      <w:r w:rsidRPr="00AA74D4">
        <w:rPr>
          <w:rFonts w:ascii="Book Antiqua" w:hAnsi="Book Antiqua"/>
          <w:b/>
          <w:bCs/>
          <w:lang w:val="es-PR"/>
        </w:rPr>
        <w:t>Oficina de Presupuesto de la Asamblea Legislativa</w:t>
      </w:r>
    </w:p>
    <w:p w14:paraId="31774B35" w14:textId="77777777" w:rsidR="00B57BF4" w:rsidRPr="00AA74D4" w:rsidRDefault="00E169C3" w:rsidP="00AA74D4">
      <w:pPr>
        <w:spacing w:after="120"/>
        <w:ind w:firstLine="720"/>
        <w:jc w:val="both"/>
        <w:rPr>
          <w:rFonts w:ascii="Book Antiqua" w:hAnsi="Book Antiqua"/>
          <w:lang w:val="es-PR"/>
        </w:rPr>
      </w:pPr>
      <w:r w:rsidRPr="00AA74D4">
        <w:rPr>
          <w:rFonts w:ascii="Book Antiqua" w:hAnsi="Book Antiqua"/>
          <w:lang w:val="es-PR"/>
        </w:rPr>
        <w:t>La Oficina de Presupuesto de la Asamblea Legislativa (OPAL) evaluó el efecto fiscal de la R. C. de la C. 227 mediante el Informe 2026-505, emitido en mayo de 2026. La OPAL concluyó que la aprobación de la medida no conlleva efecto fiscal, por tratarse de facultades delegadas al DRNA que no requieren erogación de fondos en su implementación.</w:t>
      </w:r>
    </w:p>
    <w:p w14:paraId="488CF51D" w14:textId="77777777" w:rsidR="00B57BF4" w:rsidRPr="00AA74D4" w:rsidRDefault="00E169C3" w:rsidP="00AA74D4">
      <w:pPr>
        <w:spacing w:after="120"/>
        <w:ind w:firstLine="720"/>
        <w:jc w:val="both"/>
        <w:rPr>
          <w:rFonts w:ascii="Book Antiqua" w:hAnsi="Book Antiqua"/>
          <w:lang w:val="es-PR"/>
        </w:rPr>
      </w:pPr>
      <w:r w:rsidRPr="00AA74D4">
        <w:rPr>
          <w:rFonts w:ascii="Book Antiqua" w:hAnsi="Book Antiqua"/>
          <w:lang w:val="es-PR"/>
        </w:rPr>
        <w:t xml:space="preserve">La OPAL fundamentó su conclusión en que el DRNA cuenta con el andamiaje administrativo necesario para realizar este tipo de estudios, potencialmente con fondos existentes de la agencia, dentro de su gestión ordinaria. En particular, la OPAL destacó que el DRNA cuenta con una División de Geología cuya función incluye la evaluación de aspectos geológicos de prevención de riesgos y la asesoría en casos de erosión costera, así como con la Oficina del Programa de Manejo de la Zona Costanera y Cambios Climáticos, que recibe fondos de la Agencia Nacional Oceánica y Atmosférica (NOAA) para el análisis y desarrollo de estrategias de control de erosión costera, en coordinación con el U.S. Army Corps </w:t>
      </w:r>
      <w:proofErr w:type="spellStart"/>
      <w:r w:rsidRPr="00AA74D4">
        <w:rPr>
          <w:rFonts w:ascii="Book Antiqua" w:hAnsi="Book Antiqua"/>
          <w:lang w:val="es-PR"/>
        </w:rPr>
        <w:t>of</w:t>
      </w:r>
      <w:proofErr w:type="spellEnd"/>
      <w:r w:rsidRPr="00AA74D4">
        <w:rPr>
          <w:rFonts w:ascii="Book Antiqua" w:hAnsi="Book Antiqua"/>
          <w:lang w:val="es-PR"/>
        </w:rPr>
        <w:t xml:space="preserve"> </w:t>
      </w:r>
      <w:proofErr w:type="spellStart"/>
      <w:r w:rsidRPr="00AA74D4">
        <w:rPr>
          <w:rFonts w:ascii="Book Antiqua" w:hAnsi="Book Antiqua"/>
          <w:lang w:val="es-PR"/>
        </w:rPr>
        <w:t>Engineers</w:t>
      </w:r>
      <w:proofErr w:type="spellEnd"/>
      <w:r w:rsidRPr="00AA74D4">
        <w:rPr>
          <w:rFonts w:ascii="Book Antiqua" w:hAnsi="Book Antiqua"/>
          <w:lang w:val="es-PR"/>
        </w:rPr>
        <w:t xml:space="preserve"> (USACE).</w:t>
      </w:r>
    </w:p>
    <w:p w14:paraId="62A4309A" w14:textId="5A7028FF" w:rsidR="00B57BF4" w:rsidRPr="00AA74D4" w:rsidRDefault="001D3DE9" w:rsidP="00AA74D4">
      <w:pPr>
        <w:spacing w:before="280" w:after="120"/>
        <w:jc w:val="center"/>
        <w:rPr>
          <w:rFonts w:ascii="Book Antiqua" w:hAnsi="Book Antiqua"/>
          <w:lang w:val="es-PR"/>
        </w:rPr>
      </w:pPr>
      <w:r w:rsidRPr="00AA74D4">
        <w:rPr>
          <w:rFonts w:ascii="Book Antiqua" w:hAnsi="Book Antiqua"/>
          <w:b/>
          <w:bCs/>
          <w:lang w:val="es-PR"/>
        </w:rPr>
        <w:t>IMPACTO</w:t>
      </w:r>
      <w:r w:rsidR="00E169C3" w:rsidRPr="00AA74D4">
        <w:rPr>
          <w:rFonts w:ascii="Book Antiqua" w:hAnsi="Book Antiqua"/>
          <w:b/>
          <w:bCs/>
          <w:lang w:val="es-PR"/>
        </w:rPr>
        <w:t xml:space="preserve"> FISCAL</w:t>
      </w:r>
    </w:p>
    <w:p w14:paraId="4FE96055" w14:textId="77777777" w:rsidR="00B57BF4" w:rsidRPr="00AA74D4" w:rsidRDefault="00E169C3" w:rsidP="00AA74D4">
      <w:pPr>
        <w:spacing w:after="120"/>
        <w:ind w:firstLine="720"/>
        <w:jc w:val="both"/>
        <w:rPr>
          <w:rFonts w:ascii="Book Antiqua" w:hAnsi="Book Antiqua"/>
          <w:lang w:val="es-PR"/>
        </w:rPr>
      </w:pPr>
      <w:r w:rsidRPr="00AA74D4">
        <w:rPr>
          <w:rFonts w:ascii="Book Antiqua" w:hAnsi="Book Antiqua"/>
          <w:lang w:val="es-PR"/>
        </w:rPr>
        <w:t>Conforme al Informe 2026-505 de la Oficina de Presupuesto de la Asamblea Legislativa (OPAL), la aprobación de la R. C. de la C. 227 no conlleva efecto fiscal. La OPAL determinó que el DRNA podrá realizar el estudio geomorfológico requerido dentro de su gestión ordinaria, con los recursos existentes de la agencia, sin que sea necesaria la erogación de fondos adicionales.</w:t>
      </w:r>
    </w:p>
    <w:p w14:paraId="4721754B" w14:textId="65CBF3D9" w:rsidR="00B57BF4" w:rsidRPr="00AA74D4" w:rsidRDefault="001D3DE9" w:rsidP="00AA74D4">
      <w:pPr>
        <w:spacing w:before="280" w:after="120"/>
        <w:jc w:val="center"/>
        <w:rPr>
          <w:rFonts w:ascii="Book Antiqua" w:hAnsi="Book Antiqua"/>
          <w:lang w:val="es-PR"/>
        </w:rPr>
      </w:pPr>
      <w:r w:rsidRPr="00AA74D4">
        <w:rPr>
          <w:rFonts w:ascii="Book Antiqua" w:hAnsi="Book Antiqua"/>
          <w:b/>
          <w:bCs/>
          <w:lang w:val="es-PR"/>
        </w:rPr>
        <w:lastRenderedPageBreak/>
        <w:t>CONCLU</w:t>
      </w:r>
      <w:r w:rsidR="00E169C3" w:rsidRPr="00AA74D4">
        <w:rPr>
          <w:rFonts w:ascii="Book Antiqua" w:hAnsi="Book Antiqua"/>
          <w:b/>
          <w:bCs/>
          <w:lang w:val="es-PR"/>
        </w:rPr>
        <w:t>SIÓN</w:t>
      </w:r>
    </w:p>
    <w:p w14:paraId="699DA4F8" w14:textId="6A15A4D4" w:rsidR="00B57BF4" w:rsidRPr="00AA74D4" w:rsidRDefault="00E169C3" w:rsidP="00AA74D4">
      <w:pPr>
        <w:spacing w:after="120"/>
        <w:ind w:firstLine="720"/>
        <w:jc w:val="both"/>
        <w:rPr>
          <w:rFonts w:ascii="Book Antiqua" w:hAnsi="Book Antiqua"/>
          <w:lang w:val="es-PR"/>
        </w:rPr>
      </w:pPr>
      <w:r w:rsidRPr="00AA74D4">
        <w:rPr>
          <w:rFonts w:ascii="Book Antiqua" w:hAnsi="Book Antiqua"/>
          <w:lang w:val="es-PR"/>
        </w:rPr>
        <w:t xml:space="preserve">La Comisión de Recursos Naturales de la Cámara de Representantes ha evaluado detenidamente la </w:t>
      </w:r>
      <w:r w:rsidR="00AA74D4" w:rsidRPr="00AA74D4">
        <w:rPr>
          <w:rFonts w:ascii="Book Antiqua" w:hAnsi="Book Antiqua"/>
          <w:lang w:val="es-PR"/>
        </w:rPr>
        <w:t>Resolución Conjunta de la Cámara 227</w:t>
      </w:r>
      <w:r w:rsidRPr="00AA74D4">
        <w:rPr>
          <w:rFonts w:ascii="Book Antiqua" w:hAnsi="Book Antiqua"/>
          <w:lang w:val="es-PR"/>
        </w:rPr>
        <w:t xml:space="preserve"> y estima que la misma responde a una necesidad urgente y legítima de la comunidad Parcelas Suárez del Municipio de Loíza. La erosión costera que afecta a dicha comunidad representa una amenaza seria a la seguridad de sus residentes, a la infraestructura existente y a los recursos naturales costeros de la zona.</w:t>
      </w:r>
    </w:p>
    <w:p w14:paraId="5FCEBF6B" w14:textId="77777777" w:rsidR="00B57BF4" w:rsidRPr="00AA74D4" w:rsidRDefault="00E169C3" w:rsidP="00AA74D4">
      <w:pPr>
        <w:spacing w:after="120"/>
        <w:ind w:firstLine="720"/>
        <w:jc w:val="both"/>
        <w:rPr>
          <w:rFonts w:ascii="Book Antiqua" w:hAnsi="Book Antiqua"/>
          <w:lang w:val="es-PR"/>
        </w:rPr>
      </w:pPr>
      <w:r w:rsidRPr="00AA74D4">
        <w:rPr>
          <w:rFonts w:ascii="Book Antiqua" w:hAnsi="Book Antiqua"/>
          <w:lang w:val="es-PR"/>
        </w:rPr>
        <w:t>La Comisión valora positivamente que el DRNA esté trabajando ya de manera coordinada en la atención de esta problemática, incluyendo el proyecto piloto de mitigación costera desarrollado en colaboración con la Universidad de Puerto Rico, Recinto de Aguadilla, y en coordinación directa con la comunidad afectada. Ello confirma que el mandato propuesto en la R. C. de la C. 227 está en perfecta armonía con las acciones que el DRNA ya viene implementando, y que la medida fortalece institucionalmente dichos esfuerzos al dotarlos de un respaldo legislativo expreso.</w:t>
      </w:r>
    </w:p>
    <w:p w14:paraId="19925958" w14:textId="77777777" w:rsidR="00B57BF4" w:rsidRPr="00AA74D4" w:rsidRDefault="00E169C3" w:rsidP="00AA74D4">
      <w:pPr>
        <w:spacing w:after="120"/>
        <w:ind w:firstLine="720"/>
        <w:jc w:val="both"/>
        <w:rPr>
          <w:rFonts w:ascii="Book Antiqua" w:hAnsi="Book Antiqua"/>
          <w:lang w:val="es-PR"/>
        </w:rPr>
      </w:pPr>
      <w:r w:rsidRPr="00AA74D4">
        <w:rPr>
          <w:rFonts w:ascii="Book Antiqua" w:hAnsi="Book Antiqua"/>
          <w:lang w:val="es-PR"/>
        </w:rPr>
        <w:t>La Comisión destaca, además, que la realización de un estudio geomorfológico científicamente fundamentado es el paso indispensable para garantizar que las soluciones que se adopten sean eficaces, sostenibles y adecuadas a las condiciones particulares del área. Solo a través de un diagnóstico riguroso de la dinámica litoral será posible diseñar intervenciones que protejan de manera efectiva y duradera a la comunidad Parcelas Suárez.</w:t>
      </w:r>
    </w:p>
    <w:p w14:paraId="1E7A46E8" w14:textId="77777777" w:rsidR="00B57BF4" w:rsidRPr="00AA74D4" w:rsidRDefault="00E169C3" w:rsidP="00AA74D4">
      <w:pPr>
        <w:spacing w:after="120"/>
        <w:ind w:firstLine="720"/>
        <w:jc w:val="both"/>
        <w:rPr>
          <w:rFonts w:ascii="Book Antiqua" w:hAnsi="Book Antiqua"/>
          <w:lang w:val="es-PR"/>
        </w:rPr>
      </w:pPr>
      <w:r w:rsidRPr="00AA74D4">
        <w:rPr>
          <w:rFonts w:ascii="Book Antiqua" w:hAnsi="Book Antiqua"/>
          <w:lang w:val="es-PR"/>
        </w:rPr>
        <w:t>La Comisión también pondera que la medida no representa carga fiscal alguna para el erario, según determinó la OPAL en su Informe 2026-505, toda vez que el DRNA cuenta con la capacidad técnica, las unidades administrativas y los recursos institucionales para cumplir con el mandato legislativo dentro de su gestión ordinaria.</w:t>
      </w:r>
    </w:p>
    <w:p w14:paraId="53FF0620" w14:textId="58626E46" w:rsidR="00B57BF4" w:rsidRPr="00AA74D4" w:rsidRDefault="00E169C3" w:rsidP="00AA74D4">
      <w:pPr>
        <w:spacing w:after="120"/>
        <w:ind w:firstLine="720"/>
        <w:jc w:val="both"/>
        <w:rPr>
          <w:rFonts w:ascii="Book Antiqua" w:hAnsi="Book Antiqua"/>
          <w:b/>
          <w:bCs/>
          <w:lang w:val="es-PR"/>
        </w:rPr>
      </w:pPr>
      <w:r w:rsidRPr="00AA74D4">
        <w:rPr>
          <w:rFonts w:ascii="Book Antiqua" w:hAnsi="Book Antiqua"/>
          <w:lang w:val="es-PR"/>
        </w:rPr>
        <w:t xml:space="preserve">Por las razones antes expuestas, la Comisión de Recursos Naturales de la Cámara de Representantes </w:t>
      </w:r>
      <w:r w:rsidRPr="0085234C">
        <w:rPr>
          <w:rFonts w:ascii="Book Antiqua" w:hAnsi="Book Antiqua"/>
          <w:b/>
          <w:bCs/>
          <w:lang w:val="es-PR"/>
        </w:rPr>
        <w:t>recomienda la aprobación de la</w:t>
      </w:r>
      <w:r w:rsidRPr="00AA74D4">
        <w:rPr>
          <w:rFonts w:ascii="Book Antiqua" w:hAnsi="Book Antiqua"/>
          <w:lang w:val="es-PR"/>
        </w:rPr>
        <w:t xml:space="preserve"> </w:t>
      </w:r>
      <w:r w:rsidR="001D3DE9" w:rsidRPr="00AA74D4">
        <w:rPr>
          <w:rFonts w:ascii="Book Antiqua" w:hAnsi="Book Antiqua"/>
          <w:b/>
          <w:bCs/>
          <w:lang w:val="es-PR"/>
        </w:rPr>
        <w:t xml:space="preserve">Resolución Conjunta de la Cámara </w:t>
      </w:r>
      <w:r w:rsidR="0085234C" w:rsidRPr="00AA74D4">
        <w:rPr>
          <w:rFonts w:ascii="Book Antiqua" w:hAnsi="Book Antiqua"/>
          <w:b/>
          <w:bCs/>
          <w:lang w:val="es-PR"/>
        </w:rPr>
        <w:t>227,</w:t>
      </w:r>
      <w:r w:rsidR="0085234C" w:rsidRPr="00AA74D4">
        <w:rPr>
          <w:rFonts w:ascii="Book Antiqua" w:hAnsi="Book Antiqua"/>
          <w:lang w:val="es-PR"/>
        </w:rPr>
        <w:t xml:space="preserve"> </w:t>
      </w:r>
      <w:r w:rsidR="0085234C" w:rsidRPr="00AA74D4">
        <w:rPr>
          <w:rFonts w:ascii="Book Antiqua" w:hAnsi="Book Antiqua"/>
          <w:b/>
          <w:bCs/>
          <w:lang w:val="es-PR"/>
        </w:rPr>
        <w:t>sin</w:t>
      </w:r>
      <w:r w:rsidRPr="00AA74D4">
        <w:rPr>
          <w:rFonts w:ascii="Book Antiqua" w:hAnsi="Book Antiqua"/>
          <w:b/>
          <w:bCs/>
          <w:lang w:val="es-PR"/>
        </w:rPr>
        <w:t xml:space="preserve"> enmiendas.</w:t>
      </w:r>
    </w:p>
    <w:p w14:paraId="799ADD47" w14:textId="77777777" w:rsidR="00B57BF4" w:rsidRPr="00AA74D4" w:rsidRDefault="00B57BF4" w:rsidP="00AA74D4">
      <w:pPr>
        <w:spacing w:after="120"/>
        <w:rPr>
          <w:rFonts w:ascii="Book Antiqua" w:hAnsi="Book Antiqua"/>
          <w:lang w:val="es-PR"/>
        </w:rPr>
      </w:pPr>
    </w:p>
    <w:p w14:paraId="2554A010" w14:textId="5CE78A36" w:rsidR="00B57BF4" w:rsidRPr="00AA74D4" w:rsidRDefault="00AA74D4" w:rsidP="00812D04">
      <w:pPr>
        <w:rPr>
          <w:rFonts w:ascii="Book Antiqua" w:hAnsi="Book Antiqua"/>
          <w:lang w:val="es-PR"/>
        </w:rPr>
      </w:pPr>
      <w:r w:rsidRPr="00AA74D4">
        <w:rPr>
          <w:rFonts w:ascii="Book Antiqua" w:hAnsi="Book Antiqua"/>
          <w:lang w:val="es-PR"/>
        </w:rPr>
        <w:t>Respetuosamente s</w:t>
      </w:r>
      <w:r w:rsidR="00E169C3" w:rsidRPr="00AA74D4">
        <w:rPr>
          <w:rFonts w:ascii="Book Antiqua" w:hAnsi="Book Antiqua"/>
          <w:lang w:val="es-PR"/>
        </w:rPr>
        <w:t>ometido,</w:t>
      </w:r>
    </w:p>
    <w:p w14:paraId="3A8D3F5C" w14:textId="77777777" w:rsidR="00B57BF4" w:rsidRPr="00AA74D4" w:rsidRDefault="00B57BF4" w:rsidP="00812D04">
      <w:pPr>
        <w:rPr>
          <w:rFonts w:ascii="Book Antiqua" w:hAnsi="Book Antiqua"/>
          <w:lang w:val="es-PR"/>
        </w:rPr>
      </w:pPr>
    </w:p>
    <w:p w14:paraId="57C47314" w14:textId="77777777" w:rsidR="00B57BF4" w:rsidRDefault="00B57BF4" w:rsidP="00812D04">
      <w:pPr>
        <w:rPr>
          <w:rFonts w:ascii="Book Antiqua" w:hAnsi="Book Antiqua"/>
          <w:lang w:val="es-PR"/>
        </w:rPr>
      </w:pPr>
    </w:p>
    <w:p w14:paraId="72694504" w14:textId="77777777" w:rsidR="00812D04" w:rsidRPr="00AA74D4" w:rsidRDefault="00812D04" w:rsidP="00812D04">
      <w:pPr>
        <w:rPr>
          <w:rFonts w:ascii="Book Antiqua" w:hAnsi="Book Antiqua"/>
          <w:lang w:val="es-PR"/>
        </w:rPr>
      </w:pPr>
    </w:p>
    <w:p w14:paraId="16D0FF01" w14:textId="0E72854A" w:rsidR="00B57BF4" w:rsidRPr="00AA74D4" w:rsidRDefault="00E169C3" w:rsidP="00812D04">
      <w:pPr>
        <w:rPr>
          <w:rFonts w:ascii="Book Antiqua" w:hAnsi="Book Antiqua"/>
          <w:lang w:val="es-PR"/>
        </w:rPr>
      </w:pPr>
      <w:r w:rsidRPr="00AA74D4">
        <w:rPr>
          <w:rFonts w:ascii="Book Antiqua" w:hAnsi="Book Antiqua"/>
          <w:b/>
          <w:bCs/>
          <w:lang w:val="es-PR"/>
        </w:rPr>
        <w:t>Hon. Elinette González</w:t>
      </w:r>
      <w:r w:rsidR="0085234C">
        <w:rPr>
          <w:rFonts w:ascii="Book Antiqua" w:hAnsi="Book Antiqua"/>
          <w:b/>
          <w:bCs/>
          <w:lang w:val="es-PR"/>
        </w:rPr>
        <w:t xml:space="preserve"> </w:t>
      </w:r>
      <w:r w:rsidRPr="00AA74D4">
        <w:rPr>
          <w:rFonts w:ascii="Book Antiqua" w:hAnsi="Book Antiqua"/>
          <w:b/>
          <w:bCs/>
          <w:lang w:val="es-PR"/>
        </w:rPr>
        <w:t>Aguayo</w:t>
      </w:r>
    </w:p>
    <w:p w14:paraId="6AD381EF" w14:textId="77777777" w:rsidR="00B57BF4" w:rsidRPr="00AA74D4" w:rsidRDefault="00E169C3" w:rsidP="00AA74D4">
      <w:pPr>
        <w:rPr>
          <w:rFonts w:ascii="Book Antiqua" w:hAnsi="Book Antiqua"/>
          <w:lang w:val="es-PR"/>
        </w:rPr>
      </w:pPr>
      <w:r w:rsidRPr="00AA74D4">
        <w:rPr>
          <w:rFonts w:ascii="Book Antiqua" w:hAnsi="Book Antiqua"/>
          <w:lang w:val="es-PR"/>
        </w:rPr>
        <w:t>Presidenta</w:t>
      </w:r>
    </w:p>
    <w:p w14:paraId="4F2C8CFC" w14:textId="77777777" w:rsidR="00B57BF4" w:rsidRPr="00AA74D4" w:rsidRDefault="00E169C3" w:rsidP="00AA74D4">
      <w:pPr>
        <w:rPr>
          <w:rFonts w:ascii="Book Antiqua" w:hAnsi="Book Antiqua"/>
          <w:lang w:val="es-PR"/>
        </w:rPr>
      </w:pPr>
      <w:r w:rsidRPr="00AA74D4">
        <w:rPr>
          <w:rFonts w:ascii="Book Antiqua" w:hAnsi="Book Antiqua"/>
          <w:lang w:val="es-PR"/>
        </w:rPr>
        <w:t>Comisión de Recursos Naturales</w:t>
      </w:r>
    </w:p>
    <w:sectPr w:rsidR="00B57BF4" w:rsidRPr="00AA74D4">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9043C" w14:textId="77777777" w:rsidR="000F35BF" w:rsidRDefault="000F35BF">
      <w:r>
        <w:separator/>
      </w:r>
    </w:p>
  </w:endnote>
  <w:endnote w:type="continuationSeparator" w:id="0">
    <w:p w14:paraId="2DEE0589" w14:textId="77777777" w:rsidR="000F35BF" w:rsidRDefault="000F3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4779517"/>
      <w:docPartObj>
        <w:docPartGallery w:val="Page Numbers (Bottom of Page)"/>
        <w:docPartUnique/>
      </w:docPartObj>
    </w:sdtPr>
    <w:sdtEndPr>
      <w:rPr>
        <w:noProof/>
      </w:rPr>
    </w:sdtEndPr>
    <w:sdtContent>
      <w:p w14:paraId="61A79577" w14:textId="5B382BFD" w:rsidR="00AA74D4" w:rsidRDefault="00AA74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9846C7" w14:textId="4B6AF78C" w:rsidR="00B57BF4" w:rsidRDefault="00B57BF4">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6B28D" w14:textId="77777777" w:rsidR="000F35BF" w:rsidRDefault="000F35BF">
      <w:r>
        <w:separator/>
      </w:r>
    </w:p>
  </w:footnote>
  <w:footnote w:type="continuationSeparator" w:id="0">
    <w:p w14:paraId="07C031BE" w14:textId="77777777" w:rsidR="000F35BF" w:rsidRDefault="000F35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9A340C"/>
    <w:multiLevelType w:val="hybridMultilevel"/>
    <w:tmpl w:val="7BC25C66"/>
    <w:lvl w:ilvl="0" w:tplc="42840F4E">
      <w:start w:val="1"/>
      <w:numFmt w:val="bullet"/>
      <w:lvlText w:val="●"/>
      <w:lvlJc w:val="left"/>
      <w:pPr>
        <w:ind w:left="720" w:hanging="360"/>
      </w:pPr>
    </w:lvl>
    <w:lvl w:ilvl="1" w:tplc="93C0B84E">
      <w:start w:val="1"/>
      <w:numFmt w:val="bullet"/>
      <w:lvlText w:val="○"/>
      <w:lvlJc w:val="left"/>
      <w:pPr>
        <w:ind w:left="1440" w:hanging="360"/>
      </w:pPr>
    </w:lvl>
    <w:lvl w:ilvl="2" w:tplc="26E204D8">
      <w:start w:val="1"/>
      <w:numFmt w:val="bullet"/>
      <w:lvlText w:val="■"/>
      <w:lvlJc w:val="left"/>
      <w:pPr>
        <w:ind w:left="2160" w:hanging="360"/>
      </w:pPr>
    </w:lvl>
    <w:lvl w:ilvl="3" w:tplc="1BEA6202">
      <w:start w:val="1"/>
      <w:numFmt w:val="bullet"/>
      <w:lvlText w:val="●"/>
      <w:lvlJc w:val="left"/>
      <w:pPr>
        <w:ind w:left="2880" w:hanging="360"/>
      </w:pPr>
    </w:lvl>
    <w:lvl w:ilvl="4" w:tplc="83B410D4">
      <w:start w:val="1"/>
      <w:numFmt w:val="bullet"/>
      <w:lvlText w:val="○"/>
      <w:lvlJc w:val="left"/>
      <w:pPr>
        <w:ind w:left="3600" w:hanging="360"/>
      </w:pPr>
    </w:lvl>
    <w:lvl w:ilvl="5" w:tplc="EA822B18">
      <w:start w:val="1"/>
      <w:numFmt w:val="bullet"/>
      <w:lvlText w:val="■"/>
      <w:lvlJc w:val="left"/>
      <w:pPr>
        <w:ind w:left="4320" w:hanging="360"/>
      </w:pPr>
    </w:lvl>
    <w:lvl w:ilvl="6" w:tplc="BA1A2B46">
      <w:start w:val="1"/>
      <w:numFmt w:val="bullet"/>
      <w:lvlText w:val="●"/>
      <w:lvlJc w:val="left"/>
      <w:pPr>
        <w:ind w:left="5040" w:hanging="360"/>
      </w:pPr>
    </w:lvl>
    <w:lvl w:ilvl="7" w:tplc="98D23058">
      <w:start w:val="1"/>
      <w:numFmt w:val="bullet"/>
      <w:lvlText w:val="●"/>
      <w:lvlJc w:val="left"/>
      <w:pPr>
        <w:ind w:left="5760" w:hanging="360"/>
      </w:pPr>
    </w:lvl>
    <w:lvl w:ilvl="8" w:tplc="096CC230">
      <w:start w:val="1"/>
      <w:numFmt w:val="bullet"/>
      <w:lvlText w:val="●"/>
      <w:lvlJc w:val="left"/>
      <w:pPr>
        <w:ind w:left="6480" w:hanging="360"/>
      </w:pPr>
    </w:lvl>
  </w:abstractNum>
  <w:num w:numId="1" w16cid:durableId="37396750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BF4"/>
    <w:rsid w:val="000F35BF"/>
    <w:rsid w:val="001838A8"/>
    <w:rsid w:val="001D3DE9"/>
    <w:rsid w:val="00774668"/>
    <w:rsid w:val="00810CEF"/>
    <w:rsid w:val="00812D04"/>
    <w:rsid w:val="0085234C"/>
    <w:rsid w:val="00965FBE"/>
    <w:rsid w:val="00A564FC"/>
    <w:rsid w:val="00AA74D4"/>
    <w:rsid w:val="00AE531A"/>
    <w:rsid w:val="00B57BF4"/>
    <w:rsid w:val="00B92F44"/>
    <w:rsid w:val="00BC0188"/>
    <w:rsid w:val="00C42B90"/>
    <w:rsid w:val="00CE2677"/>
    <w:rsid w:val="00E16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5D3FF"/>
  <w15:docId w15:val="{ABBA0216-142D-4CDE-9225-2BA5AC70B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AA74D4"/>
    <w:pPr>
      <w:tabs>
        <w:tab w:val="center" w:pos="4680"/>
        <w:tab w:val="right" w:pos="9360"/>
      </w:tabs>
    </w:pPr>
  </w:style>
  <w:style w:type="character" w:customStyle="1" w:styleId="HeaderChar">
    <w:name w:val="Header Char"/>
    <w:basedOn w:val="DefaultParagraphFont"/>
    <w:link w:val="Header"/>
    <w:uiPriority w:val="99"/>
    <w:rsid w:val="00AA74D4"/>
  </w:style>
  <w:style w:type="paragraph" w:styleId="Footer">
    <w:name w:val="footer"/>
    <w:basedOn w:val="Normal"/>
    <w:link w:val="FooterChar"/>
    <w:uiPriority w:val="99"/>
    <w:unhideWhenUsed/>
    <w:rsid w:val="00AA74D4"/>
    <w:pPr>
      <w:tabs>
        <w:tab w:val="center" w:pos="4680"/>
        <w:tab w:val="right" w:pos="9360"/>
      </w:tabs>
    </w:pPr>
  </w:style>
  <w:style w:type="character" w:customStyle="1" w:styleId="FooterChar">
    <w:name w:val="Footer Char"/>
    <w:basedOn w:val="DefaultParagraphFont"/>
    <w:link w:val="Footer"/>
    <w:uiPriority w:val="99"/>
    <w:rsid w:val="00AA74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1445</Words>
  <Characters>8241</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Oppenheimer</dc:creator>
  <cp:keywords>Elinette Gonzalez</cp:keywords>
  <cp:lastModifiedBy>Camyl Moreno Pantojas</cp:lastModifiedBy>
  <cp:revision>2</cp:revision>
  <dcterms:created xsi:type="dcterms:W3CDTF">2026-05-29T17:43:00Z</dcterms:created>
  <dcterms:modified xsi:type="dcterms:W3CDTF">2026-05-29T17:43:00Z</dcterms:modified>
</cp:coreProperties>
</file>