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C846B" w14:textId="770D4E3A" w:rsidR="00DB6121" w:rsidRDefault="00DB6121" w:rsidP="00BF4D9D">
      <w:pPr>
        <w:tabs>
          <w:tab w:val="center" w:pos="4680"/>
          <w:tab w:val="left" w:pos="7920"/>
        </w:tabs>
        <w:jc w:val="center"/>
        <w:rPr>
          <w:rFonts w:ascii="Book Antiqua" w:hAnsi="Book Antiqua"/>
          <w:sz w:val="28"/>
          <w:szCs w:val="28"/>
          <w:lang w:val="es-ES_tradnl"/>
        </w:rPr>
      </w:pPr>
      <w:bookmarkStart w:id="0" w:name="_Hlk183042642"/>
      <w:bookmarkStart w:id="1" w:name="_Hlk183037667"/>
      <w:bookmarkStart w:id="2" w:name="_Hlk183038391"/>
      <w:proofErr w:type="spellStart"/>
      <w:r>
        <w:rPr>
          <w:rFonts w:ascii="Book Antiqua" w:hAnsi="Book Antiqua"/>
          <w:sz w:val="28"/>
          <w:szCs w:val="28"/>
          <w:lang w:val="es-ES_tradnl"/>
        </w:rPr>
        <w:t>Entirillado</w:t>
      </w:r>
      <w:proofErr w:type="spellEnd"/>
      <w:r>
        <w:rPr>
          <w:rFonts w:ascii="Book Antiqua" w:hAnsi="Book Antiqua"/>
          <w:sz w:val="28"/>
          <w:szCs w:val="28"/>
          <w:lang w:val="es-ES_tradnl"/>
        </w:rPr>
        <w:t xml:space="preserve"> electrónico</w:t>
      </w:r>
    </w:p>
    <w:p w14:paraId="0BF2DFEC" w14:textId="3CB68BC3" w:rsidR="009B5FB8" w:rsidRPr="00BF4D9D" w:rsidRDefault="009B5FB8" w:rsidP="00BF4D9D">
      <w:pPr>
        <w:tabs>
          <w:tab w:val="center" w:pos="4680"/>
          <w:tab w:val="left" w:pos="7920"/>
        </w:tabs>
        <w:jc w:val="center"/>
        <w:rPr>
          <w:rFonts w:ascii="Book Antiqua" w:hAnsi="Book Antiqua"/>
          <w:sz w:val="28"/>
          <w:szCs w:val="28"/>
          <w:lang w:val="es-ES_tradnl"/>
        </w:rPr>
      </w:pPr>
      <w:r w:rsidRPr="00BF4D9D">
        <w:rPr>
          <w:rFonts w:ascii="Book Antiqua" w:hAnsi="Book Antiqua"/>
          <w:sz w:val="28"/>
          <w:szCs w:val="28"/>
          <w:lang w:val="es-ES_tradnl"/>
        </w:rPr>
        <w:t>GOBIERNO DE PUERTO RICO</w:t>
      </w:r>
    </w:p>
    <w:p w14:paraId="7F850958" w14:textId="77777777" w:rsidR="009B5FB8" w:rsidRPr="00BF4D9D" w:rsidRDefault="009B5FB8" w:rsidP="00BF4D9D">
      <w:pPr>
        <w:jc w:val="center"/>
        <w:rPr>
          <w:rFonts w:ascii="Book Antiqua" w:hAnsi="Book Antiqua"/>
          <w:sz w:val="24"/>
          <w:szCs w:val="24"/>
          <w:lang w:val="es-ES_tradnl"/>
        </w:rPr>
      </w:pPr>
    </w:p>
    <w:tbl>
      <w:tblPr>
        <w:tblW w:w="9609" w:type="dxa"/>
        <w:tblLook w:val="04A0" w:firstRow="1" w:lastRow="0" w:firstColumn="1" w:lastColumn="0" w:noHBand="0" w:noVBand="1"/>
      </w:tblPr>
      <w:tblGrid>
        <w:gridCol w:w="3170"/>
        <w:gridCol w:w="3171"/>
        <w:gridCol w:w="3268"/>
      </w:tblGrid>
      <w:tr w:rsidR="009B5FB8" w:rsidRPr="00BF4D9D" w14:paraId="57C12A0E" w14:textId="77777777" w:rsidTr="00DC2CF7">
        <w:trPr>
          <w:trHeight w:val="900"/>
        </w:trPr>
        <w:tc>
          <w:tcPr>
            <w:tcW w:w="3170" w:type="dxa"/>
          </w:tcPr>
          <w:p w14:paraId="2DC46B8B" w14:textId="77777777" w:rsidR="009B5FB8" w:rsidRPr="00BF4D9D" w:rsidRDefault="009B5FB8" w:rsidP="00BF4D9D">
            <w:pPr>
              <w:rPr>
                <w:rFonts w:ascii="Book Antiqua" w:hAnsi="Book Antiqua"/>
                <w:sz w:val="24"/>
                <w:szCs w:val="24"/>
                <w:lang w:val="es-ES_tradnl"/>
              </w:rPr>
            </w:pPr>
            <w:r w:rsidRPr="00BF4D9D">
              <w:rPr>
                <w:rFonts w:ascii="Book Antiqua" w:hAnsi="Book Antiqua"/>
                <w:sz w:val="24"/>
                <w:szCs w:val="24"/>
                <w:lang w:val="es-ES_tradnl"/>
              </w:rPr>
              <w:t>20</w:t>
            </w:r>
            <w:r w:rsidRPr="00BF4D9D">
              <w:rPr>
                <w:rFonts w:ascii="Book Antiqua" w:hAnsi="Book Antiqua"/>
                <w:sz w:val="24"/>
                <w:szCs w:val="24"/>
                <w:vertAlign w:val="superscript"/>
                <w:lang w:val="es-ES_tradnl"/>
              </w:rPr>
              <w:t>ma</w:t>
            </w:r>
            <w:r w:rsidR="006F5B4B" w:rsidRPr="00BF4D9D">
              <w:rPr>
                <w:rFonts w:ascii="Book Antiqua" w:hAnsi="Book Antiqua"/>
                <w:sz w:val="24"/>
                <w:szCs w:val="24"/>
                <w:vertAlign w:val="superscript"/>
                <w:lang w:val="es-ES_tradnl"/>
              </w:rPr>
              <w:t>.</w:t>
            </w:r>
            <w:r w:rsidR="00F359BA" w:rsidRPr="00BF4D9D">
              <w:rPr>
                <w:rFonts w:ascii="Book Antiqua" w:hAnsi="Book Antiqua"/>
                <w:sz w:val="24"/>
                <w:szCs w:val="24"/>
                <w:vertAlign w:val="superscript"/>
                <w:lang w:val="es-ES_tradnl"/>
              </w:rPr>
              <w:t xml:space="preserve"> </w:t>
            </w:r>
            <w:r w:rsidRPr="00BF4D9D">
              <w:rPr>
                <w:rFonts w:ascii="Book Antiqua" w:hAnsi="Book Antiqua"/>
                <w:sz w:val="24"/>
                <w:szCs w:val="24"/>
                <w:lang w:val="es-ES_tradnl"/>
              </w:rPr>
              <w:t>Asamblea</w:t>
            </w:r>
          </w:p>
          <w:p w14:paraId="635E8B63" w14:textId="77777777" w:rsidR="009B5FB8" w:rsidRPr="00BF4D9D" w:rsidRDefault="009B5FB8" w:rsidP="00BF4D9D">
            <w:pPr>
              <w:rPr>
                <w:rFonts w:ascii="Book Antiqua" w:hAnsi="Book Antiqua"/>
                <w:sz w:val="24"/>
                <w:szCs w:val="24"/>
                <w:lang w:val="es-ES_tradnl"/>
              </w:rPr>
            </w:pPr>
            <w:r w:rsidRPr="00BF4D9D">
              <w:rPr>
                <w:rFonts w:ascii="Book Antiqua" w:hAnsi="Book Antiqua"/>
                <w:sz w:val="24"/>
                <w:szCs w:val="24"/>
                <w:lang w:val="es-ES_tradnl"/>
              </w:rPr>
              <w:t xml:space="preserve">         Legislativa                                                                                                          </w:t>
            </w:r>
          </w:p>
        </w:tc>
        <w:tc>
          <w:tcPr>
            <w:tcW w:w="3171" w:type="dxa"/>
          </w:tcPr>
          <w:p w14:paraId="3D163147" w14:textId="77777777" w:rsidR="009B5FB8" w:rsidRPr="00BF4D9D" w:rsidRDefault="009B5FB8" w:rsidP="00BF4D9D">
            <w:pPr>
              <w:jc w:val="center"/>
              <w:rPr>
                <w:rFonts w:ascii="Book Antiqua" w:hAnsi="Book Antiqua"/>
                <w:sz w:val="24"/>
                <w:szCs w:val="24"/>
                <w:lang w:val="es-ES_tradnl"/>
              </w:rPr>
            </w:pPr>
          </w:p>
        </w:tc>
        <w:tc>
          <w:tcPr>
            <w:tcW w:w="3268" w:type="dxa"/>
          </w:tcPr>
          <w:p w14:paraId="176D423E" w14:textId="77777777" w:rsidR="009B5FB8" w:rsidRPr="00BF4D9D" w:rsidRDefault="009B5FB8" w:rsidP="00BF4D9D">
            <w:pPr>
              <w:rPr>
                <w:rFonts w:ascii="Book Antiqua" w:hAnsi="Book Antiqua"/>
                <w:sz w:val="24"/>
                <w:szCs w:val="24"/>
                <w:lang w:val="es-ES_tradnl"/>
              </w:rPr>
            </w:pPr>
            <w:r w:rsidRPr="00BF4D9D">
              <w:rPr>
                <w:rFonts w:ascii="Book Antiqua" w:hAnsi="Book Antiqua"/>
                <w:sz w:val="24"/>
                <w:szCs w:val="24"/>
                <w:lang w:val="es-ES_tradnl"/>
              </w:rPr>
              <w:tab/>
            </w:r>
            <w:r w:rsidRPr="00BF4D9D">
              <w:rPr>
                <w:rFonts w:ascii="Book Antiqua" w:hAnsi="Book Antiqua"/>
                <w:sz w:val="24"/>
                <w:szCs w:val="24"/>
                <w:lang w:val="es-ES_tradnl"/>
              </w:rPr>
              <w:tab/>
            </w:r>
            <w:r w:rsidR="00275DCD" w:rsidRPr="00BF4D9D">
              <w:rPr>
                <w:rFonts w:ascii="Book Antiqua" w:hAnsi="Book Antiqua"/>
                <w:sz w:val="24"/>
                <w:szCs w:val="24"/>
                <w:lang w:val="es-ES_tradnl"/>
              </w:rPr>
              <w:t>2</w:t>
            </w:r>
            <w:r w:rsidR="009C73D8" w:rsidRPr="00BF4D9D">
              <w:rPr>
                <w:rFonts w:ascii="Book Antiqua" w:hAnsi="Book Antiqua"/>
                <w:sz w:val="24"/>
                <w:szCs w:val="24"/>
                <w:vertAlign w:val="superscript"/>
                <w:lang w:val="es-ES_tradnl"/>
              </w:rPr>
              <w:t>da</w:t>
            </w:r>
            <w:r w:rsidRPr="00BF4D9D">
              <w:rPr>
                <w:rFonts w:ascii="Book Antiqua" w:hAnsi="Book Antiqua"/>
                <w:sz w:val="24"/>
                <w:szCs w:val="24"/>
                <w:vertAlign w:val="superscript"/>
                <w:lang w:val="es-ES_tradnl"/>
              </w:rPr>
              <w:t>.</w:t>
            </w:r>
            <w:r w:rsidRPr="00BF4D9D">
              <w:rPr>
                <w:rFonts w:ascii="Book Antiqua" w:hAnsi="Book Antiqua"/>
                <w:sz w:val="24"/>
                <w:szCs w:val="24"/>
                <w:lang w:val="es-ES_tradnl"/>
              </w:rPr>
              <w:t xml:space="preserve"> Sesión</w:t>
            </w:r>
          </w:p>
          <w:p w14:paraId="55930902" w14:textId="77777777" w:rsidR="009B5FB8" w:rsidRPr="00BF4D9D" w:rsidRDefault="009B5FB8" w:rsidP="00BF4D9D">
            <w:pPr>
              <w:rPr>
                <w:rFonts w:ascii="Book Antiqua" w:hAnsi="Book Antiqua"/>
                <w:sz w:val="24"/>
                <w:szCs w:val="24"/>
                <w:lang w:val="es-ES_tradnl"/>
              </w:rPr>
            </w:pPr>
            <w:r w:rsidRPr="00BF4D9D">
              <w:rPr>
                <w:rFonts w:ascii="Book Antiqua" w:hAnsi="Book Antiqua"/>
                <w:sz w:val="24"/>
                <w:szCs w:val="24"/>
                <w:lang w:val="es-ES_tradnl"/>
              </w:rPr>
              <w:tab/>
              <w:t xml:space="preserve">       </w:t>
            </w:r>
            <w:r w:rsidRPr="00BF4D9D">
              <w:rPr>
                <w:rFonts w:ascii="Book Antiqua" w:hAnsi="Book Antiqua"/>
                <w:sz w:val="24"/>
                <w:szCs w:val="24"/>
                <w:lang w:val="es-ES_tradnl"/>
              </w:rPr>
              <w:tab/>
              <w:t xml:space="preserve">      Ordinaria</w:t>
            </w:r>
          </w:p>
          <w:p w14:paraId="04CD6C52" w14:textId="77777777" w:rsidR="009B5FB8" w:rsidRPr="00BF4D9D" w:rsidRDefault="009B5FB8" w:rsidP="00BF4D9D">
            <w:pPr>
              <w:jc w:val="center"/>
              <w:rPr>
                <w:rFonts w:ascii="Book Antiqua" w:hAnsi="Book Antiqua"/>
                <w:sz w:val="24"/>
                <w:szCs w:val="24"/>
                <w:lang w:val="es-ES_tradnl"/>
              </w:rPr>
            </w:pPr>
          </w:p>
        </w:tc>
      </w:tr>
    </w:tbl>
    <w:bookmarkEnd w:id="0"/>
    <w:p w14:paraId="287731A1" w14:textId="77777777" w:rsidR="009B5FB8" w:rsidRPr="00BF4D9D" w:rsidRDefault="001A3163" w:rsidP="00BF4D9D">
      <w:pPr>
        <w:jc w:val="center"/>
        <w:rPr>
          <w:rFonts w:ascii="Book Antiqua" w:hAnsi="Book Antiqua"/>
          <w:b/>
          <w:sz w:val="36"/>
          <w:lang w:val="es-ES_tradnl"/>
        </w:rPr>
      </w:pPr>
      <w:r w:rsidRPr="00BF4D9D">
        <w:rPr>
          <w:rFonts w:ascii="Book Antiqua" w:hAnsi="Book Antiqua"/>
          <w:b/>
          <w:sz w:val="36"/>
          <w:lang w:val="es-ES_tradnl"/>
        </w:rPr>
        <w:t>CÁMARA DE REPRESENTANTES</w:t>
      </w:r>
      <w:bookmarkEnd w:id="1"/>
    </w:p>
    <w:p w14:paraId="71315CDE" w14:textId="77777777" w:rsidR="00BF4D9D" w:rsidRPr="00BF4D9D" w:rsidRDefault="00BF4D9D" w:rsidP="00BF4D9D">
      <w:pPr>
        <w:jc w:val="center"/>
        <w:rPr>
          <w:rFonts w:ascii="Book Antiqua" w:hAnsi="Book Antiqua"/>
          <w:b/>
          <w:sz w:val="24"/>
          <w:szCs w:val="24"/>
          <w:lang w:val="es-ES_tradnl"/>
        </w:rPr>
      </w:pPr>
    </w:p>
    <w:p w14:paraId="7FB7BF75" w14:textId="3B50FBF2" w:rsidR="009B5FB8" w:rsidRPr="00BF4D9D" w:rsidRDefault="009B5FB8" w:rsidP="00BF4D9D">
      <w:pPr>
        <w:jc w:val="center"/>
        <w:rPr>
          <w:rFonts w:ascii="Book Antiqua" w:hAnsi="Book Antiqua"/>
          <w:b/>
          <w:sz w:val="52"/>
          <w:lang w:val="es-ES_tradnl"/>
        </w:rPr>
      </w:pPr>
      <w:r w:rsidRPr="00BF4D9D">
        <w:rPr>
          <w:rFonts w:ascii="Book Antiqua" w:hAnsi="Book Antiqua"/>
          <w:b/>
          <w:sz w:val="52"/>
          <w:lang w:val="es-ES_tradnl"/>
        </w:rPr>
        <w:t>P. de</w:t>
      </w:r>
      <w:r w:rsidR="001A3163" w:rsidRPr="00BF4D9D">
        <w:rPr>
          <w:rFonts w:ascii="Book Antiqua" w:hAnsi="Book Antiqua"/>
          <w:b/>
          <w:sz w:val="52"/>
          <w:lang w:val="es-ES_tradnl"/>
        </w:rPr>
        <w:t xml:space="preserve"> la C. </w:t>
      </w:r>
      <w:r w:rsidR="004C5930" w:rsidRPr="00BF4D9D">
        <w:rPr>
          <w:rFonts w:ascii="Book Antiqua" w:hAnsi="Book Antiqua"/>
          <w:b/>
          <w:sz w:val="52"/>
          <w:lang w:val="es-ES_tradnl"/>
        </w:rPr>
        <w:t>94</w:t>
      </w:r>
      <w:r w:rsidR="00B67FE6" w:rsidRPr="00BF4D9D">
        <w:rPr>
          <w:rFonts w:ascii="Book Antiqua" w:hAnsi="Book Antiqua"/>
          <w:b/>
          <w:sz w:val="52"/>
          <w:lang w:val="es-ES_tradnl"/>
        </w:rPr>
        <w:t>9</w:t>
      </w:r>
    </w:p>
    <w:p w14:paraId="27648428" w14:textId="77777777" w:rsidR="00BF4D9D" w:rsidRPr="00BF4D9D" w:rsidRDefault="00BF4D9D" w:rsidP="00BF4D9D">
      <w:pPr>
        <w:jc w:val="center"/>
        <w:rPr>
          <w:rFonts w:ascii="Book Antiqua" w:hAnsi="Book Antiqua"/>
          <w:b/>
          <w:sz w:val="24"/>
          <w:szCs w:val="24"/>
          <w:lang w:val="es-ES_tradnl"/>
        </w:rPr>
      </w:pPr>
    </w:p>
    <w:p w14:paraId="4738E0C4" w14:textId="2745B65F" w:rsidR="009B5FB8" w:rsidRPr="00BF4D9D" w:rsidRDefault="004C5930" w:rsidP="00BF4D9D">
      <w:pPr>
        <w:jc w:val="center"/>
        <w:rPr>
          <w:rFonts w:ascii="Book Antiqua" w:hAnsi="Book Antiqua"/>
          <w:sz w:val="24"/>
          <w:szCs w:val="24"/>
          <w:lang w:val="es-ES_tradnl"/>
        </w:rPr>
      </w:pPr>
      <w:r w:rsidRPr="00BF4D9D">
        <w:rPr>
          <w:rFonts w:ascii="Book Antiqua" w:hAnsi="Book Antiqua"/>
          <w:sz w:val="24"/>
          <w:szCs w:val="24"/>
          <w:lang w:val="es-ES_tradnl"/>
        </w:rPr>
        <w:t>27</w:t>
      </w:r>
      <w:r w:rsidR="009B5FB8" w:rsidRPr="00BF4D9D">
        <w:rPr>
          <w:rFonts w:ascii="Book Antiqua" w:hAnsi="Book Antiqua"/>
          <w:sz w:val="24"/>
          <w:szCs w:val="24"/>
          <w:lang w:val="es-ES_tradnl"/>
        </w:rPr>
        <w:t xml:space="preserve"> </w:t>
      </w:r>
      <w:bookmarkStart w:id="3" w:name="_Hlk183037684"/>
      <w:r w:rsidR="00BF4D9D" w:rsidRPr="00BF4D9D">
        <w:rPr>
          <w:rFonts w:ascii="Book Antiqua" w:hAnsi="Book Antiqua"/>
          <w:sz w:val="24"/>
          <w:szCs w:val="24"/>
          <w:lang w:val="es-ES_tradnl"/>
        </w:rPr>
        <w:t>DE OCTUBRE DE</w:t>
      </w:r>
      <w:r w:rsidR="009B5FB8" w:rsidRPr="00BF4D9D">
        <w:rPr>
          <w:rFonts w:ascii="Book Antiqua" w:hAnsi="Book Antiqua"/>
          <w:sz w:val="24"/>
          <w:szCs w:val="24"/>
          <w:lang w:val="es-ES_tradnl"/>
        </w:rPr>
        <w:t xml:space="preserve"> 2025</w:t>
      </w:r>
    </w:p>
    <w:p w14:paraId="52E0408C" w14:textId="77777777" w:rsidR="00BF4D9D" w:rsidRPr="00BF4D9D" w:rsidRDefault="00BF4D9D" w:rsidP="00BF4D9D">
      <w:pPr>
        <w:jc w:val="center"/>
        <w:rPr>
          <w:rFonts w:ascii="Book Antiqua" w:hAnsi="Book Antiqua"/>
          <w:sz w:val="24"/>
          <w:szCs w:val="24"/>
          <w:lang w:val="es-ES_tradnl"/>
        </w:rPr>
      </w:pPr>
    </w:p>
    <w:p w14:paraId="6C13A361" w14:textId="758F6C7F" w:rsidR="009B5FB8" w:rsidRPr="00BF4D9D" w:rsidRDefault="009B5FB8" w:rsidP="00BF4D9D">
      <w:pPr>
        <w:jc w:val="center"/>
        <w:rPr>
          <w:rFonts w:ascii="Book Antiqua" w:hAnsi="Book Antiqua"/>
          <w:i/>
          <w:iCs/>
          <w:sz w:val="24"/>
          <w:szCs w:val="24"/>
          <w:lang w:val="es-ES_tradnl"/>
        </w:rPr>
      </w:pPr>
      <w:r w:rsidRPr="00BF4D9D">
        <w:rPr>
          <w:rFonts w:ascii="Book Antiqua" w:hAnsi="Book Antiqua"/>
          <w:sz w:val="24"/>
          <w:szCs w:val="24"/>
          <w:lang w:val="es-ES_tradnl"/>
        </w:rPr>
        <w:t xml:space="preserve">Presentado por el </w:t>
      </w:r>
      <w:r w:rsidR="007059C8">
        <w:rPr>
          <w:rFonts w:ascii="Book Antiqua" w:hAnsi="Book Antiqua"/>
          <w:sz w:val="24"/>
          <w:szCs w:val="24"/>
          <w:lang w:val="es-ES_tradnl"/>
        </w:rPr>
        <w:t>representante</w:t>
      </w:r>
      <w:r w:rsidRPr="00BF4D9D">
        <w:rPr>
          <w:rFonts w:ascii="Book Antiqua" w:hAnsi="Book Antiqua"/>
          <w:i/>
          <w:sz w:val="24"/>
          <w:szCs w:val="24"/>
          <w:lang w:val="es-ES_tradnl"/>
        </w:rPr>
        <w:t xml:space="preserve"> </w:t>
      </w:r>
      <w:r w:rsidR="001A3163" w:rsidRPr="00BF4D9D">
        <w:rPr>
          <w:rFonts w:ascii="Book Antiqua" w:hAnsi="Book Antiqua"/>
          <w:i/>
          <w:iCs/>
          <w:sz w:val="24"/>
          <w:szCs w:val="24"/>
          <w:lang w:val="es-ES_tradnl"/>
        </w:rPr>
        <w:t>Franqui Atiles</w:t>
      </w:r>
    </w:p>
    <w:p w14:paraId="1EBF15BC" w14:textId="77777777" w:rsidR="00BF4D9D" w:rsidRPr="00BF4D9D" w:rsidRDefault="00BF4D9D" w:rsidP="00BF4D9D">
      <w:pPr>
        <w:jc w:val="center"/>
        <w:rPr>
          <w:rFonts w:ascii="Book Antiqua" w:hAnsi="Book Antiqua"/>
          <w:sz w:val="24"/>
          <w:szCs w:val="24"/>
          <w:lang w:val="es-ES_tradnl"/>
        </w:rPr>
      </w:pPr>
    </w:p>
    <w:p w14:paraId="015EEA6D" w14:textId="387599DA" w:rsidR="009B5FB8" w:rsidRPr="00BF4D9D" w:rsidRDefault="00153A92" w:rsidP="00BF4D9D">
      <w:pPr>
        <w:jc w:val="center"/>
        <w:rPr>
          <w:rFonts w:ascii="Book Antiqua" w:hAnsi="Book Antiqua"/>
          <w:i/>
          <w:sz w:val="24"/>
          <w:szCs w:val="24"/>
        </w:rPr>
      </w:pPr>
      <w:r w:rsidRPr="00BF4D9D">
        <w:rPr>
          <w:rFonts w:ascii="Book Antiqua" w:hAnsi="Book Antiqua"/>
          <w:iCs/>
          <w:sz w:val="24"/>
          <w:szCs w:val="24"/>
        </w:rPr>
        <w:t xml:space="preserve">Referido a la </w:t>
      </w:r>
      <w:r w:rsidRPr="00645DCD">
        <w:rPr>
          <w:rFonts w:ascii="Book Antiqua" w:hAnsi="Book Antiqua"/>
          <w:iCs/>
          <w:sz w:val="24"/>
          <w:szCs w:val="24"/>
        </w:rPr>
        <w:t xml:space="preserve">Comisión </w:t>
      </w:r>
      <w:r w:rsidR="00EF1515" w:rsidRPr="00645DCD">
        <w:rPr>
          <w:rFonts w:ascii="Book Antiqua" w:hAnsi="Book Antiqua"/>
          <w:iCs/>
          <w:sz w:val="24"/>
          <w:szCs w:val="24"/>
        </w:rPr>
        <w:t xml:space="preserve">de </w:t>
      </w:r>
      <w:r w:rsidR="008F3B22" w:rsidRPr="00645DCD">
        <w:rPr>
          <w:rFonts w:ascii="Book Antiqua" w:hAnsi="Book Antiqua"/>
          <w:iCs/>
          <w:sz w:val="24"/>
          <w:szCs w:val="24"/>
        </w:rPr>
        <w:t>lo Jurídico</w:t>
      </w:r>
    </w:p>
    <w:p w14:paraId="31540CCC" w14:textId="77777777" w:rsidR="00153A92" w:rsidRPr="00BF4D9D" w:rsidRDefault="00153A92" w:rsidP="00BF4D9D">
      <w:pPr>
        <w:jc w:val="center"/>
        <w:rPr>
          <w:rFonts w:ascii="Book Antiqua" w:hAnsi="Book Antiqua"/>
          <w:sz w:val="24"/>
          <w:szCs w:val="24"/>
          <w:lang w:val="es-ES_tradnl"/>
        </w:rPr>
      </w:pPr>
    </w:p>
    <w:p w14:paraId="007BC69B" w14:textId="77777777" w:rsidR="006F2FCB" w:rsidRPr="00BF4D9D" w:rsidRDefault="009B5FB8" w:rsidP="00BF4D9D">
      <w:pPr>
        <w:pStyle w:val="MediumShading1-Accent11"/>
        <w:jc w:val="center"/>
        <w:rPr>
          <w:rFonts w:ascii="Book Antiqua" w:hAnsi="Book Antiqua"/>
          <w:b/>
          <w:sz w:val="28"/>
          <w:szCs w:val="28"/>
          <w:lang w:val="es-ES_tradnl"/>
        </w:rPr>
      </w:pPr>
      <w:r w:rsidRPr="00BF4D9D">
        <w:rPr>
          <w:rFonts w:ascii="Book Antiqua" w:hAnsi="Book Antiqua"/>
          <w:b/>
          <w:sz w:val="28"/>
          <w:szCs w:val="28"/>
          <w:lang w:val="es-ES_tradnl"/>
        </w:rPr>
        <w:t>LEY</w:t>
      </w:r>
      <w:bookmarkEnd w:id="2"/>
      <w:bookmarkEnd w:id="3"/>
    </w:p>
    <w:p w14:paraId="277ED4C8" w14:textId="77777777" w:rsidR="00AB1E5B" w:rsidRPr="00BF4D9D" w:rsidRDefault="00AB1E5B" w:rsidP="00BF4D9D">
      <w:pPr>
        <w:pStyle w:val="MediumShading1-Accent11"/>
        <w:jc w:val="center"/>
        <w:rPr>
          <w:rFonts w:ascii="Book Antiqua" w:hAnsi="Book Antiqua"/>
          <w:b/>
          <w:sz w:val="24"/>
          <w:szCs w:val="24"/>
          <w:lang w:val="es-ES"/>
        </w:rPr>
      </w:pPr>
    </w:p>
    <w:p w14:paraId="47B5BBC9" w14:textId="2CC0A56D" w:rsidR="006F2FCB" w:rsidRPr="00BF4D9D" w:rsidRDefault="00F03373" w:rsidP="005F37D2">
      <w:pPr>
        <w:pStyle w:val="NormalWeb"/>
        <w:ind w:left="540" w:hanging="540"/>
        <w:rPr>
          <w:rFonts w:ascii="Book Antiqua" w:hAnsi="Book Antiqua"/>
          <w:bCs/>
          <w:u w:val="single"/>
          <w:lang w:val="es-ES"/>
        </w:rPr>
      </w:pPr>
      <w:r w:rsidRPr="00BF4D9D">
        <w:rPr>
          <w:rFonts w:ascii="Book Antiqua" w:hAnsi="Book Antiqua"/>
          <w:lang w:val="es-PR"/>
        </w:rPr>
        <w:t xml:space="preserve">Para enmendar los Artículos </w:t>
      </w:r>
      <w:r w:rsidR="00160979" w:rsidRPr="00BF4D9D">
        <w:rPr>
          <w:rFonts w:ascii="Book Antiqua" w:hAnsi="Book Antiqua"/>
          <w:lang w:val="es-PR"/>
        </w:rPr>
        <w:t xml:space="preserve">10, 23, 148, 149, 235 y 240 </w:t>
      </w:r>
      <w:r w:rsidR="00350E65" w:rsidRPr="00BF4D9D">
        <w:rPr>
          <w:rFonts w:ascii="Book Antiqua" w:hAnsi="Book Antiqua"/>
          <w:lang w:val="es-PR"/>
        </w:rPr>
        <w:t xml:space="preserve">de </w:t>
      </w:r>
      <w:r w:rsidRPr="00BF4D9D">
        <w:rPr>
          <w:rFonts w:ascii="Book Antiqua" w:hAnsi="Book Antiqua"/>
          <w:lang w:val="es-PR"/>
        </w:rPr>
        <w:t>la Ley Núm. 210-2015, según enmendada, conocida como la “Ley del Registro de la Propiedad Inmobiliaria del Estado Libre Asociado de Puerto Rico</w:t>
      </w:r>
      <w:r w:rsidR="00CF27C0" w:rsidRPr="00BF4D9D">
        <w:rPr>
          <w:rFonts w:ascii="Book Antiqua" w:hAnsi="Book Antiqua"/>
          <w:lang w:val="es-PR"/>
        </w:rPr>
        <w:t xml:space="preserve">”, con el propósito de mejorar la precisión y confiabilidad </w:t>
      </w:r>
      <w:r w:rsidR="00846BE7">
        <w:rPr>
          <w:rFonts w:ascii="Book Antiqua" w:hAnsi="Book Antiqua"/>
          <w:i/>
          <w:iCs/>
          <w:u w:val="single"/>
          <w:lang w:val="es-PR"/>
        </w:rPr>
        <w:t>jurídica</w:t>
      </w:r>
      <w:r w:rsidR="00846BE7" w:rsidRPr="00846BE7">
        <w:rPr>
          <w:rFonts w:ascii="Book Antiqua" w:hAnsi="Book Antiqua"/>
          <w:lang w:val="es-PR"/>
        </w:rPr>
        <w:t xml:space="preserve"> </w:t>
      </w:r>
      <w:r w:rsidR="00CF27C0" w:rsidRPr="00BF4D9D">
        <w:rPr>
          <w:rFonts w:ascii="Book Antiqua" w:hAnsi="Book Antiqua"/>
          <w:lang w:val="es-PR"/>
        </w:rPr>
        <w:t>de las descripciones inmobiliarias</w:t>
      </w:r>
      <w:r w:rsidR="00350E65" w:rsidRPr="00BF4D9D">
        <w:rPr>
          <w:rFonts w:ascii="Book Antiqua" w:hAnsi="Book Antiqua"/>
          <w:lang w:val="es-PR"/>
        </w:rPr>
        <w:t xml:space="preserve">; </w:t>
      </w:r>
      <w:r w:rsidR="005F37D2" w:rsidRPr="005F37D2">
        <w:rPr>
          <w:rFonts w:ascii="Book Antiqua" w:hAnsi="Book Antiqua"/>
          <w:i/>
          <w:iCs/>
          <w:u w:val="single"/>
          <w:lang w:val="es-PR"/>
        </w:rPr>
        <w:t>incorporar el uso formal de descripciones geométricas certificadas por agrimensores licenciados</w:t>
      </w:r>
      <w:r w:rsidR="005F37D2">
        <w:rPr>
          <w:rFonts w:ascii="Book Antiqua" w:hAnsi="Book Antiqua"/>
          <w:i/>
          <w:iCs/>
          <w:u w:val="single"/>
          <w:lang w:val="es-PR"/>
        </w:rPr>
        <w:t>;</w:t>
      </w:r>
      <w:r w:rsidR="005F37D2" w:rsidRPr="005F37D2">
        <w:rPr>
          <w:rFonts w:ascii="Book Antiqua" w:hAnsi="Book Antiqua"/>
          <w:lang w:val="es-PR"/>
        </w:rPr>
        <w:t xml:space="preserve"> </w:t>
      </w:r>
      <w:r w:rsidR="00350E65" w:rsidRPr="00BF4D9D">
        <w:rPr>
          <w:rFonts w:ascii="Book Antiqua" w:hAnsi="Book Antiqua"/>
          <w:lang w:val="es-PR"/>
        </w:rPr>
        <w:t>y para otros fines relacionados.</w:t>
      </w:r>
    </w:p>
    <w:p w14:paraId="21F1E16B" w14:textId="77777777" w:rsidR="00275DCD" w:rsidRPr="00BF4D9D" w:rsidRDefault="00275DCD" w:rsidP="00BF4D9D">
      <w:pPr>
        <w:pStyle w:val="NormalWeb"/>
        <w:spacing w:before="0" w:beforeAutospacing="0" w:after="0" w:afterAutospacing="0"/>
        <w:ind w:left="540" w:hanging="540"/>
        <w:jc w:val="both"/>
        <w:rPr>
          <w:rFonts w:ascii="Book Antiqua" w:hAnsi="Book Antiqua"/>
          <w:lang w:val="es-PR"/>
        </w:rPr>
      </w:pPr>
    </w:p>
    <w:p w14:paraId="57617FB7" w14:textId="77777777" w:rsidR="006F2FCB" w:rsidRPr="00BF4D9D" w:rsidRDefault="006F2FCB" w:rsidP="00BF4D9D">
      <w:pPr>
        <w:jc w:val="center"/>
        <w:rPr>
          <w:rFonts w:ascii="Book Antiqua" w:hAnsi="Book Antiqua"/>
          <w:sz w:val="24"/>
          <w:szCs w:val="24"/>
          <w:lang w:val="es-CR"/>
        </w:rPr>
      </w:pPr>
      <w:r w:rsidRPr="00BF4D9D">
        <w:rPr>
          <w:rFonts w:ascii="Book Antiqua" w:hAnsi="Book Antiqua"/>
          <w:sz w:val="24"/>
          <w:szCs w:val="24"/>
          <w:lang w:val="es-CR"/>
        </w:rPr>
        <w:t>EXPOSICIÓN DE MOTIVOS</w:t>
      </w:r>
    </w:p>
    <w:p w14:paraId="0BCA3251" w14:textId="77777777" w:rsidR="00BF4D9D" w:rsidRPr="00BF4D9D" w:rsidRDefault="00BF4D9D" w:rsidP="00BF4D9D">
      <w:pPr>
        <w:jc w:val="center"/>
        <w:rPr>
          <w:rFonts w:ascii="Book Antiqua" w:hAnsi="Book Antiqua"/>
          <w:sz w:val="24"/>
          <w:szCs w:val="24"/>
          <w:lang w:val="es-CR"/>
        </w:rPr>
      </w:pPr>
    </w:p>
    <w:p w14:paraId="4BBBB175" w14:textId="77777777" w:rsidR="00385EE1" w:rsidRPr="00BF4D9D" w:rsidRDefault="00385EE1" w:rsidP="00BF4D9D">
      <w:pPr>
        <w:pStyle w:val="BodyText"/>
        <w:spacing w:after="0"/>
        <w:ind w:right="-61" w:firstLine="708"/>
        <w:rPr>
          <w:rFonts w:ascii="Book Antiqua" w:hAnsi="Book Antiqua"/>
          <w:sz w:val="24"/>
          <w:szCs w:val="24"/>
          <w:lang w:val="es-PR"/>
        </w:rPr>
      </w:pPr>
      <w:r w:rsidRPr="00BF4D9D">
        <w:rPr>
          <w:rFonts w:ascii="Book Antiqua" w:hAnsi="Book Antiqua"/>
          <w:sz w:val="24"/>
          <w:szCs w:val="24"/>
          <w:lang w:val="es-PR"/>
        </w:rPr>
        <w:t>La Asamblea Legislativa de Puerto Rico reconoce la necesidad de modernizar los requisitos técnicos de las escrituras y de las inscripciones en el Registro de la Propiedad. La inclusión de descripciones geométricas certificadas por agrimensores licenciados garantiza mayor certeza sobre la ubicación, extensión y linderos de las fincas</w:t>
      </w:r>
      <w:r w:rsidRPr="00475D48">
        <w:rPr>
          <w:rFonts w:ascii="Book Antiqua" w:hAnsi="Book Antiqua"/>
          <w:strike/>
          <w:sz w:val="24"/>
          <w:szCs w:val="24"/>
          <w:lang w:val="es-PR"/>
        </w:rPr>
        <w:t>, previniendo disputas legales y fortaleciendo la seguridad jurídica en el tráfico inmobiliario</w:t>
      </w:r>
      <w:r w:rsidRPr="00BF4D9D">
        <w:rPr>
          <w:rFonts w:ascii="Book Antiqua" w:hAnsi="Book Antiqua"/>
          <w:sz w:val="24"/>
          <w:szCs w:val="24"/>
          <w:lang w:val="es-PR"/>
        </w:rPr>
        <w:t>.</w:t>
      </w:r>
    </w:p>
    <w:p w14:paraId="24C7E955" w14:textId="77777777" w:rsidR="00BF4D9D" w:rsidRPr="00BF4D9D" w:rsidRDefault="00BF4D9D" w:rsidP="00BF4D9D">
      <w:pPr>
        <w:pStyle w:val="BodyText"/>
        <w:spacing w:after="0"/>
        <w:ind w:right="-61" w:firstLine="708"/>
        <w:rPr>
          <w:rFonts w:ascii="Book Antiqua" w:hAnsi="Book Antiqua"/>
          <w:sz w:val="24"/>
          <w:szCs w:val="24"/>
          <w:lang w:val="es-PR"/>
        </w:rPr>
      </w:pPr>
    </w:p>
    <w:p w14:paraId="7A93C392" w14:textId="77777777" w:rsidR="00385EE1" w:rsidRDefault="00385EE1" w:rsidP="00BF4D9D">
      <w:pPr>
        <w:pStyle w:val="BodyText"/>
        <w:spacing w:after="0"/>
        <w:ind w:right="-61" w:firstLine="708"/>
        <w:rPr>
          <w:rFonts w:ascii="Book Antiqua" w:hAnsi="Book Antiqua"/>
          <w:sz w:val="24"/>
          <w:szCs w:val="24"/>
          <w:lang w:val="es-PR"/>
        </w:rPr>
      </w:pPr>
      <w:r w:rsidRPr="00BF4D9D">
        <w:rPr>
          <w:rFonts w:ascii="Book Antiqua" w:hAnsi="Book Antiqua"/>
          <w:sz w:val="24"/>
          <w:szCs w:val="24"/>
          <w:lang w:val="es-PR"/>
        </w:rPr>
        <w:t xml:space="preserve">La delimitación precisa de los bienes inmuebles es fundamental para garantizar la seguridad jurídica en la transmisión de la propiedad, el desarrollo urbano y la planificación territorial en Puerto Rico. Sin embargo, </w:t>
      </w:r>
      <w:r w:rsidRPr="00C64F8E">
        <w:rPr>
          <w:rFonts w:ascii="Book Antiqua" w:hAnsi="Book Antiqua"/>
          <w:strike/>
          <w:sz w:val="24"/>
          <w:szCs w:val="24"/>
          <w:lang w:val="es-PR"/>
        </w:rPr>
        <w:t>en la actualidad,</w:t>
      </w:r>
      <w:r w:rsidRPr="00BF4D9D">
        <w:rPr>
          <w:rFonts w:ascii="Book Antiqua" w:hAnsi="Book Antiqua"/>
          <w:sz w:val="24"/>
          <w:szCs w:val="24"/>
          <w:lang w:val="es-PR"/>
        </w:rPr>
        <w:t xml:space="preserve"> muchas escrituras incluyen únicamente descripciones rústicas o legales que pueden resultar ambiguas o imprecisas</w:t>
      </w:r>
      <w:r w:rsidRPr="000A0741">
        <w:rPr>
          <w:rFonts w:ascii="Book Antiqua" w:hAnsi="Book Antiqua"/>
          <w:strike/>
          <w:sz w:val="24"/>
          <w:szCs w:val="24"/>
          <w:lang w:val="es-PR"/>
        </w:rPr>
        <w:t>, lo que ha dado lugar a conflictos de colindancias, litigios sobre linderos y complicaciones en los procesos de inscripción, segregación o agrupación de fincas</w:t>
      </w:r>
      <w:r w:rsidRPr="00BF4D9D">
        <w:rPr>
          <w:rFonts w:ascii="Book Antiqua" w:hAnsi="Book Antiqua"/>
          <w:sz w:val="24"/>
          <w:szCs w:val="24"/>
          <w:lang w:val="es-PR"/>
        </w:rPr>
        <w:t>.</w:t>
      </w:r>
    </w:p>
    <w:p w14:paraId="6D09DEA8" w14:textId="77777777" w:rsidR="004207D8" w:rsidRDefault="004207D8" w:rsidP="00BF4D9D">
      <w:pPr>
        <w:pStyle w:val="BodyText"/>
        <w:spacing w:after="0"/>
        <w:ind w:right="-61" w:firstLine="708"/>
        <w:rPr>
          <w:rFonts w:ascii="Book Antiqua" w:hAnsi="Book Antiqua"/>
          <w:sz w:val="24"/>
          <w:szCs w:val="24"/>
          <w:lang w:val="es-PR"/>
        </w:rPr>
      </w:pPr>
    </w:p>
    <w:p w14:paraId="124E5AF2" w14:textId="4A0CB46A" w:rsidR="004207D8" w:rsidRPr="008E2DBA" w:rsidRDefault="004207D8" w:rsidP="004207D8">
      <w:pPr>
        <w:pStyle w:val="BodyText"/>
        <w:ind w:right="-61" w:firstLine="708"/>
        <w:rPr>
          <w:rFonts w:ascii="Book Antiqua" w:hAnsi="Book Antiqua"/>
          <w:i/>
          <w:iCs/>
          <w:sz w:val="24"/>
          <w:szCs w:val="24"/>
          <w:u w:val="single"/>
          <w:lang w:val="es-PR"/>
        </w:rPr>
      </w:pPr>
      <w:r w:rsidRPr="008E2DBA">
        <w:rPr>
          <w:rFonts w:ascii="Book Antiqua" w:hAnsi="Book Antiqua"/>
          <w:i/>
          <w:iCs/>
          <w:sz w:val="24"/>
          <w:szCs w:val="24"/>
          <w:u w:val="single"/>
          <w:lang w:val="es-PR"/>
        </w:rPr>
        <w:lastRenderedPageBreak/>
        <w:t>La descripción inmobiliaria no constituye un ejercicio narrativo, sino una</w:t>
      </w:r>
      <w:r>
        <w:rPr>
          <w:rFonts w:ascii="Book Antiqua" w:hAnsi="Book Antiqua"/>
          <w:i/>
          <w:iCs/>
          <w:sz w:val="24"/>
          <w:szCs w:val="24"/>
          <w:u w:val="single"/>
          <w:lang w:val="es-PR"/>
        </w:rPr>
        <w:t xml:space="preserve"> </w:t>
      </w:r>
      <w:r w:rsidRPr="008E2DBA">
        <w:rPr>
          <w:rFonts w:ascii="Book Antiqua" w:hAnsi="Book Antiqua"/>
          <w:i/>
          <w:iCs/>
          <w:sz w:val="24"/>
          <w:szCs w:val="24"/>
          <w:u w:val="single"/>
          <w:lang w:val="es-PR"/>
        </w:rPr>
        <w:t xml:space="preserve">representación técnica de la realidad física del terreno que debe permitir su ubicación objetiva, verificación independiente y reproducción geométrica. Cuando el </w:t>
      </w:r>
      <w:r w:rsidR="00C64F8E">
        <w:rPr>
          <w:rFonts w:ascii="Book Antiqua" w:hAnsi="Book Antiqua"/>
          <w:i/>
          <w:iCs/>
          <w:sz w:val="24"/>
          <w:szCs w:val="24"/>
          <w:u w:val="single"/>
          <w:lang w:val="es-PR"/>
        </w:rPr>
        <w:t>r</w:t>
      </w:r>
      <w:r w:rsidRPr="008E2DBA">
        <w:rPr>
          <w:rFonts w:ascii="Book Antiqua" w:hAnsi="Book Antiqua"/>
          <w:i/>
          <w:iCs/>
          <w:sz w:val="24"/>
          <w:szCs w:val="24"/>
          <w:u w:val="single"/>
          <w:lang w:val="es-PR"/>
        </w:rPr>
        <w:t>egistro</w:t>
      </w:r>
      <w:r>
        <w:rPr>
          <w:rFonts w:ascii="Book Antiqua" w:hAnsi="Book Antiqua"/>
          <w:i/>
          <w:iCs/>
          <w:sz w:val="24"/>
          <w:szCs w:val="24"/>
          <w:u w:val="single"/>
          <w:lang w:val="es-PR"/>
        </w:rPr>
        <w:t xml:space="preserve"> </w:t>
      </w:r>
      <w:r w:rsidRPr="008E2DBA">
        <w:rPr>
          <w:rFonts w:ascii="Book Antiqua" w:hAnsi="Book Antiqua"/>
          <w:i/>
          <w:iCs/>
          <w:sz w:val="24"/>
          <w:szCs w:val="24"/>
          <w:u w:val="single"/>
          <w:lang w:val="es-PR"/>
        </w:rPr>
        <w:t xml:space="preserve">admite descripciones indeterminadas, se debilitan los principios de especialidad y publicidad registral, se afecta la fe pública inmobiliaria y se compromete la confiabilidad institucional del sistema hipotecario. </w:t>
      </w:r>
    </w:p>
    <w:p w14:paraId="6303BDB2" w14:textId="77777777" w:rsidR="004207D8" w:rsidRPr="008E2DBA" w:rsidRDefault="004207D8" w:rsidP="004207D8">
      <w:pPr>
        <w:pStyle w:val="BodyText"/>
        <w:ind w:right="-61" w:firstLine="708"/>
        <w:rPr>
          <w:rFonts w:ascii="Book Antiqua" w:hAnsi="Book Antiqua"/>
          <w:i/>
          <w:iCs/>
          <w:sz w:val="24"/>
          <w:szCs w:val="24"/>
          <w:u w:val="single"/>
          <w:lang w:val="es-PR"/>
        </w:rPr>
      </w:pPr>
      <w:r w:rsidRPr="008E2DBA">
        <w:rPr>
          <w:rFonts w:ascii="Book Antiqua" w:hAnsi="Book Antiqua"/>
          <w:i/>
          <w:iCs/>
          <w:sz w:val="24"/>
          <w:szCs w:val="24"/>
          <w:u w:val="single"/>
          <w:lang w:val="es-PR"/>
        </w:rPr>
        <w:t xml:space="preserve">La agrimensura constituye la base técnica que sustenta la realidad física del derecho de propiedad. Los sistemas registrales modernos reconocen que la función del agrimensor es estructural, no accesoria. La incorporación sistemática de mensuras certificadas, planos digitales y criterios técnicos mínimos en la calificación registral reduce significativamente </w:t>
      </w:r>
      <w:r>
        <w:rPr>
          <w:rFonts w:ascii="Book Antiqua" w:hAnsi="Book Antiqua"/>
          <w:i/>
          <w:iCs/>
          <w:sz w:val="24"/>
          <w:szCs w:val="24"/>
          <w:u w:val="single"/>
          <w:lang w:val="es-PR"/>
        </w:rPr>
        <w:t>el litigio</w:t>
      </w:r>
      <w:r w:rsidRPr="008E2DBA">
        <w:rPr>
          <w:rFonts w:ascii="Book Antiqua" w:hAnsi="Book Antiqua"/>
          <w:i/>
          <w:iCs/>
          <w:sz w:val="24"/>
          <w:szCs w:val="24"/>
          <w:u w:val="single"/>
          <w:lang w:val="es-PR"/>
        </w:rPr>
        <w:t xml:space="preserve">, fortalece la confiabilidad de las inscripciones y promueve un desarrollo territorial ordenado. </w:t>
      </w:r>
    </w:p>
    <w:p w14:paraId="21912FF4" w14:textId="77777777" w:rsidR="004207D8" w:rsidRPr="008E2DBA" w:rsidRDefault="004207D8" w:rsidP="004207D8">
      <w:pPr>
        <w:pStyle w:val="BodyText"/>
        <w:ind w:right="-61" w:firstLine="708"/>
        <w:rPr>
          <w:rFonts w:ascii="Book Antiqua" w:hAnsi="Book Antiqua"/>
          <w:i/>
          <w:iCs/>
          <w:sz w:val="24"/>
          <w:szCs w:val="24"/>
          <w:u w:val="single"/>
          <w:lang w:val="es-PR"/>
        </w:rPr>
      </w:pPr>
      <w:r w:rsidRPr="008E2DBA">
        <w:rPr>
          <w:rFonts w:ascii="Book Antiqua" w:hAnsi="Book Antiqua"/>
          <w:i/>
          <w:iCs/>
          <w:sz w:val="24"/>
          <w:szCs w:val="24"/>
          <w:u w:val="single"/>
          <w:lang w:val="es-PR"/>
        </w:rPr>
        <w:t>Esta Asamblea Legislativa entiende que el avance tecnológico hace inaceptable que</w:t>
      </w:r>
      <w:r>
        <w:rPr>
          <w:rFonts w:ascii="Book Antiqua" w:hAnsi="Book Antiqua"/>
          <w:i/>
          <w:iCs/>
          <w:sz w:val="24"/>
          <w:szCs w:val="24"/>
          <w:u w:val="single"/>
          <w:lang w:val="es-PR"/>
        </w:rPr>
        <w:t xml:space="preserve"> </w:t>
      </w:r>
      <w:r w:rsidRPr="008E2DBA">
        <w:rPr>
          <w:rFonts w:ascii="Book Antiqua" w:hAnsi="Book Antiqua"/>
          <w:i/>
          <w:iCs/>
          <w:sz w:val="24"/>
          <w:szCs w:val="24"/>
          <w:u w:val="single"/>
          <w:lang w:val="es-PR"/>
        </w:rPr>
        <w:t xml:space="preserve">el sistema registral continúe validando descripciones que no permiten ubicar físicamente una finca con certeza. Puerto Rico no puede aspirar a un catastro moderno ni a un mercado inmobiliario confiable sin exigir precisión técnica en la base misma del </w:t>
      </w:r>
      <w:r>
        <w:rPr>
          <w:rFonts w:ascii="Book Antiqua" w:hAnsi="Book Antiqua"/>
          <w:i/>
          <w:iCs/>
          <w:sz w:val="24"/>
          <w:szCs w:val="24"/>
          <w:u w:val="single"/>
          <w:lang w:val="es-PR"/>
        </w:rPr>
        <w:t>r</w:t>
      </w:r>
      <w:r w:rsidRPr="008E2DBA">
        <w:rPr>
          <w:rFonts w:ascii="Book Antiqua" w:hAnsi="Book Antiqua"/>
          <w:i/>
          <w:iCs/>
          <w:sz w:val="24"/>
          <w:szCs w:val="24"/>
          <w:u w:val="single"/>
          <w:lang w:val="es-PR"/>
        </w:rPr>
        <w:t xml:space="preserve">egistro: la descripción del inmueble. </w:t>
      </w:r>
    </w:p>
    <w:p w14:paraId="59E978C2" w14:textId="77777777" w:rsidR="004207D8" w:rsidRPr="00BF4D9D" w:rsidRDefault="004207D8" w:rsidP="004207D8">
      <w:pPr>
        <w:pStyle w:val="BodyText"/>
        <w:ind w:right="-61" w:firstLine="708"/>
        <w:rPr>
          <w:rFonts w:ascii="Book Antiqua" w:hAnsi="Book Antiqua"/>
          <w:sz w:val="24"/>
          <w:szCs w:val="24"/>
          <w:lang w:val="es-PR"/>
        </w:rPr>
      </w:pPr>
      <w:r w:rsidRPr="008E2DBA">
        <w:rPr>
          <w:rFonts w:ascii="Book Antiqua" w:hAnsi="Book Antiqua"/>
          <w:i/>
          <w:iCs/>
          <w:sz w:val="24"/>
          <w:szCs w:val="24"/>
          <w:u w:val="single"/>
          <w:lang w:val="es-PR"/>
        </w:rPr>
        <w:t>Esta Ley no persigue burocratizar el proceso de inscripción, sino fortalecer la fe</w:t>
      </w:r>
      <w:r>
        <w:rPr>
          <w:rFonts w:ascii="Book Antiqua" w:hAnsi="Book Antiqua"/>
          <w:i/>
          <w:iCs/>
          <w:sz w:val="24"/>
          <w:szCs w:val="24"/>
          <w:u w:val="single"/>
          <w:lang w:val="es-PR"/>
        </w:rPr>
        <w:t xml:space="preserve"> </w:t>
      </w:r>
      <w:r w:rsidRPr="008E2DBA">
        <w:rPr>
          <w:rFonts w:ascii="Book Antiqua" w:hAnsi="Book Antiqua"/>
          <w:i/>
          <w:iCs/>
          <w:sz w:val="24"/>
          <w:szCs w:val="24"/>
          <w:u w:val="single"/>
          <w:lang w:val="es-PR"/>
        </w:rPr>
        <w:t>pública registral, proteger la propiedad privada y dotar a los ciudadanos de un sistema registral confiable, transparente y técnicamente verificable, acorde con las mejores prácticas internacionales.</w:t>
      </w:r>
    </w:p>
    <w:p w14:paraId="27B2544A" w14:textId="77777777" w:rsidR="004207D8" w:rsidRPr="00BF4D9D" w:rsidRDefault="004207D8" w:rsidP="00BF4D9D">
      <w:pPr>
        <w:pStyle w:val="BodyText"/>
        <w:spacing w:after="0"/>
        <w:ind w:right="-61" w:firstLine="708"/>
        <w:rPr>
          <w:rFonts w:ascii="Book Antiqua" w:hAnsi="Book Antiqua"/>
          <w:sz w:val="24"/>
          <w:szCs w:val="24"/>
          <w:lang w:val="es-PR"/>
        </w:rPr>
      </w:pPr>
    </w:p>
    <w:p w14:paraId="11C2B1BA" w14:textId="1DEF5883" w:rsidR="00BA07D4" w:rsidRDefault="00385EE1" w:rsidP="00BF4D9D">
      <w:pPr>
        <w:pStyle w:val="BodyText"/>
        <w:spacing w:after="0"/>
        <w:ind w:right="-61" w:firstLine="708"/>
        <w:rPr>
          <w:rFonts w:ascii="Book Antiqua" w:hAnsi="Book Antiqua"/>
          <w:sz w:val="24"/>
          <w:szCs w:val="24"/>
          <w:lang w:val="es-PR"/>
        </w:rPr>
      </w:pPr>
      <w:r w:rsidRPr="00BF4D9D">
        <w:rPr>
          <w:rFonts w:ascii="Book Antiqua" w:hAnsi="Book Antiqua"/>
          <w:sz w:val="24"/>
          <w:szCs w:val="24"/>
          <w:lang w:val="es-PR"/>
        </w:rPr>
        <w:t>Con el fin de mejorar la precisión y confiabilidad de las descripciones inmobiliarias, esta legislación establece como requisito que toda escritura pública que documente la transmisión, segregación, agrupación</w:t>
      </w:r>
      <w:r w:rsidR="00A43E01">
        <w:rPr>
          <w:rFonts w:ascii="Book Antiqua" w:hAnsi="Book Antiqua"/>
          <w:i/>
          <w:iCs/>
          <w:sz w:val="24"/>
          <w:szCs w:val="24"/>
          <w:u w:val="single"/>
          <w:lang w:val="es-PR"/>
        </w:rPr>
        <w:t>, rectificación de cabida</w:t>
      </w:r>
      <w:r w:rsidRPr="00BF4D9D">
        <w:rPr>
          <w:rFonts w:ascii="Book Antiqua" w:hAnsi="Book Antiqua"/>
          <w:sz w:val="24"/>
          <w:szCs w:val="24"/>
          <w:lang w:val="es-PR"/>
        </w:rPr>
        <w:t xml:space="preserve"> o cualquier otra modificación</w:t>
      </w:r>
      <w:r w:rsidR="00A43E01">
        <w:rPr>
          <w:rFonts w:ascii="Book Antiqua" w:hAnsi="Book Antiqua"/>
          <w:sz w:val="24"/>
          <w:szCs w:val="24"/>
          <w:lang w:val="es-PR"/>
        </w:rPr>
        <w:t xml:space="preserve"> </w:t>
      </w:r>
      <w:r w:rsidR="00A43E01">
        <w:rPr>
          <w:rFonts w:ascii="Book Antiqua" w:hAnsi="Book Antiqua"/>
          <w:i/>
          <w:iCs/>
          <w:sz w:val="24"/>
          <w:szCs w:val="24"/>
          <w:u w:val="single"/>
          <w:lang w:val="es-PR"/>
        </w:rPr>
        <w:t>física</w:t>
      </w:r>
      <w:r w:rsidRPr="00BF4D9D">
        <w:rPr>
          <w:rFonts w:ascii="Book Antiqua" w:hAnsi="Book Antiqua"/>
          <w:sz w:val="24"/>
          <w:szCs w:val="24"/>
          <w:lang w:val="es-PR"/>
        </w:rPr>
        <w:t xml:space="preserve"> de bienes inmuebles incluya una descripción geométrica certificada por un agrimensor licenciado en Puerto Rico. De esta forma, se fortalece la seguridad del tráfico jurídico, se facilita la labor de los notarios y registradores, y se provee mayor transparencia</w:t>
      </w:r>
      <w:r w:rsidR="004B5FDC">
        <w:rPr>
          <w:rFonts w:ascii="Book Antiqua" w:hAnsi="Book Antiqua"/>
          <w:sz w:val="24"/>
          <w:szCs w:val="24"/>
          <w:lang w:val="es-PR"/>
        </w:rPr>
        <w:t xml:space="preserve"> </w:t>
      </w:r>
      <w:r w:rsidR="004B5FDC">
        <w:rPr>
          <w:rFonts w:ascii="Book Antiqua" w:hAnsi="Book Antiqua"/>
          <w:i/>
          <w:iCs/>
          <w:sz w:val="24"/>
          <w:szCs w:val="24"/>
          <w:u w:val="single"/>
          <w:lang w:val="es-PR"/>
        </w:rPr>
        <w:t>y coherencia técnica</w:t>
      </w:r>
      <w:r w:rsidRPr="00BF4D9D">
        <w:rPr>
          <w:rFonts w:ascii="Book Antiqua" w:hAnsi="Book Antiqua"/>
          <w:sz w:val="24"/>
          <w:szCs w:val="24"/>
          <w:lang w:val="es-PR"/>
        </w:rPr>
        <w:t xml:space="preserve"> en la gestión de la propiedad </w:t>
      </w:r>
      <w:r w:rsidR="004B5FDC">
        <w:rPr>
          <w:rFonts w:ascii="Book Antiqua" w:hAnsi="Book Antiqua"/>
          <w:i/>
          <w:iCs/>
          <w:sz w:val="24"/>
          <w:szCs w:val="24"/>
          <w:u w:val="single"/>
          <w:lang w:val="es-PR"/>
        </w:rPr>
        <w:t>inmueble</w:t>
      </w:r>
      <w:r w:rsidR="004B5FDC" w:rsidRPr="004B5FDC">
        <w:rPr>
          <w:rFonts w:ascii="Book Antiqua" w:hAnsi="Book Antiqua"/>
          <w:sz w:val="24"/>
          <w:szCs w:val="24"/>
          <w:lang w:val="es-PR"/>
        </w:rPr>
        <w:t xml:space="preserve"> </w:t>
      </w:r>
      <w:r w:rsidRPr="004B5FDC">
        <w:rPr>
          <w:rFonts w:ascii="Book Antiqua" w:hAnsi="Book Antiqua"/>
          <w:strike/>
          <w:sz w:val="24"/>
          <w:szCs w:val="24"/>
          <w:lang w:val="es-PR"/>
        </w:rPr>
        <w:t>inmobiliaria</w:t>
      </w:r>
      <w:r w:rsidRPr="00BF4D9D">
        <w:rPr>
          <w:rFonts w:ascii="Book Antiqua" w:hAnsi="Book Antiqua"/>
          <w:sz w:val="24"/>
          <w:szCs w:val="24"/>
          <w:lang w:val="es-PR"/>
        </w:rPr>
        <w:t>.</w:t>
      </w:r>
    </w:p>
    <w:p w14:paraId="23E4A4E3" w14:textId="77777777" w:rsidR="00BF4D9D" w:rsidRPr="00BF4D9D" w:rsidRDefault="00BF4D9D" w:rsidP="00BF4D9D">
      <w:pPr>
        <w:pStyle w:val="BodyText"/>
        <w:spacing w:after="0"/>
        <w:ind w:right="-61" w:firstLine="708"/>
        <w:rPr>
          <w:rFonts w:ascii="Book Antiqua" w:hAnsi="Book Antiqua"/>
          <w:sz w:val="24"/>
          <w:szCs w:val="24"/>
          <w:lang w:val="es-PR"/>
        </w:rPr>
      </w:pPr>
    </w:p>
    <w:p w14:paraId="7528DF72" w14:textId="77777777" w:rsidR="00603740" w:rsidRPr="00BF4D9D" w:rsidRDefault="00517134" w:rsidP="00BF4D9D">
      <w:pPr>
        <w:spacing w:line="480" w:lineRule="auto"/>
        <w:rPr>
          <w:rFonts w:ascii="Book Antiqua" w:eastAsia="Times New Roman" w:hAnsi="Book Antiqua"/>
          <w:i/>
          <w:sz w:val="24"/>
          <w:szCs w:val="24"/>
        </w:rPr>
        <w:sectPr w:rsidR="00603740" w:rsidRPr="00BF4D9D" w:rsidSect="00D64815">
          <w:headerReference w:type="default" r:id="rId12"/>
          <w:pgSz w:w="12240" w:h="15840" w:code="1"/>
          <w:pgMar w:top="1152" w:right="1260" w:bottom="1152" w:left="1440" w:header="576" w:footer="720" w:gutter="0"/>
          <w:cols w:space="720"/>
          <w:titlePg/>
          <w:docGrid w:linePitch="360"/>
        </w:sectPr>
      </w:pPr>
      <w:bookmarkStart w:id="4" w:name="_Hlk183040655"/>
      <w:r w:rsidRPr="00BF4D9D">
        <w:rPr>
          <w:rFonts w:ascii="Book Antiqua" w:hAnsi="Book Antiqua"/>
          <w:i/>
          <w:sz w:val="24"/>
          <w:szCs w:val="24"/>
          <w:lang w:val="es-CR"/>
        </w:rPr>
        <w:t>DECR</w:t>
      </w:r>
      <w:r w:rsidR="00A80B49" w:rsidRPr="00BF4D9D">
        <w:rPr>
          <w:rFonts w:ascii="Book Antiqua" w:hAnsi="Book Antiqua"/>
          <w:i/>
          <w:sz w:val="24"/>
          <w:szCs w:val="24"/>
          <w:lang w:val="es-CR"/>
        </w:rPr>
        <w:t>É</w:t>
      </w:r>
      <w:r w:rsidRPr="00BF4D9D">
        <w:rPr>
          <w:rFonts w:ascii="Book Antiqua" w:hAnsi="Book Antiqua"/>
          <w:i/>
          <w:sz w:val="24"/>
          <w:szCs w:val="24"/>
          <w:lang w:val="es-CR"/>
        </w:rPr>
        <w:t>TASE POR LA ASAMBLEA LEGISLATIVA DE PUERTO RICO</w:t>
      </w:r>
      <w:bookmarkEnd w:id="4"/>
      <w:r w:rsidRPr="00BF4D9D">
        <w:rPr>
          <w:rFonts w:ascii="Book Antiqua" w:hAnsi="Book Antiqua"/>
          <w:i/>
          <w:sz w:val="24"/>
          <w:szCs w:val="24"/>
          <w:lang w:val="es-CR"/>
        </w:rPr>
        <w:t>:</w:t>
      </w:r>
      <w:r w:rsidR="00E55A17" w:rsidRPr="00BF4D9D">
        <w:rPr>
          <w:rFonts w:ascii="Book Antiqua" w:eastAsia="Times New Roman" w:hAnsi="Book Antiqua"/>
          <w:i/>
          <w:sz w:val="24"/>
          <w:szCs w:val="24"/>
        </w:rPr>
        <w:t> </w:t>
      </w:r>
      <w:r w:rsidR="00D91F00" w:rsidRPr="00BF4D9D">
        <w:rPr>
          <w:rFonts w:ascii="Book Antiqua" w:eastAsia="Times New Roman" w:hAnsi="Book Antiqua"/>
          <w:i/>
          <w:sz w:val="24"/>
          <w:szCs w:val="24"/>
        </w:rPr>
        <w:tab/>
      </w:r>
    </w:p>
    <w:p w14:paraId="6F2ECA40" w14:textId="77777777" w:rsidR="009E1B22" w:rsidRDefault="00C87627" w:rsidP="009E1B22">
      <w:pPr>
        <w:tabs>
          <w:tab w:val="left" w:pos="918"/>
        </w:tabs>
        <w:spacing w:before="58" w:line="480" w:lineRule="auto"/>
        <w:ind w:left="221" w:right="-270"/>
        <w:rPr>
          <w:rFonts w:ascii="Book Antiqua" w:hAnsi="Book Antiqua"/>
          <w:spacing w:val="15"/>
          <w:sz w:val="24"/>
          <w:szCs w:val="24"/>
        </w:rPr>
      </w:pPr>
      <w:r w:rsidRPr="00BF4D9D">
        <w:rPr>
          <w:rFonts w:ascii="Book Antiqua" w:hAnsi="Book Antiqua"/>
          <w:sz w:val="24"/>
          <w:szCs w:val="24"/>
          <w:lang w:val="es-ES_tradnl"/>
        </w:rPr>
        <w:tab/>
      </w:r>
      <w:r w:rsidR="009E1B22">
        <w:rPr>
          <w:rFonts w:ascii="Book Antiqua" w:hAnsi="Book Antiqua"/>
          <w:sz w:val="24"/>
          <w:szCs w:val="24"/>
          <w:lang w:val="es-ES_tradnl"/>
        </w:rPr>
        <w:t xml:space="preserve">Sección 1.- </w:t>
      </w:r>
      <w:r w:rsidR="009E1B22">
        <w:rPr>
          <w:rFonts w:ascii="Book Antiqua" w:hAnsi="Book Antiqua"/>
          <w:bCs/>
          <w:iCs/>
          <w:sz w:val="24"/>
          <w:szCs w:val="24"/>
          <w:lang w:val="es-PR"/>
        </w:rPr>
        <w:t>Se enmienda Artículo 10 de la Ley Núm. 210-2015</w:t>
      </w:r>
      <w:r w:rsidR="009E1B22">
        <w:rPr>
          <w:rFonts w:ascii="Book Antiqua" w:hAnsi="Book Antiqua"/>
          <w:bCs/>
          <w:iCs/>
          <w:sz w:val="24"/>
          <w:szCs w:val="24"/>
        </w:rPr>
        <w:t xml:space="preserve">, según enmendada, </w:t>
      </w:r>
      <w:r w:rsidR="009E1B22" w:rsidRPr="00DB6121">
        <w:rPr>
          <w:rFonts w:ascii="Book Antiqua" w:hAnsi="Book Antiqua"/>
          <w:bCs/>
          <w:iCs/>
          <w:strike/>
          <w:sz w:val="24"/>
          <w:szCs w:val="24"/>
        </w:rPr>
        <w:t xml:space="preserve">conocida como </w:t>
      </w:r>
      <w:r w:rsidR="009E1B22" w:rsidRPr="00DB6121">
        <w:rPr>
          <w:rFonts w:ascii="Book Antiqua" w:hAnsi="Book Antiqua"/>
          <w:bCs/>
          <w:iCs/>
          <w:strike/>
          <w:sz w:val="24"/>
          <w:szCs w:val="24"/>
          <w:lang w:val="es-PR"/>
        </w:rPr>
        <w:t>la “Ley del Registro de la Propiedad Inmobiliaria del Estado Libre Asociado de Puerto Rico”,</w:t>
      </w:r>
      <w:r w:rsidR="009E1B22">
        <w:rPr>
          <w:rFonts w:ascii="Book Antiqua" w:hAnsi="Book Antiqua"/>
          <w:bCs/>
          <w:iCs/>
          <w:sz w:val="24"/>
          <w:szCs w:val="24"/>
          <w:lang w:val="es-PR"/>
        </w:rPr>
        <w:t xml:space="preserve"> para que se lea como sigue</w:t>
      </w:r>
      <w:r w:rsidR="009E1B22">
        <w:rPr>
          <w:rFonts w:ascii="Book Antiqua" w:hAnsi="Book Antiqua"/>
          <w:spacing w:val="15"/>
          <w:sz w:val="24"/>
          <w:szCs w:val="24"/>
        </w:rPr>
        <w:t>:</w:t>
      </w:r>
    </w:p>
    <w:p w14:paraId="7111F7F3" w14:textId="77777777" w:rsidR="009E1B22" w:rsidRDefault="009E1B22" w:rsidP="009E1B22">
      <w:pPr>
        <w:tabs>
          <w:tab w:val="left" w:pos="918"/>
        </w:tabs>
        <w:spacing w:before="58" w:line="480" w:lineRule="auto"/>
        <w:ind w:left="708" w:right="720"/>
        <w:rPr>
          <w:rFonts w:ascii="Book Antiqua" w:hAnsi="Book Antiqua"/>
          <w:bCs/>
          <w:iCs/>
          <w:sz w:val="24"/>
          <w:szCs w:val="24"/>
          <w:lang w:val="x-none"/>
        </w:rPr>
      </w:pPr>
      <w:r>
        <w:rPr>
          <w:rFonts w:ascii="Book Antiqua" w:hAnsi="Book Antiqua"/>
          <w:bCs/>
          <w:iCs/>
          <w:sz w:val="24"/>
          <w:szCs w:val="24"/>
          <w:lang w:val="es-PR"/>
        </w:rPr>
        <w:t>“</w:t>
      </w:r>
      <w:r>
        <w:rPr>
          <w:rFonts w:ascii="Book Antiqua" w:hAnsi="Book Antiqua"/>
          <w:bCs/>
          <w:iCs/>
          <w:sz w:val="24"/>
          <w:szCs w:val="24"/>
          <w:lang w:val="x-none"/>
        </w:rPr>
        <w:t>ARTÍCULO 10. — Contenido de los documentos sujetos a inscripción.</w:t>
      </w:r>
    </w:p>
    <w:p w14:paraId="59622B79" w14:textId="77777777" w:rsidR="009E1B22" w:rsidRDefault="009E1B22" w:rsidP="009E1B22">
      <w:pPr>
        <w:tabs>
          <w:tab w:val="left" w:pos="918"/>
        </w:tabs>
        <w:spacing w:before="58" w:line="480" w:lineRule="auto"/>
        <w:ind w:left="708" w:right="720"/>
        <w:rPr>
          <w:rFonts w:ascii="Book Antiqua" w:hAnsi="Book Antiqua"/>
          <w:bCs/>
          <w:iCs/>
          <w:sz w:val="24"/>
          <w:szCs w:val="24"/>
          <w:lang w:val="x-none"/>
        </w:rPr>
      </w:pPr>
      <w:r>
        <w:rPr>
          <w:rFonts w:ascii="Book Antiqua" w:hAnsi="Book Antiqua"/>
          <w:bCs/>
          <w:iCs/>
          <w:sz w:val="24"/>
          <w:szCs w:val="24"/>
          <w:lang w:val="x-none"/>
        </w:rPr>
        <w:t xml:space="preserve">Los documentos relativos a actos o contratos sujetos a inscripción expresarán todas las circunstancias que necesariamente debe contener la primera inscripción relativas a los otorgantes, las fincas y a los derechos objetos de inscripción. </w:t>
      </w:r>
    </w:p>
    <w:p w14:paraId="262AA716" w14:textId="77777777" w:rsidR="009E1B22" w:rsidRDefault="009E1B22" w:rsidP="009E1B22">
      <w:pPr>
        <w:tabs>
          <w:tab w:val="left" w:pos="918"/>
        </w:tabs>
        <w:spacing w:before="58" w:line="480" w:lineRule="auto"/>
        <w:ind w:left="708" w:right="720"/>
        <w:rPr>
          <w:rFonts w:ascii="Book Antiqua" w:hAnsi="Book Antiqua"/>
          <w:bCs/>
          <w:iCs/>
          <w:sz w:val="24"/>
          <w:szCs w:val="24"/>
          <w:lang w:val="x-none"/>
        </w:rPr>
      </w:pPr>
      <w:r>
        <w:rPr>
          <w:rFonts w:ascii="Book Antiqua" w:hAnsi="Book Antiqua"/>
          <w:bCs/>
          <w:iCs/>
          <w:sz w:val="24"/>
          <w:szCs w:val="24"/>
          <w:lang w:val="x-none"/>
        </w:rPr>
        <w:lastRenderedPageBreak/>
        <w:t xml:space="preserve">En aquellos casos donde el acto o contrato que se pretende inscribir requiere la existencia de algún documento o documentos complementarios que acrediten las facultades representativas o autoridad del compareciente, el notario relacionará y certificará bajo su fe notarial que los tuvo ante sí y que estos cumplen con todos los requisitos de ley. En este caso, no será necesario que se presenten estos documentos. </w:t>
      </w:r>
    </w:p>
    <w:p w14:paraId="4D58C092" w14:textId="77777777" w:rsidR="009E1B22" w:rsidRDefault="009E1B22" w:rsidP="009E1B22">
      <w:pPr>
        <w:tabs>
          <w:tab w:val="left" w:pos="918"/>
        </w:tabs>
        <w:spacing w:before="58" w:line="480" w:lineRule="auto"/>
        <w:ind w:left="708" w:right="720"/>
        <w:rPr>
          <w:rFonts w:ascii="Book Antiqua" w:hAnsi="Book Antiqua"/>
          <w:bCs/>
          <w:iCs/>
          <w:sz w:val="24"/>
          <w:szCs w:val="24"/>
          <w:lang w:val="x-none"/>
        </w:rPr>
      </w:pPr>
      <w:r>
        <w:rPr>
          <w:rFonts w:ascii="Book Antiqua" w:hAnsi="Book Antiqua"/>
          <w:bCs/>
          <w:iCs/>
          <w:sz w:val="24"/>
          <w:szCs w:val="24"/>
          <w:lang w:val="x-none"/>
        </w:rPr>
        <w:t>Cuando el acto o contrato que se pretende inscribir requiere la existencia de una sentencia o documento emitido por un tribunal de Puerto Rico, y dicha sentencia o documento sea emitido a través del Sistema Unificado de Manejo y Administración de Casos (SUMAC), el Registrador de la Propiedad aceptará el documento según emitido electrónicamente por SUMAC, como copia válida del documento existente en los archivos del tribunal, sin que sea necesario la presentación de copia certificada. En estos casos, el Registrador podrá corroborar la validez y exactitud del documento accediendo a SUMAC.</w:t>
      </w:r>
    </w:p>
    <w:p w14:paraId="60E0891D" w14:textId="347B69D8" w:rsidR="009E1B22" w:rsidRDefault="009E1B22" w:rsidP="009E1B22">
      <w:pPr>
        <w:tabs>
          <w:tab w:val="left" w:pos="918"/>
        </w:tabs>
        <w:spacing w:before="58" w:line="480" w:lineRule="auto"/>
        <w:ind w:left="708" w:right="720"/>
        <w:rPr>
          <w:rFonts w:ascii="Book Antiqua" w:hAnsi="Book Antiqua"/>
          <w:bCs/>
          <w:i/>
          <w:sz w:val="24"/>
          <w:szCs w:val="24"/>
          <w:lang w:val="es-PR"/>
        </w:rPr>
      </w:pPr>
      <w:r w:rsidRPr="00493459">
        <w:rPr>
          <w:rFonts w:ascii="Book Antiqua" w:hAnsi="Book Antiqua"/>
          <w:bCs/>
          <w:i/>
          <w:strike/>
          <w:sz w:val="24"/>
          <w:szCs w:val="24"/>
          <w:lang w:val="es-PR"/>
        </w:rPr>
        <w:t>Además, toda</w:t>
      </w:r>
      <w:r>
        <w:rPr>
          <w:rFonts w:ascii="Book Antiqua" w:hAnsi="Book Antiqua"/>
          <w:bCs/>
          <w:i/>
          <w:sz w:val="24"/>
          <w:szCs w:val="24"/>
          <w:lang w:val="es-PR"/>
        </w:rPr>
        <w:t xml:space="preserve"> </w:t>
      </w:r>
      <w:proofErr w:type="spellStart"/>
      <w:r w:rsidR="008B066D">
        <w:rPr>
          <w:rFonts w:ascii="Book Antiqua" w:hAnsi="Book Antiqua"/>
          <w:bCs/>
          <w:i/>
          <w:sz w:val="24"/>
          <w:szCs w:val="24"/>
          <w:u w:val="single"/>
          <w:lang w:val="es-PR"/>
        </w:rPr>
        <w:t>Toda</w:t>
      </w:r>
      <w:proofErr w:type="spellEnd"/>
      <w:r w:rsidR="008B066D" w:rsidRPr="008B066D">
        <w:rPr>
          <w:rFonts w:ascii="Book Antiqua" w:hAnsi="Book Antiqua"/>
          <w:bCs/>
          <w:i/>
          <w:sz w:val="24"/>
          <w:szCs w:val="24"/>
          <w:lang w:val="es-PR"/>
        </w:rPr>
        <w:t xml:space="preserve"> </w:t>
      </w:r>
      <w:r>
        <w:rPr>
          <w:rFonts w:ascii="Book Antiqua" w:hAnsi="Book Antiqua"/>
          <w:bCs/>
          <w:i/>
          <w:sz w:val="24"/>
          <w:szCs w:val="24"/>
          <w:lang w:val="es-PR"/>
        </w:rPr>
        <w:t>escritura pública que documente la transmisión, segregación, agrupación</w:t>
      </w:r>
      <w:r w:rsidR="008B066D">
        <w:rPr>
          <w:rFonts w:ascii="Book Antiqua" w:hAnsi="Book Antiqua"/>
          <w:bCs/>
          <w:i/>
          <w:sz w:val="24"/>
          <w:szCs w:val="24"/>
          <w:u w:val="single"/>
          <w:lang w:val="es-PR"/>
        </w:rPr>
        <w:t>, rectificación de cabida</w:t>
      </w:r>
      <w:r>
        <w:rPr>
          <w:rFonts w:ascii="Book Antiqua" w:hAnsi="Book Antiqua"/>
          <w:bCs/>
          <w:i/>
          <w:sz w:val="24"/>
          <w:szCs w:val="24"/>
          <w:lang w:val="es-PR"/>
        </w:rPr>
        <w:t xml:space="preserve"> o cualquier otra modificación </w:t>
      </w:r>
      <w:r w:rsidR="002A6CFD">
        <w:rPr>
          <w:rFonts w:ascii="Book Antiqua" w:hAnsi="Book Antiqua"/>
          <w:bCs/>
          <w:i/>
          <w:sz w:val="24"/>
          <w:szCs w:val="24"/>
          <w:u w:val="single"/>
          <w:lang w:val="es-PR"/>
        </w:rPr>
        <w:t>física</w:t>
      </w:r>
      <w:r w:rsidR="002A6CFD" w:rsidRPr="002A6CFD">
        <w:rPr>
          <w:rFonts w:ascii="Book Antiqua" w:hAnsi="Book Antiqua"/>
          <w:bCs/>
          <w:i/>
          <w:sz w:val="24"/>
          <w:szCs w:val="24"/>
          <w:lang w:val="es-PR"/>
        </w:rPr>
        <w:t xml:space="preserve"> </w:t>
      </w:r>
      <w:r>
        <w:rPr>
          <w:rFonts w:ascii="Book Antiqua" w:hAnsi="Book Antiqua"/>
          <w:bCs/>
          <w:i/>
          <w:sz w:val="24"/>
          <w:szCs w:val="24"/>
          <w:lang w:val="es-PR"/>
        </w:rPr>
        <w:t>de bienes inmuebles deberá incluir, además de la descripción rústica o legal, una descripción geométrica certificada por un agrimensor licenciado en Puerto Rico, que contenga</w:t>
      </w:r>
      <w:r w:rsidR="008105EC">
        <w:rPr>
          <w:rFonts w:ascii="Book Antiqua" w:hAnsi="Book Antiqua"/>
          <w:bCs/>
          <w:i/>
          <w:sz w:val="24"/>
          <w:szCs w:val="24"/>
          <w:lang w:val="es-PR"/>
        </w:rPr>
        <w:t xml:space="preserve"> </w:t>
      </w:r>
      <w:r w:rsidR="008105EC">
        <w:rPr>
          <w:rFonts w:ascii="Book Antiqua" w:hAnsi="Book Antiqua"/>
          <w:bCs/>
          <w:i/>
          <w:sz w:val="24"/>
          <w:szCs w:val="24"/>
          <w:u w:val="single"/>
          <w:lang w:val="es-PR"/>
        </w:rPr>
        <w:t>como mínimo</w:t>
      </w:r>
      <w:r>
        <w:rPr>
          <w:rFonts w:ascii="Book Antiqua" w:hAnsi="Book Antiqua"/>
          <w:bCs/>
          <w:i/>
          <w:sz w:val="24"/>
          <w:szCs w:val="24"/>
          <w:lang w:val="es-PR"/>
        </w:rPr>
        <w:t xml:space="preserve">: </w:t>
      </w:r>
    </w:p>
    <w:p w14:paraId="20F902D7" w14:textId="01C73BF6" w:rsidR="009E1B22" w:rsidRDefault="009E1B22" w:rsidP="009E1B22">
      <w:pPr>
        <w:tabs>
          <w:tab w:val="left" w:pos="918"/>
        </w:tabs>
        <w:spacing w:before="58" w:line="480" w:lineRule="auto"/>
        <w:ind w:left="708" w:right="720"/>
        <w:rPr>
          <w:rFonts w:ascii="Book Antiqua" w:hAnsi="Book Antiqua"/>
          <w:bCs/>
          <w:i/>
          <w:sz w:val="24"/>
          <w:szCs w:val="24"/>
          <w:lang w:val="es-PR"/>
        </w:rPr>
      </w:pPr>
      <w:r>
        <w:rPr>
          <w:rFonts w:ascii="Book Antiqua" w:hAnsi="Book Antiqua"/>
          <w:bCs/>
          <w:i/>
          <w:sz w:val="24"/>
          <w:szCs w:val="24"/>
          <w:lang w:val="es-PR"/>
        </w:rPr>
        <w:t xml:space="preserve">(1) la indicación de medidas, </w:t>
      </w:r>
      <w:r w:rsidR="00807A21">
        <w:rPr>
          <w:rFonts w:ascii="Book Antiqua" w:hAnsi="Book Antiqua"/>
          <w:bCs/>
          <w:i/>
          <w:sz w:val="24"/>
          <w:szCs w:val="24"/>
          <w:u w:val="single"/>
          <w:lang w:val="es-PR"/>
        </w:rPr>
        <w:t>rumbos, distancias</w:t>
      </w:r>
      <w:r w:rsidR="00656E84">
        <w:rPr>
          <w:rFonts w:ascii="Book Antiqua" w:hAnsi="Book Antiqua"/>
          <w:bCs/>
          <w:i/>
          <w:sz w:val="24"/>
          <w:szCs w:val="24"/>
          <w:u w:val="single"/>
          <w:lang w:val="es-PR"/>
        </w:rPr>
        <w:t>, hitos naturales o artificiales que delimitan los</w:t>
      </w:r>
      <w:r w:rsidR="00656E84" w:rsidRPr="00656E84">
        <w:rPr>
          <w:rFonts w:ascii="Book Antiqua" w:hAnsi="Book Antiqua"/>
          <w:bCs/>
          <w:i/>
          <w:sz w:val="24"/>
          <w:szCs w:val="24"/>
          <w:lang w:val="es-PR"/>
        </w:rPr>
        <w:t xml:space="preserve"> </w:t>
      </w:r>
      <w:r>
        <w:rPr>
          <w:rFonts w:ascii="Book Antiqua" w:hAnsi="Book Antiqua"/>
          <w:bCs/>
          <w:i/>
          <w:sz w:val="24"/>
          <w:szCs w:val="24"/>
          <w:lang w:val="es-PR"/>
        </w:rPr>
        <w:t>linderos</w:t>
      </w:r>
      <w:r w:rsidR="00656E84">
        <w:rPr>
          <w:rFonts w:ascii="Book Antiqua" w:hAnsi="Book Antiqua"/>
          <w:bCs/>
          <w:i/>
          <w:sz w:val="24"/>
          <w:szCs w:val="24"/>
          <w:u w:val="single"/>
          <w:lang w:val="es-PR"/>
        </w:rPr>
        <w:t>, colindantes, cabida</w:t>
      </w:r>
      <w:r w:rsidR="00D0062E">
        <w:rPr>
          <w:rFonts w:ascii="Book Antiqua" w:hAnsi="Book Antiqua"/>
          <w:bCs/>
          <w:i/>
          <w:sz w:val="24"/>
          <w:szCs w:val="24"/>
          <w:u w:val="single"/>
          <w:lang w:val="es-PR"/>
        </w:rPr>
        <w:t>,</w:t>
      </w:r>
      <w:r>
        <w:rPr>
          <w:rFonts w:ascii="Book Antiqua" w:hAnsi="Book Antiqua"/>
          <w:bCs/>
          <w:i/>
          <w:sz w:val="24"/>
          <w:szCs w:val="24"/>
          <w:lang w:val="es-PR"/>
        </w:rPr>
        <w:t xml:space="preserve"> </w:t>
      </w:r>
      <w:r w:rsidRPr="00D0062E">
        <w:rPr>
          <w:rFonts w:ascii="Book Antiqua" w:hAnsi="Book Antiqua"/>
          <w:bCs/>
          <w:i/>
          <w:strike/>
          <w:sz w:val="24"/>
          <w:szCs w:val="24"/>
          <w:lang w:val="es-PR"/>
        </w:rPr>
        <w:t>y</w:t>
      </w:r>
      <w:r>
        <w:rPr>
          <w:rFonts w:ascii="Book Antiqua" w:hAnsi="Book Antiqua"/>
          <w:bCs/>
          <w:i/>
          <w:sz w:val="24"/>
          <w:szCs w:val="24"/>
          <w:lang w:val="es-PR"/>
        </w:rPr>
        <w:t xml:space="preserve"> coordenadas geográficas,</w:t>
      </w:r>
      <w:r w:rsidR="00D0062E">
        <w:rPr>
          <w:rFonts w:ascii="Book Antiqua" w:hAnsi="Book Antiqua"/>
          <w:bCs/>
          <w:i/>
          <w:sz w:val="24"/>
          <w:szCs w:val="24"/>
          <w:lang w:val="es-PR"/>
        </w:rPr>
        <w:t xml:space="preserve"> </w:t>
      </w:r>
      <w:r w:rsidR="00D0062E">
        <w:rPr>
          <w:rFonts w:ascii="Book Antiqua" w:hAnsi="Book Antiqua"/>
          <w:bCs/>
          <w:i/>
          <w:sz w:val="24"/>
          <w:szCs w:val="24"/>
          <w:u w:val="single"/>
          <w:lang w:val="es-PR"/>
        </w:rPr>
        <w:t xml:space="preserve">y cierre </w:t>
      </w:r>
      <w:r w:rsidR="00D0062E">
        <w:rPr>
          <w:rFonts w:ascii="Book Antiqua" w:hAnsi="Book Antiqua"/>
          <w:bCs/>
          <w:i/>
          <w:sz w:val="24"/>
          <w:szCs w:val="24"/>
          <w:u w:val="single"/>
          <w:lang w:val="es-PR"/>
        </w:rPr>
        <w:lastRenderedPageBreak/>
        <w:t>geométrico verificable</w:t>
      </w:r>
      <w:r>
        <w:rPr>
          <w:rFonts w:ascii="Book Antiqua" w:hAnsi="Book Antiqua"/>
          <w:bCs/>
          <w:i/>
          <w:sz w:val="24"/>
          <w:szCs w:val="24"/>
          <w:lang w:val="es-PR"/>
        </w:rPr>
        <w:t xml:space="preserve"> conforme con los estándares establecidos por el Colegio de Ingenieros y Agrimensores de Puerto Rico; </w:t>
      </w:r>
    </w:p>
    <w:p w14:paraId="0BEEBBC3" w14:textId="25D3A0A2" w:rsidR="009E1B22" w:rsidRDefault="009E1B22" w:rsidP="009E1B22">
      <w:pPr>
        <w:tabs>
          <w:tab w:val="left" w:pos="918"/>
        </w:tabs>
        <w:spacing w:before="58" w:line="480" w:lineRule="auto"/>
        <w:ind w:left="708" w:right="720"/>
        <w:rPr>
          <w:rFonts w:ascii="Book Antiqua" w:hAnsi="Book Antiqua"/>
          <w:bCs/>
          <w:i/>
          <w:sz w:val="24"/>
          <w:szCs w:val="24"/>
          <w:lang w:val="es-PR"/>
        </w:rPr>
      </w:pPr>
      <w:r>
        <w:rPr>
          <w:rFonts w:ascii="Book Antiqua" w:hAnsi="Book Antiqua"/>
          <w:bCs/>
          <w:i/>
          <w:sz w:val="24"/>
          <w:szCs w:val="24"/>
          <w:lang w:val="es-PR"/>
        </w:rPr>
        <w:t>(2) la certificación del agrimensor con su firma</w:t>
      </w:r>
      <w:r w:rsidR="006015F0">
        <w:rPr>
          <w:rFonts w:ascii="Book Antiqua" w:hAnsi="Book Antiqua"/>
          <w:bCs/>
          <w:i/>
          <w:sz w:val="24"/>
          <w:szCs w:val="24"/>
          <w:u w:val="single"/>
          <w:lang w:val="es-PR"/>
        </w:rPr>
        <w:t>, sello</w:t>
      </w:r>
      <w:r>
        <w:rPr>
          <w:rFonts w:ascii="Book Antiqua" w:hAnsi="Book Antiqua"/>
          <w:bCs/>
          <w:i/>
          <w:sz w:val="24"/>
          <w:szCs w:val="24"/>
          <w:lang w:val="es-PR"/>
        </w:rPr>
        <w:t xml:space="preserve"> y número de licencia; y </w:t>
      </w:r>
    </w:p>
    <w:p w14:paraId="5E1CAE96" w14:textId="77777777" w:rsidR="00D96B42" w:rsidRDefault="009E1B22" w:rsidP="009E1B22">
      <w:pPr>
        <w:tabs>
          <w:tab w:val="left" w:pos="918"/>
        </w:tabs>
        <w:spacing w:before="58" w:line="480" w:lineRule="auto"/>
        <w:ind w:left="708" w:right="720"/>
        <w:rPr>
          <w:rFonts w:ascii="Book Antiqua" w:hAnsi="Book Antiqua"/>
          <w:bCs/>
          <w:i/>
          <w:sz w:val="24"/>
          <w:szCs w:val="24"/>
          <w:lang w:val="es-PR"/>
        </w:rPr>
      </w:pPr>
      <w:r>
        <w:rPr>
          <w:rFonts w:ascii="Book Antiqua" w:hAnsi="Book Antiqua"/>
          <w:bCs/>
          <w:i/>
          <w:sz w:val="24"/>
          <w:szCs w:val="24"/>
          <w:lang w:val="es-PR"/>
        </w:rPr>
        <w:t>(3) la integración de un plano con referencia catastral, cuando aplique. El notario autorizante verificará la inclusión de la descripción geométrica y podrá requerir la certificación del agrimensor licenciado antes de autorizar la escritura.</w:t>
      </w:r>
    </w:p>
    <w:p w14:paraId="336028FC" w14:textId="77777777" w:rsidR="00D96B42" w:rsidRPr="00D96B42" w:rsidRDefault="00D96B42" w:rsidP="00D96B42">
      <w:pPr>
        <w:tabs>
          <w:tab w:val="left" w:pos="918"/>
        </w:tabs>
        <w:spacing w:before="58" w:line="480" w:lineRule="auto"/>
        <w:ind w:left="708" w:right="720"/>
        <w:rPr>
          <w:rFonts w:ascii="Book Antiqua" w:hAnsi="Book Antiqua"/>
          <w:bCs/>
          <w:i/>
          <w:sz w:val="24"/>
          <w:szCs w:val="24"/>
          <w:u w:val="single"/>
          <w:lang w:val="es-PR"/>
        </w:rPr>
      </w:pPr>
      <w:r w:rsidRPr="00D96B42">
        <w:rPr>
          <w:rFonts w:ascii="Book Antiqua" w:hAnsi="Book Antiqua"/>
          <w:bCs/>
          <w:i/>
          <w:sz w:val="24"/>
          <w:szCs w:val="24"/>
          <w:u w:val="single"/>
          <w:lang w:val="es-PR"/>
        </w:rPr>
        <w:t xml:space="preserve">El notario autorizante verificará la inclusión de la descripción geométrica cuando </w:t>
      </w:r>
    </w:p>
    <w:p w14:paraId="60A5F085" w14:textId="1225D643" w:rsidR="009E1B22" w:rsidRDefault="00D96B42" w:rsidP="009E1B22">
      <w:pPr>
        <w:tabs>
          <w:tab w:val="left" w:pos="918"/>
        </w:tabs>
        <w:spacing w:before="58" w:line="480" w:lineRule="auto"/>
        <w:ind w:left="708" w:right="720"/>
        <w:rPr>
          <w:rFonts w:ascii="Book Antiqua" w:hAnsi="Book Antiqua"/>
          <w:bCs/>
          <w:i/>
          <w:sz w:val="24"/>
          <w:szCs w:val="24"/>
          <w:u w:val="single"/>
        </w:rPr>
      </w:pPr>
      <w:r w:rsidRPr="00D96B42">
        <w:rPr>
          <w:rFonts w:ascii="Book Antiqua" w:hAnsi="Book Antiqua"/>
          <w:bCs/>
          <w:i/>
          <w:sz w:val="24"/>
          <w:szCs w:val="24"/>
          <w:u w:val="single"/>
          <w:lang w:val="es-PR"/>
        </w:rPr>
        <w:t>sea requerida, como requisito previo a autorizar el instrumento.</w:t>
      </w:r>
      <w:r w:rsidR="009E1B22">
        <w:rPr>
          <w:rFonts w:ascii="Book Antiqua" w:hAnsi="Book Antiqua"/>
          <w:bCs/>
          <w:i/>
          <w:sz w:val="24"/>
          <w:szCs w:val="24"/>
        </w:rPr>
        <w:t>”</w:t>
      </w:r>
    </w:p>
    <w:p w14:paraId="5908FF7F" w14:textId="77777777" w:rsidR="009E1B22" w:rsidRDefault="009E1B22" w:rsidP="009E1B22">
      <w:pPr>
        <w:tabs>
          <w:tab w:val="left" w:pos="918"/>
        </w:tabs>
        <w:spacing w:before="58" w:line="480" w:lineRule="auto"/>
        <w:ind w:left="221"/>
        <w:rPr>
          <w:rFonts w:ascii="Book Antiqua" w:hAnsi="Book Antiqua"/>
          <w:iCs/>
          <w:sz w:val="24"/>
          <w:szCs w:val="24"/>
          <w:lang w:val="es-PR"/>
        </w:rPr>
      </w:pPr>
      <w:r>
        <w:rPr>
          <w:rFonts w:ascii="Book Antiqua" w:hAnsi="Book Antiqua"/>
          <w:iCs/>
          <w:sz w:val="24"/>
          <w:szCs w:val="24"/>
          <w:lang w:val="es-PR"/>
        </w:rPr>
        <w:tab/>
        <w:t>Sección 2.- Se enmienda el Artículo 23 de la Ley Núm. 210-2015, según enmendada, para añadir un nuevo inciso (C), para que lea como sigue:</w:t>
      </w:r>
    </w:p>
    <w:p w14:paraId="493E9B87" w14:textId="77777777" w:rsidR="009E1B22" w:rsidRDefault="009E1B22" w:rsidP="009E1B22">
      <w:pPr>
        <w:tabs>
          <w:tab w:val="left" w:pos="918"/>
        </w:tabs>
        <w:spacing w:before="58" w:line="480" w:lineRule="auto"/>
        <w:ind w:left="708" w:right="720"/>
        <w:rPr>
          <w:rFonts w:ascii="Book Antiqua" w:hAnsi="Book Antiqua"/>
          <w:bCs/>
          <w:iCs/>
          <w:sz w:val="24"/>
          <w:szCs w:val="24"/>
          <w:u w:val="single"/>
          <w:lang w:val="x-none"/>
        </w:rPr>
      </w:pPr>
      <w:r>
        <w:rPr>
          <w:rFonts w:ascii="Book Antiqua" w:hAnsi="Book Antiqua"/>
          <w:bCs/>
          <w:iCs/>
          <w:sz w:val="24"/>
          <w:szCs w:val="24"/>
          <w:lang w:val="x-none"/>
        </w:rPr>
        <w:t>“ARTÍCULO 23. — Contenido de la primera inscripción y subsiguientes.</w:t>
      </w:r>
    </w:p>
    <w:p w14:paraId="01E17592" w14:textId="77777777" w:rsidR="009E1B22" w:rsidRDefault="009E1B22" w:rsidP="009E1B22">
      <w:pPr>
        <w:tabs>
          <w:tab w:val="left" w:pos="918"/>
        </w:tabs>
        <w:spacing w:before="58" w:line="480" w:lineRule="auto"/>
        <w:ind w:left="708" w:right="720"/>
        <w:rPr>
          <w:rFonts w:ascii="Book Antiqua" w:hAnsi="Book Antiqua"/>
          <w:bCs/>
          <w:iCs/>
          <w:sz w:val="24"/>
          <w:szCs w:val="24"/>
          <w:lang w:val="x-none"/>
        </w:rPr>
      </w:pPr>
      <w:r>
        <w:rPr>
          <w:rFonts w:ascii="Book Antiqua" w:hAnsi="Book Antiqua"/>
          <w:bCs/>
          <w:iCs/>
          <w:sz w:val="24"/>
          <w:szCs w:val="24"/>
          <w:lang w:val="x-none"/>
        </w:rPr>
        <w:t>A. La primera inscripción de toda finca expresará en la forma más abreviada posible, las siguientes circunstancias:</w:t>
      </w:r>
    </w:p>
    <w:p w14:paraId="41680841" w14:textId="77777777" w:rsidR="009E1B22" w:rsidRDefault="009E1B22" w:rsidP="009E1B22">
      <w:pPr>
        <w:tabs>
          <w:tab w:val="left" w:pos="918"/>
        </w:tabs>
        <w:spacing w:before="58" w:line="480" w:lineRule="auto"/>
        <w:ind w:left="708" w:right="720"/>
        <w:rPr>
          <w:rFonts w:ascii="Book Antiqua" w:hAnsi="Book Antiqua"/>
          <w:bCs/>
          <w:iCs/>
          <w:sz w:val="24"/>
          <w:szCs w:val="24"/>
          <w:lang w:val="x-none"/>
        </w:rPr>
      </w:pPr>
      <w:r>
        <w:rPr>
          <w:rFonts w:ascii="Book Antiqua" w:hAnsi="Book Antiqua"/>
          <w:bCs/>
          <w:iCs/>
          <w:sz w:val="24"/>
          <w:szCs w:val="24"/>
          <w:lang w:val="x-none"/>
        </w:rPr>
        <w:tab/>
        <w:t>1. El número de catastro del inmueble, si lo tiene.</w:t>
      </w:r>
    </w:p>
    <w:p w14:paraId="4F117184" w14:textId="77777777" w:rsidR="009E1B22" w:rsidRDefault="009E1B22" w:rsidP="009E1B22">
      <w:pPr>
        <w:tabs>
          <w:tab w:val="left" w:pos="918"/>
        </w:tabs>
        <w:spacing w:before="58" w:line="480" w:lineRule="auto"/>
        <w:ind w:left="1387" w:right="720"/>
        <w:rPr>
          <w:rFonts w:ascii="Book Antiqua" w:hAnsi="Book Antiqua"/>
          <w:bCs/>
          <w:iCs/>
          <w:sz w:val="24"/>
          <w:szCs w:val="24"/>
          <w:lang w:val="x-none"/>
        </w:rPr>
      </w:pPr>
      <w:r>
        <w:rPr>
          <w:rFonts w:ascii="Book Antiqua" w:hAnsi="Book Antiqua"/>
          <w:bCs/>
          <w:iCs/>
          <w:sz w:val="24"/>
          <w:szCs w:val="24"/>
          <w:lang w:val="x-none"/>
        </w:rPr>
        <w:tab/>
        <w:t>2. La naturaleza, situación y linderos de los inmuebles objeto de la inscripción, o a los cuales afecte el derecho que deba inscribirse, y sus medidas superficiales expresadas en el sistema métrico decimal. Podrá incluir el nombre y número si constan del título, consignando además todas aquellas especificaciones que conduzcan a la completa identificación del inmueble.</w:t>
      </w:r>
    </w:p>
    <w:p w14:paraId="6B3CC5DE" w14:textId="77777777" w:rsidR="009E1B22" w:rsidRDefault="009E1B22" w:rsidP="009E1B22">
      <w:pPr>
        <w:tabs>
          <w:tab w:val="left" w:pos="918"/>
        </w:tabs>
        <w:spacing w:before="58" w:line="480" w:lineRule="auto"/>
        <w:ind w:left="708" w:right="720"/>
        <w:rPr>
          <w:rFonts w:ascii="Book Antiqua" w:hAnsi="Book Antiqua"/>
          <w:bCs/>
          <w:iCs/>
          <w:sz w:val="24"/>
          <w:szCs w:val="24"/>
          <w:lang w:val="x-none"/>
        </w:rPr>
      </w:pPr>
      <w:r>
        <w:rPr>
          <w:rFonts w:ascii="Book Antiqua" w:hAnsi="Book Antiqua"/>
          <w:bCs/>
          <w:iCs/>
          <w:sz w:val="24"/>
          <w:szCs w:val="24"/>
          <w:lang w:val="x-none"/>
        </w:rPr>
        <w:tab/>
        <w:t>3. Procedencia de la finca.</w:t>
      </w:r>
    </w:p>
    <w:p w14:paraId="157FCB97" w14:textId="77777777" w:rsidR="009E1B22" w:rsidRDefault="009E1B22" w:rsidP="009E1B22">
      <w:pPr>
        <w:tabs>
          <w:tab w:val="left" w:pos="918"/>
        </w:tabs>
        <w:spacing w:before="58" w:line="480" w:lineRule="auto"/>
        <w:ind w:left="1387" w:right="720"/>
        <w:rPr>
          <w:rFonts w:ascii="Book Antiqua" w:hAnsi="Book Antiqua"/>
          <w:bCs/>
          <w:iCs/>
          <w:sz w:val="24"/>
          <w:szCs w:val="24"/>
          <w:lang w:val="x-none"/>
        </w:rPr>
      </w:pPr>
      <w:r>
        <w:rPr>
          <w:rFonts w:ascii="Book Antiqua" w:hAnsi="Book Antiqua"/>
          <w:bCs/>
          <w:iCs/>
          <w:sz w:val="24"/>
          <w:szCs w:val="24"/>
          <w:lang w:val="x-none"/>
        </w:rPr>
        <w:lastRenderedPageBreak/>
        <w:tab/>
        <w:t xml:space="preserve">4. La naturaleza, extensión, condiciones suspensivas o resolutorias y cargas del derecho que se inscriba. </w:t>
      </w:r>
    </w:p>
    <w:p w14:paraId="62B20FBC" w14:textId="77777777" w:rsidR="009E1B22" w:rsidRDefault="009E1B22" w:rsidP="009E1B22">
      <w:pPr>
        <w:tabs>
          <w:tab w:val="left" w:pos="918"/>
        </w:tabs>
        <w:spacing w:before="58" w:line="480" w:lineRule="auto"/>
        <w:ind w:left="1387" w:right="720"/>
        <w:rPr>
          <w:rFonts w:ascii="Book Antiqua" w:hAnsi="Book Antiqua"/>
          <w:bCs/>
          <w:iCs/>
          <w:sz w:val="24"/>
          <w:szCs w:val="24"/>
          <w:lang w:val="x-none"/>
        </w:rPr>
      </w:pPr>
      <w:r>
        <w:rPr>
          <w:rFonts w:ascii="Book Antiqua" w:hAnsi="Book Antiqua"/>
          <w:bCs/>
          <w:iCs/>
          <w:sz w:val="24"/>
          <w:szCs w:val="24"/>
          <w:lang w:val="x-none"/>
        </w:rPr>
        <w:t xml:space="preserve">5. El valor de la transacción objeto de inscripción. </w:t>
      </w:r>
    </w:p>
    <w:p w14:paraId="64127BC2" w14:textId="77777777" w:rsidR="009E1B22" w:rsidRDefault="009E1B22" w:rsidP="009E1B22">
      <w:pPr>
        <w:tabs>
          <w:tab w:val="left" w:pos="918"/>
        </w:tabs>
        <w:spacing w:before="58" w:line="480" w:lineRule="auto"/>
        <w:ind w:left="1387" w:right="720"/>
        <w:rPr>
          <w:rFonts w:ascii="Book Antiqua" w:hAnsi="Book Antiqua"/>
          <w:bCs/>
          <w:iCs/>
          <w:sz w:val="24"/>
          <w:szCs w:val="24"/>
          <w:lang w:val="x-none"/>
        </w:rPr>
      </w:pPr>
      <w:r>
        <w:rPr>
          <w:rFonts w:ascii="Book Antiqua" w:hAnsi="Book Antiqua"/>
          <w:bCs/>
          <w:iCs/>
          <w:sz w:val="24"/>
          <w:szCs w:val="24"/>
          <w:lang w:val="x-none"/>
        </w:rPr>
        <w:t>6. El nombre del titular de quien procedan inmediatamente los bienes o derechos que deban inscribirse.</w:t>
      </w:r>
    </w:p>
    <w:p w14:paraId="3422A0DC" w14:textId="77777777" w:rsidR="009E1B22" w:rsidRDefault="009E1B22" w:rsidP="009E1B22">
      <w:pPr>
        <w:tabs>
          <w:tab w:val="left" w:pos="918"/>
        </w:tabs>
        <w:spacing w:before="58" w:line="480" w:lineRule="auto"/>
        <w:ind w:left="1387" w:right="720"/>
        <w:rPr>
          <w:rFonts w:ascii="Book Antiqua" w:hAnsi="Book Antiqua"/>
          <w:bCs/>
          <w:iCs/>
          <w:sz w:val="24"/>
          <w:szCs w:val="24"/>
          <w:lang w:val="x-none"/>
        </w:rPr>
      </w:pPr>
      <w:r>
        <w:rPr>
          <w:rFonts w:ascii="Book Antiqua" w:hAnsi="Book Antiqua"/>
          <w:bCs/>
          <w:iCs/>
          <w:sz w:val="24"/>
          <w:szCs w:val="24"/>
          <w:lang w:val="x-none"/>
        </w:rPr>
        <w:t>7. El derecho objeto de inscripción.</w:t>
      </w:r>
    </w:p>
    <w:p w14:paraId="2F81FA87" w14:textId="77777777" w:rsidR="009E1B22" w:rsidRDefault="009E1B22" w:rsidP="009E1B22">
      <w:pPr>
        <w:tabs>
          <w:tab w:val="left" w:pos="918"/>
        </w:tabs>
        <w:spacing w:before="58" w:line="480" w:lineRule="auto"/>
        <w:ind w:left="1387" w:right="720"/>
        <w:rPr>
          <w:rFonts w:ascii="Book Antiqua" w:hAnsi="Book Antiqua"/>
          <w:bCs/>
          <w:iCs/>
          <w:sz w:val="24"/>
          <w:szCs w:val="24"/>
          <w:lang w:val="x-none"/>
        </w:rPr>
      </w:pPr>
      <w:r>
        <w:rPr>
          <w:rFonts w:ascii="Book Antiqua" w:hAnsi="Book Antiqua"/>
          <w:bCs/>
          <w:iCs/>
          <w:sz w:val="24"/>
          <w:szCs w:val="24"/>
          <w:lang w:val="x-none"/>
        </w:rPr>
        <w:t>8. El nombre del titular a cuyo favor se solicita la inscripción.</w:t>
      </w:r>
    </w:p>
    <w:p w14:paraId="2874E862" w14:textId="77777777" w:rsidR="009E1B22" w:rsidRDefault="009E1B22" w:rsidP="009E1B22">
      <w:pPr>
        <w:tabs>
          <w:tab w:val="left" w:pos="918"/>
        </w:tabs>
        <w:spacing w:before="58" w:line="480" w:lineRule="auto"/>
        <w:ind w:left="1387" w:right="720"/>
        <w:rPr>
          <w:rFonts w:ascii="Book Antiqua" w:hAnsi="Book Antiqua"/>
          <w:bCs/>
          <w:iCs/>
          <w:sz w:val="24"/>
          <w:szCs w:val="24"/>
          <w:lang w:val="x-none"/>
        </w:rPr>
      </w:pPr>
      <w:r>
        <w:rPr>
          <w:rFonts w:ascii="Book Antiqua" w:hAnsi="Book Antiqua"/>
          <w:bCs/>
          <w:iCs/>
          <w:sz w:val="24"/>
          <w:szCs w:val="24"/>
          <w:lang w:val="x-none"/>
        </w:rPr>
        <w:t>9. Los datos del documento cuya inscripción se solicita, su naturaleza, su fecha y el tribunal, notario o funcionario que lo autorizó.</w:t>
      </w:r>
    </w:p>
    <w:p w14:paraId="2803BB30" w14:textId="77777777" w:rsidR="009E1B22" w:rsidRDefault="009E1B22" w:rsidP="009E1B22">
      <w:pPr>
        <w:tabs>
          <w:tab w:val="left" w:pos="918"/>
        </w:tabs>
        <w:spacing w:before="58" w:line="480" w:lineRule="auto"/>
        <w:ind w:left="1387" w:right="720"/>
        <w:rPr>
          <w:rFonts w:ascii="Book Antiqua" w:hAnsi="Book Antiqua"/>
          <w:bCs/>
          <w:iCs/>
          <w:sz w:val="24"/>
          <w:szCs w:val="24"/>
          <w:lang w:val="x-none"/>
        </w:rPr>
      </w:pPr>
      <w:r>
        <w:rPr>
          <w:rFonts w:ascii="Book Antiqua" w:hAnsi="Book Antiqua"/>
          <w:bCs/>
          <w:iCs/>
          <w:sz w:val="24"/>
          <w:szCs w:val="24"/>
          <w:lang w:val="x-none"/>
        </w:rPr>
        <w:t>10. La fecha, hora y número del asiento de presentación.</w:t>
      </w:r>
    </w:p>
    <w:p w14:paraId="3230F422" w14:textId="77777777" w:rsidR="009E1B22" w:rsidRDefault="009E1B22" w:rsidP="009E1B22">
      <w:pPr>
        <w:tabs>
          <w:tab w:val="left" w:pos="918"/>
        </w:tabs>
        <w:spacing w:before="58" w:line="480" w:lineRule="auto"/>
        <w:ind w:left="1387" w:right="720"/>
        <w:rPr>
          <w:rFonts w:ascii="Book Antiqua" w:hAnsi="Book Antiqua"/>
          <w:bCs/>
          <w:iCs/>
          <w:sz w:val="24"/>
          <w:szCs w:val="24"/>
          <w:lang w:val="x-none"/>
        </w:rPr>
      </w:pPr>
      <w:r>
        <w:rPr>
          <w:rFonts w:ascii="Book Antiqua" w:hAnsi="Book Antiqua"/>
          <w:bCs/>
          <w:iCs/>
          <w:sz w:val="24"/>
          <w:szCs w:val="24"/>
          <w:lang w:val="x-none"/>
        </w:rPr>
        <w:t>11. La fecha de la inscripción y la firma electrónica en el folio real electrónico o a manuscrito, si no se trata de un folio real electrónico, del Registrador.</w:t>
      </w:r>
    </w:p>
    <w:p w14:paraId="1B129212" w14:textId="77777777" w:rsidR="009E1B22" w:rsidRDefault="009E1B22" w:rsidP="009E1B22">
      <w:pPr>
        <w:tabs>
          <w:tab w:val="left" w:pos="918"/>
        </w:tabs>
        <w:spacing w:before="58" w:line="480" w:lineRule="auto"/>
        <w:ind w:left="487" w:right="720"/>
        <w:rPr>
          <w:rFonts w:ascii="Book Antiqua" w:hAnsi="Book Antiqua"/>
          <w:bCs/>
          <w:iCs/>
          <w:sz w:val="24"/>
          <w:szCs w:val="24"/>
          <w:lang w:val="x-none"/>
        </w:rPr>
      </w:pPr>
      <w:r>
        <w:rPr>
          <w:rFonts w:ascii="Book Antiqua" w:hAnsi="Book Antiqua"/>
          <w:bCs/>
          <w:iCs/>
          <w:sz w:val="24"/>
          <w:szCs w:val="24"/>
          <w:lang w:val="x-none"/>
        </w:rPr>
        <w:t>B. Las inscripciones subsiguientes deberán contener:</w:t>
      </w:r>
    </w:p>
    <w:p w14:paraId="327A8E96" w14:textId="77777777" w:rsidR="009E1B22" w:rsidRDefault="009E1B22" w:rsidP="009E1B22">
      <w:pPr>
        <w:tabs>
          <w:tab w:val="left" w:pos="918"/>
        </w:tabs>
        <w:spacing w:before="58" w:line="480" w:lineRule="auto"/>
        <w:ind w:left="1195" w:right="720"/>
        <w:rPr>
          <w:rFonts w:ascii="Book Antiqua" w:hAnsi="Book Antiqua"/>
          <w:bCs/>
          <w:iCs/>
          <w:sz w:val="24"/>
          <w:szCs w:val="24"/>
          <w:lang w:val="x-none"/>
        </w:rPr>
      </w:pPr>
      <w:r>
        <w:rPr>
          <w:rFonts w:ascii="Book Antiqua" w:hAnsi="Book Antiqua"/>
          <w:bCs/>
          <w:iCs/>
          <w:sz w:val="24"/>
          <w:szCs w:val="24"/>
          <w:lang w:val="x-none"/>
        </w:rPr>
        <w:t>1. Las circunstancias contenidas en el inciso (A)(2) de este Artículo cuando haya alguna variación entre la descripción como aparece en el documento presentado y lo que consta inscrito en el Registro.</w:t>
      </w:r>
    </w:p>
    <w:p w14:paraId="22BCE65D" w14:textId="77777777" w:rsidR="009E1B22" w:rsidRDefault="009E1B22" w:rsidP="009E1B22">
      <w:pPr>
        <w:tabs>
          <w:tab w:val="left" w:pos="918"/>
        </w:tabs>
        <w:spacing w:before="58" w:line="480" w:lineRule="auto"/>
        <w:ind w:left="1195" w:right="720"/>
        <w:rPr>
          <w:rFonts w:ascii="Book Antiqua" w:hAnsi="Book Antiqua"/>
          <w:bCs/>
          <w:iCs/>
          <w:sz w:val="24"/>
          <w:szCs w:val="24"/>
          <w:lang w:val="x-none"/>
        </w:rPr>
      </w:pPr>
      <w:r>
        <w:rPr>
          <w:rFonts w:ascii="Book Antiqua" w:hAnsi="Book Antiqua"/>
          <w:bCs/>
          <w:iCs/>
          <w:sz w:val="24"/>
          <w:szCs w:val="24"/>
          <w:lang w:val="x-none"/>
        </w:rPr>
        <w:t>2. Las circunstancias contenidas en las cláusulas (3), (4), (5), (8), (9) y (10) del inciso (A) de este Artículo.</w:t>
      </w:r>
    </w:p>
    <w:p w14:paraId="43DE3768" w14:textId="77777777" w:rsidR="009E1B22" w:rsidRDefault="009E1B22" w:rsidP="009E1B22">
      <w:pPr>
        <w:tabs>
          <w:tab w:val="left" w:pos="918"/>
        </w:tabs>
        <w:spacing w:before="58" w:line="480" w:lineRule="auto"/>
        <w:ind w:left="1195" w:right="720"/>
        <w:rPr>
          <w:rFonts w:ascii="Book Antiqua" w:hAnsi="Book Antiqua"/>
          <w:bCs/>
          <w:iCs/>
          <w:sz w:val="24"/>
          <w:szCs w:val="24"/>
          <w:lang w:val="x-none"/>
        </w:rPr>
      </w:pPr>
      <w:r>
        <w:rPr>
          <w:rFonts w:ascii="Book Antiqua" w:hAnsi="Book Antiqua"/>
          <w:bCs/>
          <w:iCs/>
          <w:sz w:val="24"/>
          <w:szCs w:val="24"/>
          <w:lang w:val="x-none"/>
        </w:rPr>
        <w:lastRenderedPageBreak/>
        <w:t>3. Lo dispuesto en el inciso (A)(6) de este Artículo, excepto cuando el documento a inscribirse comprenda la trasmisión o gravamen del pleno dominio.</w:t>
      </w:r>
    </w:p>
    <w:p w14:paraId="3F005E68" w14:textId="77777777" w:rsidR="009E1B22" w:rsidRDefault="009E1B22" w:rsidP="009E1B22">
      <w:pPr>
        <w:tabs>
          <w:tab w:val="left" w:pos="918"/>
        </w:tabs>
        <w:spacing w:before="58" w:line="480" w:lineRule="auto"/>
        <w:ind w:left="1195" w:right="720"/>
        <w:rPr>
          <w:rFonts w:ascii="Book Antiqua" w:hAnsi="Book Antiqua"/>
          <w:bCs/>
          <w:iCs/>
          <w:sz w:val="24"/>
          <w:szCs w:val="24"/>
          <w:lang w:val="x-none"/>
        </w:rPr>
      </w:pPr>
      <w:r>
        <w:rPr>
          <w:rFonts w:ascii="Book Antiqua" w:hAnsi="Book Antiqua"/>
          <w:bCs/>
          <w:iCs/>
          <w:sz w:val="24"/>
          <w:szCs w:val="24"/>
          <w:lang w:val="x-none"/>
        </w:rPr>
        <w:t>4. Lo dispuesto en el inciso (A)(8) de este Artículo, excepto cuando sea una sola persona el titular.</w:t>
      </w:r>
    </w:p>
    <w:p w14:paraId="0C329C84" w14:textId="77777777" w:rsidR="009E1B22" w:rsidRDefault="009E1B22" w:rsidP="009E1B22">
      <w:pPr>
        <w:tabs>
          <w:tab w:val="left" w:pos="918"/>
        </w:tabs>
        <w:spacing w:before="58" w:line="480" w:lineRule="auto"/>
        <w:ind w:left="487" w:right="720"/>
        <w:rPr>
          <w:rFonts w:ascii="Book Antiqua" w:hAnsi="Book Antiqua"/>
          <w:bCs/>
          <w:i/>
          <w:sz w:val="24"/>
          <w:szCs w:val="24"/>
          <w:lang w:val="es-PR"/>
        </w:rPr>
      </w:pPr>
      <w:r>
        <w:rPr>
          <w:rFonts w:ascii="Book Antiqua" w:hAnsi="Book Antiqua"/>
          <w:bCs/>
          <w:i/>
          <w:sz w:val="24"/>
          <w:szCs w:val="24"/>
          <w:lang w:val="es-PR"/>
        </w:rPr>
        <w:t>C. La primera inscripción y las subsiguientes harán constar, cuando surja del título presentado, la referencia a la descripción geométrica certificada incluida en la escritura, incluyendo el nombre y número de licencia del agrimensor que la certifica, la fecha de la certificación y, cuando aplique, la referencia catastral del plano integrado.</w:t>
      </w:r>
    </w:p>
    <w:p w14:paraId="0CAB3A8A" w14:textId="77777777" w:rsidR="009E1B22" w:rsidRDefault="009E1B22" w:rsidP="009E1B22">
      <w:pPr>
        <w:tabs>
          <w:tab w:val="left" w:pos="918"/>
        </w:tabs>
        <w:spacing w:before="58" w:line="480" w:lineRule="auto"/>
        <w:ind w:left="487" w:right="720"/>
        <w:rPr>
          <w:rFonts w:ascii="Book Antiqua" w:hAnsi="Book Antiqua"/>
          <w:bCs/>
          <w:iCs/>
          <w:sz w:val="24"/>
          <w:szCs w:val="24"/>
          <w:lang w:val="x-none"/>
        </w:rPr>
      </w:pPr>
      <w:r>
        <w:rPr>
          <w:rFonts w:ascii="Book Antiqua" w:hAnsi="Book Antiqua"/>
          <w:bCs/>
          <w:i/>
          <w:sz w:val="24"/>
          <w:szCs w:val="24"/>
          <w:lang w:val="x-none"/>
        </w:rPr>
        <w:t>D</w:t>
      </w:r>
      <w:r>
        <w:rPr>
          <w:rFonts w:ascii="Book Antiqua" w:hAnsi="Book Antiqua"/>
          <w:b/>
          <w:iCs/>
          <w:sz w:val="24"/>
          <w:szCs w:val="24"/>
          <w:lang w:val="x-none"/>
        </w:rPr>
        <w:t>[C]</w:t>
      </w:r>
      <w:r>
        <w:rPr>
          <w:rFonts w:ascii="Book Antiqua" w:hAnsi="Book Antiqua"/>
          <w:bCs/>
          <w:iCs/>
          <w:sz w:val="24"/>
          <w:szCs w:val="24"/>
          <w:lang w:val="x-none"/>
        </w:rPr>
        <w:t>. Cuando un título comprenda varios inmuebles o derechos reales, deberá expresarse además, el valor correspondiente a cada uno de ellos.</w:t>
      </w:r>
    </w:p>
    <w:p w14:paraId="1FF177A8" w14:textId="77777777" w:rsidR="009E1B22" w:rsidRDefault="009E1B22" w:rsidP="009E1B22">
      <w:pPr>
        <w:tabs>
          <w:tab w:val="left" w:pos="918"/>
        </w:tabs>
        <w:spacing w:before="58" w:line="480" w:lineRule="auto"/>
        <w:ind w:left="487" w:right="720"/>
        <w:rPr>
          <w:rFonts w:ascii="Book Antiqua" w:hAnsi="Book Antiqua"/>
          <w:bCs/>
          <w:iCs/>
          <w:sz w:val="24"/>
          <w:szCs w:val="24"/>
          <w:lang w:val="x-none"/>
        </w:rPr>
      </w:pPr>
      <w:r>
        <w:rPr>
          <w:rFonts w:ascii="Book Antiqua" w:hAnsi="Book Antiqua"/>
          <w:bCs/>
          <w:i/>
          <w:sz w:val="24"/>
          <w:szCs w:val="24"/>
          <w:lang w:val="x-none"/>
        </w:rPr>
        <w:t>E</w:t>
      </w:r>
      <w:r>
        <w:rPr>
          <w:rFonts w:ascii="Book Antiqua" w:hAnsi="Book Antiqua"/>
          <w:b/>
          <w:iCs/>
          <w:sz w:val="24"/>
          <w:szCs w:val="24"/>
          <w:lang w:val="x-none"/>
        </w:rPr>
        <w:t>[D]</w:t>
      </w:r>
      <w:r>
        <w:rPr>
          <w:rFonts w:ascii="Book Antiqua" w:hAnsi="Book Antiqua"/>
          <w:bCs/>
          <w:iCs/>
          <w:sz w:val="24"/>
          <w:szCs w:val="24"/>
          <w:lang w:val="x-none"/>
        </w:rPr>
        <w:t>. Cuando el título comprenda la constitución de una hipoteca sobre varios inmuebles o derechos reales, deberá expresar además, la parte del crédito por el que responde cada una de las fincas o derechos y el valor mínimo que se le haya asignado en caso de subasta.</w:t>
      </w:r>
    </w:p>
    <w:p w14:paraId="0D88325D" w14:textId="77777777" w:rsidR="009E1B22" w:rsidRDefault="009E1B22" w:rsidP="009E1B22">
      <w:pPr>
        <w:tabs>
          <w:tab w:val="left" w:pos="918"/>
        </w:tabs>
        <w:spacing w:before="58" w:line="480" w:lineRule="auto"/>
        <w:ind w:left="487" w:right="720"/>
        <w:rPr>
          <w:rFonts w:ascii="Book Antiqua" w:hAnsi="Book Antiqua"/>
          <w:bCs/>
          <w:iCs/>
          <w:sz w:val="24"/>
          <w:szCs w:val="24"/>
          <w:u w:val="single"/>
        </w:rPr>
      </w:pPr>
      <w:r>
        <w:rPr>
          <w:rFonts w:ascii="Book Antiqua" w:hAnsi="Book Antiqua"/>
          <w:bCs/>
          <w:i/>
          <w:sz w:val="24"/>
          <w:szCs w:val="24"/>
          <w:lang w:val="x-none"/>
        </w:rPr>
        <w:t>F</w:t>
      </w:r>
      <w:r>
        <w:rPr>
          <w:rFonts w:ascii="Book Antiqua" w:hAnsi="Book Antiqua"/>
          <w:b/>
          <w:iCs/>
          <w:sz w:val="24"/>
          <w:szCs w:val="24"/>
          <w:lang w:val="x-none"/>
        </w:rPr>
        <w:t>[E]</w:t>
      </w:r>
      <w:r>
        <w:rPr>
          <w:rFonts w:ascii="Book Antiqua" w:hAnsi="Book Antiqua"/>
          <w:bCs/>
          <w:iCs/>
          <w:sz w:val="24"/>
          <w:szCs w:val="24"/>
          <w:lang w:val="x-none"/>
        </w:rPr>
        <w:t>. En ningún caso se indicarán en la inscripción los derechos personales que no estén garantizados mediante hipoteca u otra forma de garantía real inscrita, y tampoco las menciones de derechos susceptibles de inscripción separada y especial que no consten inscritos.”</w:t>
      </w:r>
    </w:p>
    <w:p w14:paraId="3D00D474" w14:textId="77777777" w:rsidR="009E1B22" w:rsidRDefault="009E1B22" w:rsidP="009E1B22">
      <w:pPr>
        <w:tabs>
          <w:tab w:val="left" w:pos="918"/>
        </w:tabs>
        <w:spacing w:before="58" w:line="480" w:lineRule="auto"/>
        <w:ind w:left="221"/>
        <w:rPr>
          <w:rFonts w:ascii="Book Antiqua" w:hAnsi="Book Antiqua"/>
          <w:iCs/>
          <w:sz w:val="24"/>
          <w:szCs w:val="24"/>
          <w:lang w:val="es-PR"/>
        </w:rPr>
      </w:pPr>
      <w:r>
        <w:rPr>
          <w:rFonts w:ascii="Book Antiqua" w:hAnsi="Book Antiqua"/>
          <w:iCs/>
          <w:sz w:val="24"/>
          <w:szCs w:val="24"/>
          <w:lang w:val="es-PR"/>
        </w:rPr>
        <w:lastRenderedPageBreak/>
        <w:tab/>
        <w:t>Sección 3.- Se añade un nuevo inciso 4 al Artículo 148 de la Ley Núm. 210-2015, según enmendada, para que lea como sigue:</w:t>
      </w:r>
    </w:p>
    <w:p w14:paraId="63E34898" w14:textId="77777777" w:rsidR="009E1B22" w:rsidRDefault="009E1B22" w:rsidP="009E1B22">
      <w:pPr>
        <w:tabs>
          <w:tab w:val="left" w:pos="918"/>
        </w:tabs>
        <w:spacing w:before="58" w:line="480" w:lineRule="auto"/>
        <w:ind w:left="221"/>
        <w:rPr>
          <w:rFonts w:ascii="Book Antiqua" w:hAnsi="Book Antiqua"/>
          <w:bCs/>
          <w:iCs/>
          <w:sz w:val="24"/>
          <w:szCs w:val="24"/>
          <w:lang w:val="es-PR"/>
        </w:rPr>
      </w:pPr>
      <w:r>
        <w:rPr>
          <w:rFonts w:ascii="Book Antiqua" w:hAnsi="Book Antiqua"/>
          <w:bCs/>
          <w:iCs/>
          <w:sz w:val="24"/>
          <w:szCs w:val="24"/>
          <w:lang w:val="es-PR"/>
        </w:rPr>
        <w:tab/>
        <w:t>“ARTÍCULO 148. — Requisitos para la segregación.</w:t>
      </w:r>
    </w:p>
    <w:p w14:paraId="2164E2FC" w14:textId="77777777" w:rsidR="009E1B22" w:rsidRDefault="009E1B22" w:rsidP="004E57BE">
      <w:pPr>
        <w:spacing w:before="58" w:line="480" w:lineRule="auto"/>
        <w:ind w:left="270" w:firstLine="630"/>
        <w:rPr>
          <w:rFonts w:ascii="Book Antiqua" w:hAnsi="Book Antiqua"/>
          <w:bCs/>
          <w:iCs/>
          <w:sz w:val="24"/>
          <w:szCs w:val="24"/>
          <w:lang w:val="es-PR"/>
        </w:rPr>
      </w:pPr>
      <w:r>
        <w:rPr>
          <w:rFonts w:ascii="Book Antiqua" w:hAnsi="Book Antiqua"/>
          <w:bCs/>
          <w:iCs/>
          <w:sz w:val="24"/>
          <w:szCs w:val="24"/>
          <w:lang w:val="es-PR"/>
        </w:rPr>
        <w:t>Para que una escritura de segregación pueda quedar inscrita se deberá cumplir con los siguientes requisitos:</w:t>
      </w:r>
    </w:p>
    <w:p w14:paraId="3664A960" w14:textId="77777777" w:rsidR="009E1B22" w:rsidRDefault="009E1B22" w:rsidP="009E1B22">
      <w:pPr>
        <w:tabs>
          <w:tab w:val="left" w:pos="918"/>
        </w:tabs>
        <w:spacing w:before="58" w:line="480" w:lineRule="auto"/>
        <w:ind w:left="1416" w:right="720"/>
        <w:rPr>
          <w:rFonts w:ascii="Book Antiqua" w:hAnsi="Book Antiqua"/>
          <w:bCs/>
          <w:iCs/>
          <w:sz w:val="24"/>
          <w:szCs w:val="24"/>
          <w:lang w:val="es-PR"/>
        </w:rPr>
      </w:pPr>
      <w:r>
        <w:rPr>
          <w:rFonts w:ascii="Book Antiqua" w:hAnsi="Book Antiqua"/>
          <w:bCs/>
          <w:iCs/>
          <w:sz w:val="24"/>
          <w:szCs w:val="24"/>
          <w:lang w:val="es-PR"/>
        </w:rPr>
        <w:t xml:space="preserve">1. Resolución de autorización de la agencia o dependencia gubernamental estatal o municipal designada por ley para autorizar la segregación. </w:t>
      </w:r>
    </w:p>
    <w:p w14:paraId="4EC29AD2" w14:textId="77777777" w:rsidR="009E1B22" w:rsidRDefault="009E1B22" w:rsidP="009E1B22">
      <w:pPr>
        <w:tabs>
          <w:tab w:val="left" w:pos="918"/>
        </w:tabs>
        <w:spacing w:before="58" w:line="480" w:lineRule="auto"/>
        <w:ind w:left="1416" w:right="720"/>
        <w:rPr>
          <w:rFonts w:ascii="Book Antiqua" w:hAnsi="Book Antiqua"/>
          <w:bCs/>
          <w:iCs/>
          <w:sz w:val="24"/>
          <w:szCs w:val="24"/>
          <w:lang w:val="es-PR"/>
        </w:rPr>
      </w:pPr>
      <w:r>
        <w:rPr>
          <w:rFonts w:ascii="Book Antiqua" w:hAnsi="Book Antiqua"/>
          <w:bCs/>
          <w:iCs/>
          <w:sz w:val="24"/>
          <w:szCs w:val="24"/>
          <w:lang w:val="es-PR"/>
        </w:rPr>
        <w:t>2. Plano de Inscripción aprobado por la agencia o dependencia gubernamental estatal o municipal correspondiente.</w:t>
      </w:r>
    </w:p>
    <w:p w14:paraId="1ABA470E" w14:textId="77777777" w:rsidR="009E1B22" w:rsidRDefault="009E1B22" w:rsidP="009E1B22">
      <w:pPr>
        <w:tabs>
          <w:tab w:val="left" w:pos="918"/>
        </w:tabs>
        <w:spacing w:before="58" w:line="480" w:lineRule="auto"/>
        <w:ind w:left="1416" w:right="720"/>
        <w:rPr>
          <w:rFonts w:ascii="Book Antiqua" w:hAnsi="Book Antiqua"/>
          <w:bCs/>
          <w:iCs/>
          <w:sz w:val="24"/>
          <w:szCs w:val="24"/>
          <w:lang w:val="es-PR"/>
        </w:rPr>
      </w:pPr>
      <w:r>
        <w:rPr>
          <w:rFonts w:ascii="Book Antiqua" w:hAnsi="Book Antiqua"/>
          <w:bCs/>
          <w:iCs/>
          <w:sz w:val="24"/>
          <w:szCs w:val="24"/>
          <w:lang w:val="es-PR"/>
        </w:rPr>
        <w:t>3. Escritura pública en la que comparecen todos los titulares y en la que se describa el remanente de la finca principal luego de las segregaciones, si alguno, excepto en los casos dispuestos por reglamento.</w:t>
      </w:r>
    </w:p>
    <w:p w14:paraId="7744929D" w14:textId="3D090E44" w:rsidR="009E1B22" w:rsidRDefault="009E1B22" w:rsidP="009E1B22">
      <w:pPr>
        <w:tabs>
          <w:tab w:val="left" w:pos="918"/>
        </w:tabs>
        <w:spacing w:before="58" w:line="480" w:lineRule="auto"/>
        <w:ind w:left="1416" w:right="720"/>
        <w:rPr>
          <w:rFonts w:ascii="Book Antiqua" w:hAnsi="Book Antiqua"/>
          <w:bCs/>
          <w:i/>
          <w:sz w:val="24"/>
          <w:szCs w:val="24"/>
          <w:lang w:val="es-PR"/>
        </w:rPr>
      </w:pPr>
      <w:r>
        <w:rPr>
          <w:rFonts w:ascii="Book Antiqua" w:hAnsi="Book Antiqua"/>
          <w:bCs/>
          <w:i/>
          <w:sz w:val="24"/>
          <w:szCs w:val="24"/>
          <w:lang w:val="es-PR"/>
        </w:rPr>
        <w:t xml:space="preserve">4. Descripción geométrica </w:t>
      </w:r>
      <w:r w:rsidR="00CE27CD">
        <w:rPr>
          <w:rFonts w:ascii="Book Antiqua" w:hAnsi="Book Antiqua"/>
          <w:bCs/>
          <w:i/>
          <w:sz w:val="24"/>
          <w:szCs w:val="24"/>
          <w:u w:val="single"/>
          <w:lang w:val="es-PR"/>
        </w:rPr>
        <w:t>certificada por agrimensor licenciado</w:t>
      </w:r>
      <w:r w:rsidR="002D5865">
        <w:rPr>
          <w:rFonts w:ascii="Book Antiqua" w:hAnsi="Book Antiqua"/>
          <w:bCs/>
          <w:i/>
          <w:sz w:val="24"/>
          <w:szCs w:val="24"/>
          <w:u w:val="single"/>
          <w:lang w:val="es-PR"/>
        </w:rPr>
        <w:t xml:space="preserve"> en Puerto Rico</w:t>
      </w:r>
      <w:r w:rsidR="00CE27CD" w:rsidRPr="00CE27CD">
        <w:rPr>
          <w:rFonts w:ascii="Book Antiqua" w:hAnsi="Book Antiqua"/>
          <w:bCs/>
          <w:iCs/>
          <w:sz w:val="24"/>
          <w:szCs w:val="24"/>
          <w:lang w:val="es-PR"/>
        </w:rPr>
        <w:t xml:space="preserve"> </w:t>
      </w:r>
      <w:r>
        <w:rPr>
          <w:rFonts w:ascii="Book Antiqua" w:hAnsi="Book Antiqua"/>
          <w:bCs/>
          <w:i/>
          <w:sz w:val="24"/>
          <w:szCs w:val="24"/>
          <w:lang w:val="es-PR"/>
        </w:rPr>
        <w:t>de la porción segregada</w:t>
      </w:r>
      <w:r w:rsidRPr="00717502">
        <w:rPr>
          <w:rFonts w:ascii="Book Antiqua" w:hAnsi="Book Antiqua"/>
          <w:bCs/>
          <w:i/>
          <w:strike/>
          <w:sz w:val="24"/>
          <w:szCs w:val="24"/>
          <w:lang w:val="es-PR"/>
        </w:rPr>
        <w:t xml:space="preserve"> y, cuando</w:t>
      </w:r>
      <w:r w:rsidR="00F44A88" w:rsidRPr="00F44A88">
        <w:rPr>
          <w:rFonts w:ascii="Book Antiqua" w:hAnsi="Book Antiqua"/>
          <w:bCs/>
          <w:i/>
          <w:sz w:val="24"/>
          <w:szCs w:val="24"/>
          <w:u w:val="single"/>
          <w:lang w:val="es-PR"/>
        </w:rPr>
        <w:t>. Cuando</w:t>
      </w:r>
      <w:r>
        <w:rPr>
          <w:rFonts w:ascii="Book Antiqua" w:hAnsi="Book Antiqua"/>
          <w:bCs/>
          <w:i/>
          <w:sz w:val="24"/>
          <w:szCs w:val="24"/>
          <w:lang w:val="es-PR"/>
        </w:rPr>
        <w:t xml:space="preserve"> proceda, del remanente, </w:t>
      </w:r>
      <w:r w:rsidRPr="0075741E">
        <w:rPr>
          <w:rFonts w:ascii="Book Antiqua" w:hAnsi="Book Antiqua"/>
          <w:bCs/>
          <w:i/>
          <w:strike/>
          <w:sz w:val="24"/>
          <w:szCs w:val="24"/>
          <w:lang w:val="es-PR"/>
        </w:rPr>
        <w:t>certificada por un agrimensor licenciado,</w:t>
      </w:r>
      <w:r>
        <w:rPr>
          <w:rFonts w:ascii="Book Antiqua" w:hAnsi="Book Antiqua"/>
          <w:bCs/>
          <w:i/>
          <w:sz w:val="24"/>
          <w:szCs w:val="24"/>
          <w:lang w:val="es-PR"/>
        </w:rPr>
        <w:t xml:space="preserve"> con indicación de medidas, </w:t>
      </w:r>
      <w:r w:rsidR="00C1458A">
        <w:rPr>
          <w:rFonts w:ascii="Book Antiqua" w:hAnsi="Book Antiqua"/>
          <w:bCs/>
          <w:i/>
          <w:sz w:val="24"/>
          <w:szCs w:val="24"/>
          <w:u w:val="single"/>
          <w:lang w:val="es-PR"/>
        </w:rPr>
        <w:t>rumbos, distancias, hitos naturales o artificiales que delimiten los</w:t>
      </w:r>
      <w:r w:rsidR="00C1458A" w:rsidRPr="00C1458A">
        <w:rPr>
          <w:rFonts w:ascii="Book Antiqua" w:hAnsi="Book Antiqua"/>
          <w:bCs/>
          <w:i/>
          <w:sz w:val="24"/>
          <w:szCs w:val="24"/>
          <w:lang w:val="es-PR"/>
        </w:rPr>
        <w:t xml:space="preserve"> </w:t>
      </w:r>
      <w:r>
        <w:rPr>
          <w:rFonts w:ascii="Book Antiqua" w:hAnsi="Book Antiqua"/>
          <w:bCs/>
          <w:i/>
          <w:sz w:val="24"/>
          <w:szCs w:val="24"/>
          <w:lang w:val="es-PR"/>
        </w:rPr>
        <w:t>linderos</w:t>
      </w:r>
      <w:r w:rsidR="00BC5BEC">
        <w:rPr>
          <w:rFonts w:ascii="Book Antiqua" w:hAnsi="Book Antiqua"/>
          <w:bCs/>
          <w:i/>
          <w:sz w:val="24"/>
          <w:szCs w:val="24"/>
          <w:u w:val="single"/>
          <w:lang w:val="es-PR"/>
        </w:rPr>
        <w:t>, colindantes, cabida</w:t>
      </w:r>
      <w:r w:rsidR="009C7FAD">
        <w:rPr>
          <w:rFonts w:ascii="Book Antiqua" w:hAnsi="Book Antiqua"/>
          <w:bCs/>
          <w:i/>
          <w:sz w:val="24"/>
          <w:szCs w:val="24"/>
          <w:u w:val="single"/>
          <w:lang w:val="es-PR"/>
        </w:rPr>
        <w:t>,</w:t>
      </w:r>
      <w:r>
        <w:rPr>
          <w:rFonts w:ascii="Book Antiqua" w:hAnsi="Book Antiqua"/>
          <w:bCs/>
          <w:i/>
          <w:sz w:val="24"/>
          <w:szCs w:val="24"/>
          <w:lang w:val="es-PR"/>
        </w:rPr>
        <w:t xml:space="preserve"> </w:t>
      </w:r>
      <w:r w:rsidRPr="009C7FAD">
        <w:rPr>
          <w:rFonts w:ascii="Book Antiqua" w:hAnsi="Book Antiqua"/>
          <w:bCs/>
          <w:i/>
          <w:strike/>
          <w:sz w:val="24"/>
          <w:szCs w:val="24"/>
          <w:lang w:val="es-PR"/>
        </w:rPr>
        <w:t>y</w:t>
      </w:r>
      <w:r>
        <w:rPr>
          <w:rFonts w:ascii="Book Antiqua" w:hAnsi="Book Antiqua"/>
          <w:bCs/>
          <w:i/>
          <w:sz w:val="24"/>
          <w:szCs w:val="24"/>
          <w:lang w:val="es-PR"/>
        </w:rPr>
        <w:t xml:space="preserve"> coordenadas geográficas </w:t>
      </w:r>
      <w:r w:rsidR="009C7FAD">
        <w:rPr>
          <w:rFonts w:ascii="Book Antiqua" w:hAnsi="Book Antiqua"/>
          <w:bCs/>
          <w:i/>
          <w:sz w:val="24"/>
          <w:szCs w:val="24"/>
          <w:u w:val="single"/>
          <w:lang w:val="es-PR"/>
        </w:rPr>
        <w:t>y cierre geométrico verificable</w:t>
      </w:r>
      <w:r w:rsidR="009166BE">
        <w:rPr>
          <w:rFonts w:ascii="Book Antiqua" w:hAnsi="Book Antiqua"/>
          <w:bCs/>
          <w:i/>
          <w:sz w:val="24"/>
          <w:szCs w:val="24"/>
          <w:u w:val="single"/>
          <w:lang w:val="es-PR"/>
        </w:rPr>
        <w:t>. Esto,</w:t>
      </w:r>
      <w:r w:rsidR="009C7FAD" w:rsidRPr="009C7FAD">
        <w:rPr>
          <w:rFonts w:ascii="Book Antiqua" w:hAnsi="Book Antiqua"/>
          <w:bCs/>
          <w:i/>
          <w:sz w:val="24"/>
          <w:szCs w:val="24"/>
          <w:lang w:val="es-PR"/>
        </w:rPr>
        <w:t xml:space="preserve"> </w:t>
      </w:r>
      <w:r>
        <w:rPr>
          <w:rFonts w:ascii="Book Antiqua" w:hAnsi="Book Antiqua"/>
          <w:bCs/>
          <w:i/>
          <w:sz w:val="24"/>
          <w:szCs w:val="24"/>
          <w:lang w:val="es-PR"/>
        </w:rPr>
        <w:t xml:space="preserve">conforme a los estándares del Colegio de Ingenieros y </w:t>
      </w:r>
      <w:r>
        <w:rPr>
          <w:rFonts w:ascii="Book Antiqua" w:hAnsi="Book Antiqua"/>
          <w:bCs/>
          <w:i/>
          <w:sz w:val="24"/>
          <w:szCs w:val="24"/>
          <w:lang w:val="es-PR"/>
        </w:rPr>
        <w:lastRenderedPageBreak/>
        <w:t>Agrimensores de Puerto Rico; y la integración de un plano con referencia catastral, cuando aplique.”</w:t>
      </w:r>
    </w:p>
    <w:p w14:paraId="1CB98986" w14:textId="77777777" w:rsidR="009E1B22" w:rsidRDefault="009E1B22" w:rsidP="009E1B22">
      <w:pPr>
        <w:tabs>
          <w:tab w:val="left" w:pos="918"/>
        </w:tabs>
        <w:spacing w:before="58" w:line="480" w:lineRule="auto"/>
        <w:ind w:left="221"/>
        <w:rPr>
          <w:rFonts w:ascii="Book Antiqua" w:hAnsi="Book Antiqua"/>
          <w:iCs/>
          <w:sz w:val="24"/>
          <w:szCs w:val="24"/>
          <w:lang w:val="es-PR"/>
        </w:rPr>
      </w:pPr>
      <w:r>
        <w:rPr>
          <w:rFonts w:ascii="Book Antiqua" w:hAnsi="Book Antiqua"/>
          <w:iCs/>
          <w:sz w:val="24"/>
          <w:szCs w:val="24"/>
          <w:lang w:val="es-PR"/>
        </w:rPr>
        <w:tab/>
        <w:t>Sección 4.- Se enmienda el Artículo 149 de la Ley Núm. 210-2015, según enmendada, para que lea como sigue:</w:t>
      </w:r>
    </w:p>
    <w:p w14:paraId="14DD9028" w14:textId="77777777" w:rsidR="009E1B22" w:rsidRDefault="009E1B22" w:rsidP="009E1B22">
      <w:pPr>
        <w:tabs>
          <w:tab w:val="left" w:pos="918"/>
        </w:tabs>
        <w:spacing w:before="58" w:line="480" w:lineRule="auto"/>
        <w:ind w:left="708"/>
        <w:rPr>
          <w:rFonts w:ascii="Book Antiqua" w:hAnsi="Book Antiqua"/>
          <w:bCs/>
          <w:iCs/>
          <w:sz w:val="24"/>
          <w:szCs w:val="24"/>
          <w:lang w:val="es-PR"/>
        </w:rPr>
      </w:pPr>
      <w:r>
        <w:rPr>
          <w:rFonts w:ascii="Book Antiqua" w:hAnsi="Book Antiqua"/>
          <w:bCs/>
          <w:iCs/>
          <w:sz w:val="24"/>
          <w:szCs w:val="24"/>
          <w:lang w:val="es-PR"/>
        </w:rPr>
        <w:t>“Artículo 149.- Planos; requisitos.</w:t>
      </w:r>
    </w:p>
    <w:p w14:paraId="12F00408" w14:textId="77777777" w:rsidR="009E1B22" w:rsidRDefault="009E1B22" w:rsidP="009E1B22">
      <w:pPr>
        <w:tabs>
          <w:tab w:val="left" w:pos="918"/>
        </w:tabs>
        <w:spacing w:before="58" w:line="480" w:lineRule="auto"/>
        <w:ind w:left="1416" w:right="720"/>
        <w:rPr>
          <w:rFonts w:ascii="Book Antiqua" w:hAnsi="Book Antiqua"/>
          <w:bCs/>
          <w:iCs/>
          <w:sz w:val="24"/>
          <w:szCs w:val="24"/>
          <w:lang w:val="es-PR"/>
        </w:rPr>
      </w:pPr>
      <w:r>
        <w:rPr>
          <w:rFonts w:ascii="Book Antiqua" w:hAnsi="Book Antiqua"/>
          <w:bCs/>
          <w:iCs/>
          <w:sz w:val="24"/>
          <w:szCs w:val="24"/>
          <w:lang w:val="es-PR"/>
        </w:rPr>
        <w:t>A partir de la fecha de aprobación de esta Ley, en el Registro solamente se aceptarán planos de inscripción en formato digital o electrónico. Los planos deberán contener la identificación registral de las fincas objeto de segregación o de cualquier operación registral que lo requiera y en caso de ser más de una, la parte de cada una de ellas que resulte afectada.</w:t>
      </w:r>
    </w:p>
    <w:p w14:paraId="1CD774E9" w14:textId="77777777" w:rsidR="009E1B22" w:rsidRDefault="009E1B22" w:rsidP="009E1B22">
      <w:pPr>
        <w:tabs>
          <w:tab w:val="left" w:pos="918"/>
        </w:tabs>
        <w:spacing w:before="58" w:line="480" w:lineRule="auto"/>
        <w:ind w:left="1416" w:right="720"/>
        <w:rPr>
          <w:rFonts w:ascii="Book Antiqua" w:hAnsi="Book Antiqua"/>
          <w:bCs/>
          <w:i/>
          <w:sz w:val="24"/>
          <w:szCs w:val="24"/>
          <w:u w:val="single"/>
          <w:lang w:val="es-PR"/>
        </w:rPr>
      </w:pPr>
      <w:r>
        <w:rPr>
          <w:rFonts w:ascii="Book Antiqua" w:hAnsi="Book Antiqua"/>
          <w:bCs/>
          <w:i/>
          <w:sz w:val="24"/>
          <w:szCs w:val="24"/>
          <w:lang w:val="es-PR"/>
        </w:rPr>
        <w:t>Los planos integrarán, cuando aplique, la referencia catastral correspondiente.”</w:t>
      </w:r>
    </w:p>
    <w:p w14:paraId="10ACC57F" w14:textId="77777777" w:rsidR="009E1B22" w:rsidRDefault="009E1B22" w:rsidP="009E1B22">
      <w:pPr>
        <w:tabs>
          <w:tab w:val="left" w:pos="918"/>
        </w:tabs>
        <w:spacing w:before="58" w:line="480" w:lineRule="auto"/>
        <w:ind w:left="221"/>
        <w:rPr>
          <w:rFonts w:ascii="Book Antiqua" w:hAnsi="Book Antiqua"/>
          <w:iCs/>
          <w:sz w:val="24"/>
          <w:szCs w:val="24"/>
          <w:lang w:val="es-PR"/>
        </w:rPr>
      </w:pPr>
      <w:r>
        <w:rPr>
          <w:rFonts w:ascii="Book Antiqua" w:hAnsi="Book Antiqua"/>
          <w:iCs/>
          <w:sz w:val="24"/>
          <w:szCs w:val="24"/>
          <w:lang w:val="es-PR"/>
        </w:rPr>
        <w:tab/>
        <w:t>Sección 5.- Se enmienda el Artículo 235 de la Ley Núm. 210-2015, según enmendada, para que lea como sigue:</w:t>
      </w:r>
    </w:p>
    <w:p w14:paraId="4F214B1D" w14:textId="77777777" w:rsidR="009E1B22" w:rsidRDefault="009E1B22" w:rsidP="009E1B22">
      <w:pPr>
        <w:tabs>
          <w:tab w:val="left" w:pos="918"/>
        </w:tabs>
        <w:spacing w:before="58" w:line="480" w:lineRule="auto"/>
        <w:ind w:left="221"/>
        <w:rPr>
          <w:rFonts w:ascii="Book Antiqua" w:hAnsi="Book Antiqua"/>
          <w:bCs/>
          <w:iCs/>
          <w:sz w:val="24"/>
          <w:szCs w:val="24"/>
          <w:lang w:val="es-PR"/>
        </w:rPr>
      </w:pPr>
      <w:r>
        <w:rPr>
          <w:rFonts w:ascii="Book Antiqua" w:hAnsi="Book Antiqua"/>
          <w:bCs/>
          <w:iCs/>
          <w:sz w:val="24"/>
          <w:szCs w:val="24"/>
          <w:lang w:val="es-PR"/>
        </w:rPr>
        <w:tab/>
        <w:t>“Artículo 235.- Defectos que impiden la inscripción.</w:t>
      </w:r>
    </w:p>
    <w:p w14:paraId="4B4B774B" w14:textId="36AFE13A" w:rsidR="009E1B22" w:rsidRDefault="00A73EF1" w:rsidP="00A73EF1">
      <w:pPr>
        <w:tabs>
          <w:tab w:val="left" w:pos="918"/>
        </w:tabs>
        <w:spacing w:before="58" w:line="480" w:lineRule="auto"/>
        <w:ind w:right="720"/>
        <w:rPr>
          <w:rFonts w:ascii="Book Antiqua" w:hAnsi="Book Antiqua"/>
          <w:bCs/>
          <w:iCs/>
          <w:sz w:val="24"/>
          <w:szCs w:val="24"/>
          <w:lang w:val="es-PR"/>
        </w:rPr>
      </w:pPr>
      <w:r>
        <w:rPr>
          <w:rFonts w:ascii="Book Antiqua" w:hAnsi="Book Antiqua"/>
          <w:bCs/>
          <w:iCs/>
          <w:sz w:val="24"/>
          <w:szCs w:val="24"/>
          <w:lang w:val="es-PR"/>
        </w:rPr>
        <w:tab/>
      </w:r>
      <w:r w:rsidR="009E1B22">
        <w:rPr>
          <w:rFonts w:ascii="Book Antiqua" w:hAnsi="Book Antiqua"/>
          <w:bCs/>
          <w:iCs/>
          <w:sz w:val="24"/>
          <w:szCs w:val="24"/>
          <w:lang w:val="es-PR"/>
        </w:rPr>
        <w:t>Los defectos que impiden la inscripción son los siguientes:</w:t>
      </w:r>
    </w:p>
    <w:p w14:paraId="292C5755" w14:textId="77777777" w:rsidR="009E1B22" w:rsidRDefault="009E1B22" w:rsidP="009E1B22">
      <w:pPr>
        <w:tabs>
          <w:tab w:val="left" w:pos="918"/>
        </w:tabs>
        <w:spacing w:before="58" w:line="480" w:lineRule="auto"/>
        <w:ind w:left="1416" w:right="720"/>
        <w:rPr>
          <w:rFonts w:ascii="Book Antiqua" w:hAnsi="Book Antiqua"/>
          <w:bCs/>
          <w:iCs/>
          <w:sz w:val="24"/>
          <w:szCs w:val="24"/>
          <w:lang w:val="es-PR"/>
        </w:rPr>
      </w:pPr>
      <w:r>
        <w:rPr>
          <w:rFonts w:ascii="Book Antiqua" w:hAnsi="Book Antiqua"/>
          <w:bCs/>
          <w:iCs/>
          <w:sz w:val="24"/>
          <w:szCs w:val="24"/>
          <w:lang w:val="es-PR"/>
        </w:rPr>
        <w:t>1. Los que causen la inexistencia, nulidad o anulabilidad del acto, contrato o del documento presentado.</w:t>
      </w:r>
    </w:p>
    <w:p w14:paraId="251F1E9D" w14:textId="77777777" w:rsidR="009E1B22" w:rsidRDefault="009E1B22" w:rsidP="009E1B22">
      <w:pPr>
        <w:tabs>
          <w:tab w:val="left" w:pos="918"/>
        </w:tabs>
        <w:spacing w:before="58" w:line="480" w:lineRule="auto"/>
        <w:ind w:left="1416" w:right="720"/>
        <w:rPr>
          <w:rFonts w:ascii="Book Antiqua" w:hAnsi="Book Antiqua"/>
          <w:bCs/>
          <w:iCs/>
          <w:sz w:val="24"/>
          <w:szCs w:val="24"/>
          <w:lang w:val="es-PR"/>
        </w:rPr>
      </w:pPr>
      <w:r>
        <w:rPr>
          <w:rFonts w:ascii="Book Antiqua" w:hAnsi="Book Antiqua"/>
          <w:bCs/>
          <w:iCs/>
          <w:sz w:val="24"/>
          <w:szCs w:val="24"/>
          <w:lang w:val="es-PR"/>
        </w:rPr>
        <w:t>2. Los que se originen de obstáculos del Registro.</w:t>
      </w:r>
    </w:p>
    <w:p w14:paraId="35E6327F" w14:textId="77777777" w:rsidR="009E1B22" w:rsidRDefault="009E1B22" w:rsidP="009E1B22">
      <w:pPr>
        <w:tabs>
          <w:tab w:val="left" w:pos="918"/>
        </w:tabs>
        <w:spacing w:before="58" w:line="480" w:lineRule="auto"/>
        <w:ind w:left="1416" w:right="720"/>
        <w:rPr>
          <w:rFonts w:ascii="Book Antiqua" w:hAnsi="Book Antiqua"/>
          <w:bCs/>
          <w:iCs/>
          <w:sz w:val="24"/>
          <w:szCs w:val="24"/>
          <w:lang w:val="es-PR"/>
        </w:rPr>
      </w:pPr>
      <w:r>
        <w:rPr>
          <w:rFonts w:ascii="Book Antiqua" w:hAnsi="Book Antiqua"/>
          <w:bCs/>
          <w:iCs/>
          <w:sz w:val="24"/>
          <w:szCs w:val="24"/>
          <w:lang w:val="es-PR"/>
        </w:rPr>
        <w:t>3. Los que se originen por disposiciones de ley.</w:t>
      </w:r>
    </w:p>
    <w:p w14:paraId="5B2BF439" w14:textId="77777777" w:rsidR="009E1B22" w:rsidRDefault="009E1B22" w:rsidP="009E1B22">
      <w:pPr>
        <w:tabs>
          <w:tab w:val="left" w:pos="918"/>
        </w:tabs>
        <w:spacing w:before="58" w:line="480" w:lineRule="auto"/>
        <w:ind w:left="1416" w:right="720"/>
        <w:rPr>
          <w:rFonts w:ascii="Book Antiqua" w:hAnsi="Book Antiqua"/>
          <w:bCs/>
          <w:iCs/>
          <w:sz w:val="24"/>
          <w:szCs w:val="24"/>
          <w:lang w:val="es-PR"/>
        </w:rPr>
      </w:pPr>
      <w:r>
        <w:rPr>
          <w:rFonts w:ascii="Book Antiqua" w:hAnsi="Book Antiqua"/>
          <w:bCs/>
          <w:iCs/>
          <w:sz w:val="24"/>
          <w:szCs w:val="24"/>
          <w:lang w:val="es-PR"/>
        </w:rPr>
        <w:lastRenderedPageBreak/>
        <w:t>4. No presentar los documentos complementarios necesarios.</w:t>
      </w:r>
    </w:p>
    <w:p w14:paraId="4045107D" w14:textId="77777777" w:rsidR="009E1B22" w:rsidRDefault="009E1B22" w:rsidP="009E1B22">
      <w:pPr>
        <w:tabs>
          <w:tab w:val="left" w:pos="918"/>
        </w:tabs>
        <w:spacing w:before="58" w:line="480" w:lineRule="auto"/>
        <w:ind w:left="1416" w:right="720"/>
        <w:rPr>
          <w:rFonts w:ascii="Book Antiqua" w:hAnsi="Book Antiqua"/>
          <w:bCs/>
          <w:iCs/>
          <w:sz w:val="24"/>
          <w:szCs w:val="24"/>
          <w:lang w:val="es-PR"/>
        </w:rPr>
      </w:pPr>
      <w:r>
        <w:rPr>
          <w:rFonts w:ascii="Book Antiqua" w:hAnsi="Book Antiqua"/>
          <w:bCs/>
          <w:iCs/>
          <w:sz w:val="24"/>
          <w:szCs w:val="24"/>
          <w:lang w:val="es-PR"/>
        </w:rPr>
        <w:t>5. No acreditarse el cumplimiento de las formalidades exigidas por las leyes.</w:t>
      </w:r>
    </w:p>
    <w:p w14:paraId="29902BDA" w14:textId="77777777" w:rsidR="00254294" w:rsidRDefault="009E1B22" w:rsidP="009E1B22">
      <w:pPr>
        <w:tabs>
          <w:tab w:val="left" w:pos="918"/>
        </w:tabs>
        <w:spacing w:before="58" w:line="480" w:lineRule="auto"/>
        <w:ind w:left="1416" w:right="720"/>
        <w:rPr>
          <w:rFonts w:ascii="Book Antiqua" w:hAnsi="Book Antiqua"/>
          <w:bCs/>
          <w:i/>
          <w:sz w:val="24"/>
          <w:szCs w:val="24"/>
          <w:lang w:val="es-PR"/>
        </w:rPr>
      </w:pPr>
      <w:r>
        <w:rPr>
          <w:rFonts w:ascii="Book Antiqua" w:hAnsi="Book Antiqua"/>
          <w:bCs/>
          <w:i/>
          <w:sz w:val="24"/>
          <w:szCs w:val="24"/>
          <w:lang w:val="es-PR"/>
        </w:rPr>
        <w:t>6. La falta de inclusión, en las escrituras públicas a que se refiere el Artículo 10 de esta Ley, de la descripción geométrica certificada por un agrimensor licenciado conforme a los estándares aplicables, o la omisión de su certificación</w:t>
      </w:r>
      <w:r w:rsidRPr="00C37AA5">
        <w:rPr>
          <w:rFonts w:ascii="Book Antiqua" w:hAnsi="Book Antiqua"/>
          <w:bCs/>
          <w:i/>
          <w:strike/>
          <w:sz w:val="24"/>
          <w:szCs w:val="24"/>
          <w:lang w:val="es-PR"/>
        </w:rPr>
        <w:t xml:space="preserve"> o número de licencia</w:t>
      </w:r>
      <w:r>
        <w:rPr>
          <w:rFonts w:ascii="Book Antiqua" w:hAnsi="Book Antiqua"/>
          <w:bCs/>
          <w:i/>
          <w:sz w:val="24"/>
          <w:szCs w:val="24"/>
          <w:lang w:val="es-PR"/>
        </w:rPr>
        <w:t>; o, cuando aplique, la ausencia de un plano con referencia catastral.</w:t>
      </w:r>
    </w:p>
    <w:p w14:paraId="77AF2EE7" w14:textId="2CC8D5A2" w:rsidR="002B2547" w:rsidRPr="002B2547" w:rsidRDefault="002B2547" w:rsidP="002B2547">
      <w:pPr>
        <w:tabs>
          <w:tab w:val="left" w:pos="918"/>
        </w:tabs>
        <w:spacing w:before="58" w:line="480" w:lineRule="auto"/>
        <w:ind w:left="1416" w:right="720"/>
        <w:rPr>
          <w:rFonts w:ascii="Book Antiqua" w:hAnsi="Book Antiqua"/>
          <w:bCs/>
          <w:i/>
          <w:sz w:val="24"/>
          <w:szCs w:val="24"/>
          <w:u w:val="single"/>
          <w:lang w:val="es-PR"/>
        </w:rPr>
      </w:pPr>
      <w:r>
        <w:rPr>
          <w:rFonts w:ascii="Book Antiqua" w:hAnsi="Book Antiqua"/>
          <w:bCs/>
          <w:i/>
          <w:sz w:val="24"/>
          <w:szCs w:val="24"/>
          <w:u w:val="single"/>
          <w:lang w:val="es-PR"/>
        </w:rPr>
        <w:t>7.</w:t>
      </w:r>
      <w:r w:rsidRPr="002B2547">
        <w:rPr>
          <w:i/>
          <w:iCs/>
          <w:u w:val="single"/>
        </w:rPr>
        <w:t xml:space="preserve"> </w:t>
      </w:r>
      <w:r w:rsidRPr="002B2547">
        <w:rPr>
          <w:rFonts w:ascii="Book Antiqua" w:hAnsi="Book Antiqua"/>
          <w:bCs/>
          <w:i/>
          <w:sz w:val="24"/>
          <w:szCs w:val="24"/>
          <w:u w:val="single"/>
          <w:lang w:val="es-PR"/>
        </w:rPr>
        <w:t xml:space="preserve">La inclusión de una descripción contradictoria, incongruente o </w:t>
      </w:r>
    </w:p>
    <w:p w14:paraId="349666D3" w14:textId="5F24204B" w:rsidR="009E1B22" w:rsidRDefault="002B2547" w:rsidP="002B2547">
      <w:pPr>
        <w:tabs>
          <w:tab w:val="left" w:pos="918"/>
        </w:tabs>
        <w:spacing w:before="58" w:line="480" w:lineRule="auto"/>
        <w:ind w:left="1416" w:right="720"/>
        <w:rPr>
          <w:rFonts w:ascii="Book Antiqua" w:hAnsi="Book Antiqua"/>
          <w:bCs/>
          <w:i/>
          <w:sz w:val="24"/>
          <w:szCs w:val="24"/>
          <w:lang w:val="es-PR"/>
        </w:rPr>
      </w:pPr>
      <w:r w:rsidRPr="002B2547">
        <w:rPr>
          <w:rFonts w:ascii="Book Antiqua" w:hAnsi="Book Antiqua"/>
          <w:bCs/>
          <w:i/>
          <w:sz w:val="24"/>
          <w:szCs w:val="24"/>
          <w:u w:val="single"/>
          <w:lang w:val="es-PR"/>
        </w:rPr>
        <w:t>físicamente indeterminable.</w:t>
      </w:r>
      <w:r w:rsidR="009E1B22">
        <w:rPr>
          <w:rFonts w:ascii="Book Antiqua" w:hAnsi="Book Antiqua"/>
          <w:bCs/>
          <w:i/>
          <w:sz w:val="24"/>
          <w:szCs w:val="24"/>
          <w:lang w:val="es-PR"/>
        </w:rPr>
        <w:t>”</w:t>
      </w:r>
    </w:p>
    <w:p w14:paraId="08F37736" w14:textId="77777777" w:rsidR="009E1B22" w:rsidRDefault="009E1B22" w:rsidP="009E1B22">
      <w:pPr>
        <w:tabs>
          <w:tab w:val="left" w:pos="918"/>
        </w:tabs>
        <w:spacing w:before="58" w:line="480" w:lineRule="auto"/>
        <w:ind w:left="221"/>
        <w:rPr>
          <w:rFonts w:ascii="Book Antiqua" w:hAnsi="Book Antiqua"/>
          <w:iCs/>
          <w:sz w:val="24"/>
          <w:szCs w:val="24"/>
          <w:lang w:val="es-PR"/>
        </w:rPr>
      </w:pPr>
      <w:r>
        <w:rPr>
          <w:rFonts w:ascii="Book Antiqua" w:hAnsi="Book Antiqua"/>
          <w:iCs/>
          <w:sz w:val="24"/>
          <w:szCs w:val="24"/>
          <w:lang w:val="es-PR"/>
        </w:rPr>
        <w:tab/>
        <w:t>Sección 6.- Se enmienda el Artículo 240 de la Ley Núm. 210-2015, según enmendada, para que lea como sigue:</w:t>
      </w:r>
    </w:p>
    <w:p w14:paraId="7F30FBD3" w14:textId="77777777" w:rsidR="009E1B22" w:rsidRDefault="009E1B22" w:rsidP="009E1B22">
      <w:pPr>
        <w:tabs>
          <w:tab w:val="left" w:pos="918"/>
        </w:tabs>
        <w:spacing w:before="58" w:line="480" w:lineRule="auto"/>
        <w:ind w:left="221"/>
        <w:rPr>
          <w:rFonts w:ascii="Book Antiqua" w:hAnsi="Book Antiqua"/>
          <w:bCs/>
          <w:iCs/>
          <w:sz w:val="24"/>
          <w:szCs w:val="24"/>
          <w:lang w:val="x-none"/>
        </w:rPr>
      </w:pPr>
      <w:r>
        <w:rPr>
          <w:rFonts w:ascii="Book Antiqua" w:hAnsi="Book Antiqua"/>
          <w:bCs/>
          <w:iCs/>
          <w:sz w:val="24"/>
          <w:szCs w:val="24"/>
          <w:lang w:val="x-none"/>
        </w:rPr>
        <w:tab/>
        <w:t>“ARTÍCULO 240. — Responsabilidad del notario por omisiones o defectos; notificación.</w:t>
      </w:r>
    </w:p>
    <w:p w14:paraId="1539CA1C" w14:textId="7550698A" w:rsidR="009E1B22" w:rsidRDefault="00FC460F" w:rsidP="00FC460F">
      <w:pPr>
        <w:tabs>
          <w:tab w:val="left" w:pos="918"/>
        </w:tabs>
        <w:spacing w:before="58" w:line="480" w:lineRule="auto"/>
        <w:ind w:left="270" w:right="720" w:firstLine="630"/>
        <w:rPr>
          <w:rFonts w:ascii="Book Antiqua" w:hAnsi="Book Antiqua"/>
          <w:bCs/>
          <w:iCs/>
          <w:sz w:val="24"/>
          <w:szCs w:val="24"/>
          <w:lang w:val="x-none"/>
        </w:rPr>
      </w:pPr>
      <w:r>
        <w:rPr>
          <w:rFonts w:ascii="Book Antiqua" w:hAnsi="Book Antiqua"/>
          <w:bCs/>
          <w:iCs/>
          <w:sz w:val="24"/>
          <w:szCs w:val="24"/>
          <w:lang w:val="x-none"/>
        </w:rPr>
        <w:tab/>
      </w:r>
      <w:r w:rsidR="009E1B22">
        <w:rPr>
          <w:rFonts w:ascii="Book Antiqua" w:hAnsi="Book Antiqua"/>
          <w:bCs/>
          <w:iCs/>
          <w:sz w:val="24"/>
          <w:szCs w:val="24"/>
          <w:lang w:val="x-none"/>
        </w:rPr>
        <w:t>El notario o funcionario que por su falta cometa alguna omisión que impida inscribir el acto o contrato contenido en el documento presentado, conforme lo dispuesto en la ley, subsanará prontamente y a su costo al ser requerido mediante notificación. De ser necesario y posible, extenderá un nuevo documento.</w:t>
      </w:r>
    </w:p>
    <w:p w14:paraId="650B62C5" w14:textId="4EA118C9" w:rsidR="009E1B22" w:rsidRDefault="009E1B22" w:rsidP="00FC460F">
      <w:pPr>
        <w:tabs>
          <w:tab w:val="left" w:pos="918"/>
        </w:tabs>
        <w:spacing w:before="58" w:line="480" w:lineRule="auto"/>
        <w:ind w:left="270" w:right="720" w:firstLine="630"/>
        <w:rPr>
          <w:rFonts w:ascii="Book Antiqua" w:hAnsi="Book Antiqua"/>
          <w:bCs/>
          <w:iCs/>
          <w:sz w:val="24"/>
          <w:szCs w:val="24"/>
          <w:lang w:val="x-none"/>
        </w:rPr>
      </w:pPr>
      <w:r>
        <w:rPr>
          <w:rFonts w:ascii="Book Antiqua" w:hAnsi="Book Antiqua"/>
          <w:bCs/>
          <w:iCs/>
          <w:sz w:val="24"/>
          <w:szCs w:val="24"/>
          <w:lang w:val="x-none"/>
        </w:rPr>
        <w:t xml:space="preserve">Todo notario cuyo documento sea notificado en tres ocasiones por los mismos defectos sin que se corrijan los mismos, podrá ser referido por el </w:t>
      </w:r>
      <w:r>
        <w:rPr>
          <w:rFonts w:ascii="Book Antiqua" w:hAnsi="Book Antiqua"/>
          <w:bCs/>
          <w:iCs/>
          <w:sz w:val="24"/>
          <w:szCs w:val="24"/>
          <w:lang w:val="x-none"/>
        </w:rPr>
        <w:lastRenderedPageBreak/>
        <w:t>Registrador vía correo electrónico a la Oficina de Inspección de Notarías para la acción correspondiente. Dicho referido se efectuará simultáneamente con la tercera notificación.</w:t>
      </w:r>
    </w:p>
    <w:p w14:paraId="00D90E2A" w14:textId="5D1476C4" w:rsidR="009E1B22" w:rsidRDefault="009E1B22" w:rsidP="00FC460F">
      <w:pPr>
        <w:tabs>
          <w:tab w:val="left" w:pos="918"/>
        </w:tabs>
        <w:spacing w:before="58" w:line="480" w:lineRule="auto"/>
        <w:ind w:left="270" w:right="720"/>
        <w:rPr>
          <w:rFonts w:ascii="Book Antiqua" w:hAnsi="Book Antiqua"/>
          <w:bCs/>
          <w:i/>
          <w:iCs/>
          <w:sz w:val="24"/>
          <w:szCs w:val="24"/>
          <w:u w:val="single"/>
          <w:lang w:val="es-PR"/>
        </w:rPr>
      </w:pPr>
      <w:r>
        <w:rPr>
          <w:rFonts w:ascii="Book Antiqua" w:eastAsia="MS Mincho" w:hAnsi="Book Antiqua"/>
          <w:i/>
          <w:iCs/>
          <w:sz w:val="24"/>
          <w:szCs w:val="24"/>
          <w:lang w:val="es-PR"/>
        </w:rPr>
        <w:tab/>
        <w:t xml:space="preserve">Para fines de esta Ley, también, se considerará falta del notario autorizante la omisión de verificar la inclusión de la descripción geométrica certificada cuando </w:t>
      </w:r>
      <w:r w:rsidRPr="00A67126">
        <w:rPr>
          <w:rFonts w:ascii="Book Antiqua" w:eastAsia="MS Mincho" w:hAnsi="Book Antiqua"/>
          <w:i/>
          <w:iCs/>
          <w:strike/>
          <w:sz w:val="24"/>
          <w:szCs w:val="24"/>
          <w:lang w:val="es-PR"/>
        </w:rPr>
        <w:t>ésta</w:t>
      </w:r>
      <w:r>
        <w:rPr>
          <w:rFonts w:ascii="Book Antiqua" w:eastAsia="MS Mincho" w:hAnsi="Book Antiqua"/>
          <w:i/>
          <w:iCs/>
          <w:sz w:val="24"/>
          <w:szCs w:val="24"/>
          <w:lang w:val="es-PR"/>
        </w:rPr>
        <w:t xml:space="preserve"> </w:t>
      </w:r>
      <w:r w:rsidR="00A74CE4">
        <w:rPr>
          <w:rFonts w:ascii="Book Antiqua" w:eastAsia="MS Mincho" w:hAnsi="Book Antiqua"/>
          <w:i/>
          <w:iCs/>
          <w:sz w:val="24"/>
          <w:szCs w:val="24"/>
          <w:u w:val="single"/>
          <w:lang w:val="es-PR"/>
        </w:rPr>
        <w:t>esta</w:t>
      </w:r>
      <w:r w:rsidR="00A74CE4" w:rsidRPr="00A74CE4">
        <w:rPr>
          <w:rFonts w:ascii="Book Antiqua" w:eastAsia="MS Mincho" w:hAnsi="Book Antiqua"/>
          <w:i/>
          <w:iCs/>
          <w:sz w:val="24"/>
          <w:szCs w:val="24"/>
          <w:lang w:val="es-PR"/>
        </w:rPr>
        <w:t xml:space="preserve"> </w:t>
      </w:r>
      <w:r>
        <w:rPr>
          <w:rFonts w:ascii="Book Antiqua" w:eastAsia="MS Mincho" w:hAnsi="Book Antiqua"/>
          <w:i/>
          <w:iCs/>
          <w:sz w:val="24"/>
          <w:szCs w:val="24"/>
          <w:lang w:val="es-PR"/>
        </w:rPr>
        <w:t>sea requerida por el Artículo 10.”</w:t>
      </w:r>
    </w:p>
    <w:p w14:paraId="220118A2" w14:textId="77777777" w:rsidR="009E1B22" w:rsidRDefault="009E1B22" w:rsidP="009E1B22">
      <w:pPr>
        <w:tabs>
          <w:tab w:val="left" w:pos="918"/>
        </w:tabs>
        <w:spacing w:before="58" w:line="480" w:lineRule="auto"/>
        <w:ind w:left="221"/>
        <w:rPr>
          <w:rFonts w:ascii="Book Antiqua" w:hAnsi="Book Antiqua"/>
          <w:bCs/>
          <w:iCs/>
          <w:sz w:val="24"/>
          <w:szCs w:val="24"/>
          <w:lang w:val="x-none"/>
        </w:rPr>
      </w:pPr>
      <w:r>
        <w:rPr>
          <w:rFonts w:ascii="Book Antiqua" w:hAnsi="Book Antiqua"/>
          <w:iCs/>
          <w:sz w:val="24"/>
          <w:szCs w:val="24"/>
          <w:lang w:val="es-PR"/>
        </w:rPr>
        <w:tab/>
        <w:t xml:space="preserve">Sección 7.- </w:t>
      </w:r>
      <w:r>
        <w:rPr>
          <w:rFonts w:ascii="Book Antiqua" w:hAnsi="Book Antiqua"/>
          <w:bCs/>
          <w:iCs/>
          <w:sz w:val="24"/>
          <w:szCs w:val="24"/>
          <w:lang w:val="es-PR"/>
        </w:rPr>
        <w:t>Reglamentación e implementación.</w:t>
      </w:r>
    </w:p>
    <w:p w14:paraId="1F1ABB3F" w14:textId="6BC8A20D" w:rsidR="009E1B22" w:rsidRDefault="009E1B22" w:rsidP="009E1B22">
      <w:pPr>
        <w:tabs>
          <w:tab w:val="left" w:pos="918"/>
        </w:tabs>
        <w:spacing w:before="58" w:line="480" w:lineRule="auto"/>
        <w:ind w:left="221"/>
        <w:rPr>
          <w:rFonts w:ascii="Book Antiqua" w:hAnsi="Book Antiqua"/>
          <w:bCs/>
          <w:iCs/>
          <w:sz w:val="24"/>
          <w:szCs w:val="24"/>
        </w:rPr>
      </w:pPr>
      <w:r>
        <w:rPr>
          <w:rFonts w:ascii="Book Antiqua" w:hAnsi="Book Antiqua"/>
          <w:bCs/>
          <w:i/>
          <w:sz w:val="24"/>
          <w:szCs w:val="24"/>
          <w:lang w:val="es-PR"/>
        </w:rPr>
        <w:tab/>
      </w:r>
      <w:r>
        <w:rPr>
          <w:rFonts w:ascii="Book Antiqua" w:hAnsi="Book Antiqua"/>
          <w:bCs/>
          <w:iCs/>
          <w:sz w:val="24"/>
          <w:szCs w:val="24"/>
          <w:lang w:val="es-PR"/>
        </w:rPr>
        <w:t xml:space="preserve">El Departamento de Justicia, </w:t>
      </w:r>
      <w:r w:rsidRPr="004071E6">
        <w:rPr>
          <w:rFonts w:ascii="Book Antiqua" w:hAnsi="Book Antiqua"/>
          <w:bCs/>
          <w:iCs/>
          <w:strike/>
          <w:sz w:val="24"/>
          <w:szCs w:val="24"/>
          <w:lang w:val="es-PR"/>
        </w:rPr>
        <w:t>el Registro de la Propiedad</w:t>
      </w:r>
      <w:r w:rsidR="001827D8">
        <w:rPr>
          <w:rFonts w:ascii="Book Antiqua" w:hAnsi="Book Antiqua"/>
          <w:bCs/>
          <w:i/>
          <w:sz w:val="24"/>
          <w:szCs w:val="24"/>
          <w:u w:val="single"/>
          <w:lang w:val="es-PR"/>
        </w:rPr>
        <w:t>, la Rama Judicial</w:t>
      </w:r>
      <w:r>
        <w:rPr>
          <w:rFonts w:ascii="Book Antiqua" w:hAnsi="Book Antiqua"/>
          <w:bCs/>
          <w:iCs/>
          <w:sz w:val="24"/>
          <w:szCs w:val="24"/>
          <w:lang w:val="es-PR"/>
        </w:rPr>
        <w:t xml:space="preserve"> y el Colegio de Ingenieros y Agrimensores de Puerto Rico, adoptarán o enmendarán los reglamentos necesarios para implantar estas enmiendas dentro de los ciento ochenta (180) días de aprobada esta Ley.</w:t>
      </w:r>
    </w:p>
    <w:p w14:paraId="5F8E2E4C" w14:textId="77777777" w:rsidR="009E1B22" w:rsidRDefault="009E1B22" w:rsidP="009E1B22">
      <w:pPr>
        <w:tabs>
          <w:tab w:val="left" w:pos="918"/>
        </w:tabs>
        <w:spacing w:before="58" w:line="480" w:lineRule="auto"/>
        <w:ind w:left="221"/>
        <w:rPr>
          <w:rFonts w:ascii="Book Antiqua" w:hAnsi="Book Antiqua"/>
          <w:bCs/>
          <w:iCs/>
          <w:sz w:val="24"/>
          <w:szCs w:val="24"/>
        </w:rPr>
      </w:pPr>
      <w:r>
        <w:rPr>
          <w:rFonts w:ascii="Book Antiqua" w:hAnsi="Book Antiqua"/>
          <w:bCs/>
          <w:iCs/>
          <w:sz w:val="24"/>
          <w:szCs w:val="24"/>
        </w:rPr>
        <w:tab/>
      </w:r>
      <w:r>
        <w:rPr>
          <w:rFonts w:ascii="Book Antiqua" w:hAnsi="Book Antiqua"/>
          <w:sz w:val="24"/>
          <w:szCs w:val="24"/>
          <w:lang w:val="es-PR"/>
        </w:rPr>
        <w:t>Sección 8.</w:t>
      </w:r>
      <w:r>
        <w:rPr>
          <w:rFonts w:ascii="Book Antiqua" w:hAnsi="Book Antiqua"/>
          <w:sz w:val="24"/>
          <w:szCs w:val="24"/>
        </w:rPr>
        <w:t xml:space="preserve">- </w:t>
      </w:r>
      <w:r>
        <w:rPr>
          <w:rFonts w:ascii="Book Antiqua" w:hAnsi="Book Antiqua"/>
          <w:sz w:val="24"/>
          <w:szCs w:val="24"/>
          <w:lang w:val="es-ES_tradnl"/>
        </w:rPr>
        <w:t>Vigencia.</w:t>
      </w:r>
    </w:p>
    <w:p w14:paraId="6C9309F6" w14:textId="77777777" w:rsidR="009E1B22" w:rsidRDefault="009E1B22" w:rsidP="009E1B22">
      <w:pPr>
        <w:spacing w:line="480" w:lineRule="auto"/>
        <w:ind w:left="221" w:firstLine="708"/>
        <w:rPr>
          <w:rFonts w:ascii="Book Antiqua" w:hAnsi="Book Antiqua"/>
          <w:lang w:val="es-PR"/>
        </w:rPr>
      </w:pPr>
      <w:r>
        <w:rPr>
          <w:rFonts w:ascii="Book Antiqua" w:hAnsi="Book Antiqua" w:cs="Arial"/>
          <w:sz w:val="24"/>
          <w:szCs w:val="24"/>
          <w:lang w:val="es-PR"/>
        </w:rPr>
        <w:t>Esta Ley comenzará a regir a los ciento ochenta (180) días de su aprobación para permitir la adopción de la reglamentación correspondiente y la capacitación pertinente.</w:t>
      </w:r>
    </w:p>
    <w:sectPr w:rsidR="009E1B22" w:rsidSect="00603740">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2E14BB" w14:textId="77777777" w:rsidR="001713F9" w:rsidRDefault="001713F9" w:rsidP="00732205">
      <w:r>
        <w:separator/>
      </w:r>
    </w:p>
  </w:endnote>
  <w:endnote w:type="continuationSeparator" w:id="0">
    <w:p w14:paraId="4FE4C495" w14:textId="77777777" w:rsidR="001713F9" w:rsidRDefault="001713F9" w:rsidP="00732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DXANP N+ Serifa B T,">
    <w:altName w:val="Times New Roman"/>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D592A" w14:textId="77777777" w:rsidR="001713F9" w:rsidRDefault="001713F9" w:rsidP="00732205">
      <w:r>
        <w:separator/>
      </w:r>
    </w:p>
  </w:footnote>
  <w:footnote w:type="continuationSeparator" w:id="0">
    <w:p w14:paraId="27CDBEC0" w14:textId="77777777" w:rsidR="001713F9" w:rsidRDefault="001713F9" w:rsidP="007322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B25B9" w14:textId="77777777" w:rsidR="00AA20E2" w:rsidRDefault="00AA20E2">
    <w:pPr>
      <w:pStyle w:val="Header"/>
      <w:jc w:val="center"/>
    </w:pPr>
    <w:r>
      <w:rPr>
        <w:rStyle w:val="PageNumber"/>
      </w:rPr>
      <w:fldChar w:fldCharType="begin"/>
    </w:r>
    <w:r>
      <w:rPr>
        <w:rStyle w:val="PageNumber"/>
      </w:rPr>
      <w:instrText xml:space="preserve"> PAGE </w:instrText>
    </w:r>
    <w:r>
      <w:rPr>
        <w:rStyle w:val="PageNumber"/>
      </w:rPr>
      <w:fldChar w:fldCharType="separate"/>
    </w:r>
    <w:r w:rsidR="003961B0">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66639B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F"/>
    <w:multiLevelType w:val="singleLevel"/>
    <w:tmpl w:val="6CB6FD06"/>
    <w:lvl w:ilvl="0">
      <w:start w:val="1"/>
      <w:numFmt w:val="decimal"/>
      <w:pStyle w:val="ListNumber2"/>
      <w:lvlText w:val="%1."/>
      <w:lvlJc w:val="left"/>
      <w:pPr>
        <w:tabs>
          <w:tab w:val="num" w:pos="720"/>
        </w:tabs>
        <w:ind w:left="720" w:hanging="360"/>
      </w:pPr>
    </w:lvl>
  </w:abstractNum>
  <w:abstractNum w:abstractNumId="2" w15:restartNumberingAfterBreak="0">
    <w:nsid w:val="006C6032"/>
    <w:multiLevelType w:val="hybridMultilevel"/>
    <w:tmpl w:val="912CB290"/>
    <w:lvl w:ilvl="0" w:tplc="04325CAC">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3" w15:restartNumberingAfterBreak="0">
    <w:nsid w:val="089733A2"/>
    <w:multiLevelType w:val="multilevel"/>
    <w:tmpl w:val="FDF07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5D6518"/>
    <w:multiLevelType w:val="hybridMultilevel"/>
    <w:tmpl w:val="3B629E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09FC2BD8"/>
    <w:multiLevelType w:val="hybridMultilevel"/>
    <w:tmpl w:val="9552F9FE"/>
    <w:lvl w:ilvl="0" w:tplc="D548ADD6">
      <w:start w:val="1"/>
      <w:numFmt w:val="lowerLetter"/>
      <w:lvlText w:val="(%1)"/>
      <w:lvlJc w:val="left"/>
      <w:pPr>
        <w:ind w:left="1080" w:hanging="360"/>
      </w:pPr>
      <w:rPr>
        <w:rFonts w:hint="default"/>
      </w:rPr>
    </w:lvl>
    <w:lvl w:ilvl="1" w:tplc="10000019">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6" w15:restartNumberingAfterBreak="0">
    <w:nsid w:val="0EC83C71"/>
    <w:multiLevelType w:val="hybridMultilevel"/>
    <w:tmpl w:val="51708712"/>
    <w:lvl w:ilvl="0" w:tplc="4B00994E">
      <w:start w:val="1"/>
      <w:numFmt w:val="decimal"/>
      <w:lvlText w:val="%1."/>
      <w:lvlJc w:val="left"/>
      <w:pPr>
        <w:ind w:left="581" w:hanging="360"/>
      </w:pPr>
      <w:rPr>
        <w:rFonts w:ascii="Book Antiqua" w:eastAsia="Calibri" w:hAnsi="Book Antiqua" w:cs="Times New Roman"/>
      </w:rPr>
    </w:lvl>
    <w:lvl w:ilvl="1" w:tplc="500A0019" w:tentative="1">
      <w:start w:val="1"/>
      <w:numFmt w:val="lowerLetter"/>
      <w:lvlText w:val="%2."/>
      <w:lvlJc w:val="left"/>
      <w:pPr>
        <w:ind w:left="1301" w:hanging="360"/>
      </w:pPr>
    </w:lvl>
    <w:lvl w:ilvl="2" w:tplc="500A001B" w:tentative="1">
      <w:start w:val="1"/>
      <w:numFmt w:val="lowerRoman"/>
      <w:lvlText w:val="%3."/>
      <w:lvlJc w:val="right"/>
      <w:pPr>
        <w:ind w:left="2021" w:hanging="180"/>
      </w:pPr>
    </w:lvl>
    <w:lvl w:ilvl="3" w:tplc="500A000F" w:tentative="1">
      <w:start w:val="1"/>
      <w:numFmt w:val="decimal"/>
      <w:lvlText w:val="%4."/>
      <w:lvlJc w:val="left"/>
      <w:pPr>
        <w:ind w:left="2741" w:hanging="360"/>
      </w:pPr>
    </w:lvl>
    <w:lvl w:ilvl="4" w:tplc="500A0019" w:tentative="1">
      <w:start w:val="1"/>
      <w:numFmt w:val="lowerLetter"/>
      <w:lvlText w:val="%5."/>
      <w:lvlJc w:val="left"/>
      <w:pPr>
        <w:ind w:left="3461" w:hanging="360"/>
      </w:pPr>
    </w:lvl>
    <w:lvl w:ilvl="5" w:tplc="500A001B" w:tentative="1">
      <w:start w:val="1"/>
      <w:numFmt w:val="lowerRoman"/>
      <w:lvlText w:val="%6."/>
      <w:lvlJc w:val="right"/>
      <w:pPr>
        <w:ind w:left="4181" w:hanging="180"/>
      </w:pPr>
    </w:lvl>
    <w:lvl w:ilvl="6" w:tplc="500A000F" w:tentative="1">
      <w:start w:val="1"/>
      <w:numFmt w:val="decimal"/>
      <w:lvlText w:val="%7."/>
      <w:lvlJc w:val="left"/>
      <w:pPr>
        <w:ind w:left="4901" w:hanging="360"/>
      </w:pPr>
    </w:lvl>
    <w:lvl w:ilvl="7" w:tplc="500A0019" w:tentative="1">
      <w:start w:val="1"/>
      <w:numFmt w:val="lowerLetter"/>
      <w:lvlText w:val="%8."/>
      <w:lvlJc w:val="left"/>
      <w:pPr>
        <w:ind w:left="5621" w:hanging="360"/>
      </w:pPr>
    </w:lvl>
    <w:lvl w:ilvl="8" w:tplc="500A001B" w:tentative="1">
      <w:start w:val="1"/>
      <w:numFmt w:val="lowerRoman"/>
      <w:lvlText w:val="%9."/>
      <w:lvlJc w:val="right"/>
      <w:pPr>
        <w:ind w:left="6341" w:hanging="180"/>
      </w:pPr>
    </w:lvl>
  </w:abstractNum>
  <w:abstractNum w:abstractNumId="7" w15:restartNumberingAfterBreak="0">
    <w:nsid w:val="1076277E"/>
    <w:multiLevelType w:val="hybridMultilevel"/>
    <w:tmpl w:val="A3F454A0"/>
    <w:lvl w:ilvl="0" w:tplc="8820CD70">
      <w:start w:val="1"/>
      <w:numFmt w:val="lowerLetter"/>
      <w:lvlText w:val="(%1)"/>
      <w:lvlJc w:val="left"/>
      <w:pPr>
        <w:tabs>
          <w:tab w:val="num" w:pos="2700"/>
        </w:tabs>
        <w:ind w:left="270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B3C0E27"/>
    <w:multiLevelType w:val="multilevel"/>
    <w:tmpl w:val="362C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CB3DF9"/>
    <w:multiLevelType w:val="hybridMultilevel"/>
    <w:tmpl w:val="CF581C36"/>
    <w:lvl w:ilvl="0" w:tplc="B42C7E12">
      <w:start w:val="1"/>
      <w:numFmt w:val="upperLetter"/>
      <w:lvlText w:val="%1."/>
      <w:lvlJc w:val="left"/>
      <w:pPr>
        <w:tabs>
          <w:tab w:val="num" w:pos="1980"/>
        </w:tabs>
        <w:ind w:left="1980" w:hanging="360"/>
      </w:pPr>
      <w:rPr>
        <w:rFonts w:hint="default"/>
        <w:i/>
      </w:rPr>
    </w:lvl>
    <w:lvl w:ilvl="1" w:tplc="04090019">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10" w15:restartNumberingAfterBreak="0">
    <w:nsid w:val="1FA236C4"/>
    <w:multiLevelType w:val="hybridMultilevel"/>
    <w:tmpl w:val="3C84272E"/>
    <w:lvl w:ilvl="0" w:tplc="AFB2ED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2373F15"/>
    <w:multiLevelType w:val="hybridMultilevel"/>
    <w:tmpl w:val="E160B656"/>
    <w:lvl w:ilvl="0" w:tplc="B8C62F0A">
      <w:start w:val="1"/>
      <w:numFmt w:val="lowerLetter"/>
      <w:lvlText w:val="(%1)"/>
      <w:lvlJc w:val="left"/>
      <w:pPr>
        <w:ind w:left="1080" w:hanging="72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A361F9"/>
    <w:multiLevelType w:val="hybridMultilevel"/>
    <w:tmpl w:val="AA424930"/>
    <w:lvl w:ilvl="0" w:tplc="04090017">
      <w:start w:val="1"/>
      <w:numFmt w:val="lowerLetter"/>
      <w:lvlText w:val="%1)"/>
      <w:lvlJc w:val="left"/>
      <w:pPr>
        <w:ind w:left="2484" w:hanging="360"/>
      </w:pPr>
    </w:lvl>
    <w:lvl w:ilvl="1" w:tplc="04090019" w:tentative="1">
      <w:start w:val="1"/>
      <w:numFmt w:val="lowerLetter"/>
      <w:lvlText w:val="%2."/>
      <w:lvlJc w:val="left"/>
      <w:pPr>
        <w:ind w:left="3204" w:hanging="360"/>
      </w:pPr>
    </w:lvl>
    <w:lvl w:ilvl="2" w:tplc="0409001B" w:tentative="1">
      <w:start w:val="1"/>
      <w:numFmt w:val="lowerRoman"/>
      <w:lvlText w:val="%3."/>
      <w:lvlJc w:val="right"/>
      <w:pPr>
        <w:ind w:left="3924" w:hanging="180"/>
      </w:pPr>
    </w:lvl>
    <w:lvl w:ilvl="3" w:tplc="0409000F" w:tentative="1">
      <w:start w:val="1"/>
      <w:numFmt w:val="decimal"/>
      <w:lvlText w:val="%4."/>
      <w:lvlJc w:val="left"/>
      <w:pPr>
        <w:ind w:left="4644" w:hanging="360"/>
      </w:pPr>
    </w:lvl>
    <w:lvl w:ilvl="4" w:tplc="04090019" w:tentative="1">
      <w:start w:val="1"/>
      <w:numFmt w:val="lowerLetter"/>
      <w:lvlText w:val="%5."/>
      <w:lvlJc w:val="left"/>
      <w:pPr>
        <w:ind w:left="5364" w:hanging="360"/>
      </w:pPr>
    </w:lvl>
    <w:lvl w:ilvl="5" w:tplc="0409001B" w:tentative="1">
      <w:start w:val="1"/>
      <w:numFmt w:val="lowerRoman"/>
      <w:lvlText w:val="%6."/>
      <w:lvlJc w:val="right"/>
      <w:pPr>
        <w:ind w:left="6084" w:hanging="180"/>
      </w:pPr>
    </w:lvl>
    <w:lvl w:ilvl="6" w:tplc="0409000F" w:tentative="1">
      <w:start w:val="1"/>
      <w:numFmt w:val="decimal"/>
      <w:lvlText w:val="%7."/>
      <w:lvlJc w:val="left"/>
      <w:pPr>
        <w:ind w:left="6804" w:hanging="360"/>
      </w:pPr>
    </w:lvl>
    <w:lvl w:ilvl="7" w:tplc="04090019" w:tentative="1">
      <w:start w:val="1"/>
      <w:numFmt w:val="lowerLetter"/>
      <w:lvlText w:val="%8."/>
      <w:lvlJc w:val="left"/>
      <w:pPr>
        <w:ind w:left="7524" w:hanging="360"/>
      </w:pPr>
    </w:lvl>
    <w:lvl w:ilvl="8" w:tplc="0409001B" w:tentative="1">
      <w:start w:val="1"/>
      <w:numFmt w:val="lowerRoman"/>
      <w:lvlText w:val="%9."/>
      <w:lvlJc w:val="right"/>
      <w:pPr>
        <w:ind w:left="8244" w:hanging="180"/>
      </w:pPr>
    </w:lvl>
  </w:abstractNum>
  <w:abstractNum w:abstractNumId="13" w15:restartNumberingAfterBreak="0">
    <w:nsid w:val="2E0D6C63"/>
    <w:multiLevelType w:val="multilevel"/>
    <w:tmpl w:val="DF0EA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EF72C4"/>
    <w:multiLevelType w:val="hybridMultilevel"/>
    <w:tmpl w:val="19786288"/>
    <w:lvl w:ilvl="0" w:tplc="4E6A9588">
      <w:start w:val="1"/>
      <w:numFmt w:val="lowerLetter"/>
      <w:lvlText w:val="(%1)"/>
      <w:lvlJc w:val="left"/>
      <w:pPr>
        <w:ind w:left="2136" w:hanging="660"/>
      </w:pPr>
      <w:rPr>
        <w:rFonts w:hint="default"/>
      </w:rPr>
    </w:lvl>
    <w:lvl w:ilvl="1" w:tplc="04090019" w:tentative="1">
      <w:start w:val="1"/>
      <w:numFmt w:val="lowerLetter"/>
      <w:lvlText w:val="%2."/>
      <w:lvlJc w:val="left"/>
      <w:pPr>
        <w:ind w:left="2556" w:hanging="360"/>
      </w:pPr>
    </w:lvl>
    <w:lvl w:ilvl="2" w:tplc="0409001B" w:tentative="1">
      <w:start w:val="1"/>
      <w:numFmt w:val="lowerRoman"/>
      <w:lvlText w:val="%3."/>
      <w:lvlJc w:val="right"/>
      <w:pPr>
        <w:ind w:left="3276" w:hanging="180"/>
      </w:pPr>
    </w:lvl>
    <w:lvl w:ilvl="3" w:tplc="0409000F" w:tentative="1">
      <w:start w:val="1"/>
      <w:numFmt w:val="decimal"/>
      <w:lvlText w:val="%4."/>
      <w:lvlJc w:val="left"/>
      <w:pPr>
        <w:ind w:left="3996" w:hanging="360"/>
      </w:pPr>
    </w:lvl>
    <w:lvl w:ilvl="4" w:tplc="04090019" w:tentative="1">
      <w:start w:val="1"/>
      <w:numFmt w:val="lowerLetter"/>
      <w:lvlText w:val="%5."/>
      <w:lvlJc w:val="left"/>
      <w:pPr>
        <w:ind w:left="4716" w:hanging="360"/>
      </w:pPr>
    </w:lvl>
    <w:lvl w:ilvl="5" w:tplc="0409001B" w:tentative="1">
      <w:start w:val="1"/>
      <w:numFmt w:val="lowerRoman"/>
      <w:lvlText w:val="%6."/>
      <w:lvlJc w:val="right"/>
      <w:pPr>
        <w:ind w:left="5436" w:hanging="180"/>
      </w:pPr>
    </w:lvl>
    <w:lvl w:ilvl="6" w:tplc="0409000F" w:tentative="1">
      <w:start w:val="1"/>
      <w:numFmt w:val="decimal"/>
      <w:lvlText w:val="%7."/>
      <w:lvlJc w:val="left"/>
      <w:pPr>
        <w:ind w:left="6156" w:hanging="360"/>
      </w:pPr>
    </w:lvl>
    <w:lvl w:ilvl="7" w:tplc="04090019" w:tentative="1">
      <w:start w:val="1"/>
      <w:numFmt w:val="lowerLetter"/>
      <w:lvlText w:val="%8."/>
      <w:lvlJc w:val="left"/>
      <w:pPr>
        <w:ind w:left="6876" w:hanging="360"/>
      </w:pPr>
    </w:lvl>
    <w:lvl w:ilvl="8" w:tplc="0409001B" w:tentative="1">
      <w:start w:val="1"/>
      <w:numFmt w:val="lowerRoman"/>
      <w:lvlText w:val="%9."/>
      <w:lvlJc w:val="right"/>
      <w:pPr>
        <w:ind w:left="7596" w:hanging="180"/>
      </w:pPr>
    </w:lvl>
  </w:abstractNum>
  <w:abstractNum w:abstractNumId="15" w15:restartNumberingAfterBreak="0">
    <w:nsid w:val="35A10E91"/>
    <w:multiLevelType w:val="multilevel"/>
    <w:tmpl w:val="F6360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4A0D78"/>
    <w:multiLevelType w:val="multilevel"/>
    <w:tmpl w:val="CBCE4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635D47"/>
    <w:multiLevelType w:val="multilevel"/>
    <w:tmpl w:val="7F102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25485D"/>
    <w:multiLevelType w:val="hybridMultilevel"/>
    <w:tmpl w:val="BC62951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909105B"/>
    <w:multiLevelType w:val="multilevel"/>
    <w:tmpl w:val="71FC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E06A56"/>
    <w:multiLevelType w:val="hybridMultilevel"/>
    <w:tmpl w:val="5AECA386"/>
    <w:lvl w:ilvl="0" w:tplc="5C34B864">
      <w:start w:val="1"/>
      <w:numFmt w:val="lowerLetter"/>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21" w15:restartNumberingAfterBreak="0">
    <w:nsid w:val="50116954"/>
    <w:multiLevelType w:val="multilevel"/>
    <w:tmpl w:val="2458A5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9A2685"/>
    <w:multiLevelType w:val="hybridMultilevel"/>
    <w:tmpl w:val="644AF682"/>
    <w:lvl w:ilvl="0" w:tplc="F9385B34">
      <w:start w:val="1"/>
      <w:numFmt w:val="lowerLetter"/>
      <w:lvlText w:val="(%1)"/>
      <w:lvlJc w:val="left"/>
      <w:pPr>
        <w:ind w:left="2160" w:hanging="14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D6774B8"/>
    <w:multiLevelType w:val="multilevel"/>
    <w:tmpl w:val="10D6289E"/>
    <w:lvl w:ilvl="0">
      <w:start w:val="1"/>
      <w:numFmt w:val="bullet"/>
      <w:pStyle w:val="ListBullet"/>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613B6D9E"/>
    <w:multiLevelType w:val="multilevel"/>
    <w:tmpl w:val="30B29C84"/>
    <w:lvl w:ilvl="0">
      <w:start w:val="1"/>
      <w:numFmt w:val="bullet"/>
      <w:lvlText w:val=""/>
      <w:lvlJc w:val="left"/>
      <w:pPr>
        <w:tabs>
          <w:tab w:val="num" w:pos="810"/>
        </w:tabs>
        <w:ind w:left="810" w:hanging="360"/>
      </w:pPr>
      <w:rPr>
        <w:rFonts w:ascii="Wingdings" w:hAnsi="Wingdings" w:hint="default"/>
        <w:sz w:val="20"/>
      </w:rPr>
    </w:lvl>
    <w:lvl w:ilvl="1" w:tentative="1">
      <w:start w:val="1"/>
      <w:numFmt w:val="bullet"/>
      <w:lvlText w:val=""/>
      <w:lvlJc w:val="left"/>
      <w:pPr>
        <w:tabs>
          <w:tab w:val="num" w:pos="1530"/>
        </w:tabs>
        <w:ind w:left="1530" w:hanging="360"/>
      </w:pPr>
      <w:rPr>
        <w:rFonts w:ascii="Wingdings" w:hAnsi="Wingdings" w:hint="default"/>
        <w:sz w:val="20"/>
      </w:rPr>
    </w:lvl>
    <w:lvl w:ilvl="2" w:tentative="1">
      <w:start w:val="1"/>
      <w:numFmt w:val="bullet"/>
      <w:lvlText w:val=""/>
      <w:lvlJc w:val="left"/>
      <w:pPr>
        <w:tabs>
          <w:tab w:val="num" w:pos="2250"/>
        </w:tabs>
        <w:ind w:left="2250" w:hanging="360"/>
      </w:pPr>
      <w:rPr>
        <w:rFonts w:ascii="Wingdings" w:hAnsi="Wingdings" w:hint="default"/>
        <w:sz w:val="20"/>
      </w:rPr>
    </w:lvl>
    <w:lvl w:ilvl="3" w:tentative="1">
      <w:start w:val="1"/>
      <w:numFmt w:val="bullet"/>
      <w:lvlText w:val=""/>
      <w:lvlJc w:val="left"/>
      <w:pPr>
        <w:tabs>
          <w:tab w:val="num" w:pos="2970"/>
        </w:tabs>
        <w:ind w:left="2970" w:hanging="360"/>
      </w:pPr>
      <w:rPr>
        <w:rFonts w:ascii="Wingdings" w:hAnsi="Wingdings" w:hint="default"/>
        <w:sz w:val="20"/>
      </w:rPr>
    </w:lvl>
    <w:lvl w:ilvl="4" w:tentative="1">
      <w:start w:val="1"/>
      <w:numFmt w:val="bullet"/>
      <w:lvlText w:val=""/>
      <w:lvlJc w:val="left"/>
      <w:pPr>
        <w:tabs>
          <w:tab w:val="num" w:pos="3690"/>
        </w:tabs>
        <w:ind w:left="3690" w:hanging="360"/>
      </w:pPr>
      <w:rPr>
        <w:rFonts w:ascii="Wingdings" w:hAnsi="Wingdings" w:hint="default"/>
        <w:sz w:val="20"/>
      </w:rPr>
    </w:lvl>
    <w:lvl w:ilvl="5" w:tentative="1">
      <w:start w:val="1"/>
      <w:numFmt w:val="bullet"/>
      <w:lvlText w:val=""/>
      <w:lvlJc w:val="left"/>
      <w:pPr>
        <w:tabs>
          <w:tab w:val="num" w:pos="4410"/>
        </w:tabs>
        <w:ind w:left="4410" w:hanging="360"/>
      </w:pPr>
      <w:rPr>
        <w:rFonts w:ascii="Wingdings" w:hAnsi="Wingdings" w:hint="default"/>
        <w:sz w:val="20"/>
      </w:rPr>
    </w:lvl>
    <w:lvl w:ilvl="6" w:tentative="1">
      <w:start w:val="1"/>
      <w:numFmt w:val="bullet"/>
      <w:lvlText w:val=""/>
      <w:lvlJc w:val="left"/>
      <w:pPr>
        <w:tabs>
          <w:tab w:val="num" w:pos="5130"/>
        </w:tabs>
        <w:ind w:left="5130" w:hanging="360"/>
      </w:pPr>
      <w:rPr>
        <w:rFonts w:ascii="Wingdings" w:hAnsi="Wingdings" w:hint="default"/>
        <w:sz w:val="20"/>
      </w:rPr>
    </w:lvl>
    <w:lvl w:ilvl="7" w:tentative="1">
      <w:start w:val="1"/>
      <w:numFmt w:val="bullet"/>
      <w:lvlText w:val=""/>
      <w:lvlJc w:val="left"/>
      <w:pPr>
        <w:tabs>
          <w:tab w:val="num" w:pos="5850"/>
        </w:tabs>
        <w:ind w:left="5850" w:hanging="360"/>
      </w:pPr>
      <w:rPr>
        <w:rFonts w:ascii="Wingdings" w:hAnsi="Wingdings" w:hint="default"/>
        <w:sz w:val="20"/>
      </w:rPr>
    </w:lvl>
    <w:lvl w:ilvl="8" w:tentative="1">
      <w:start w:val="1"/>
      <w:numFmt w:val="bullet"/>
      <w:lvlText w:val=""/>
      <w:lvlJc w:val="left"/>
      <w:pPr>
        <w:tabs>
          <w:tab w:val="num" w:pos="6570"/>
        </w:tabs>
        <w:ind w:left="6570" w:hanging="360"/>
      </w:pPr>
      <w:rPr>
        <w:rFonts w:ascii="Wingdings" w:hAnsi="Wingdings" w:hint="default"/>
        <w:sz w:val="20"/>
      </w:rPr>
    </w:lvl>
  </w:abstractNum>
  <w:abstractNum w:abstractNumId="25" w15:restartNumberingAfterBreak="0">
    <w:nsid w:val="64380B01"/>
    <w:multiLevelType w:val="hybridMultilevel"/>
    <w:tmpl w:val="7C78A896"/>
    <w:lvl w:ilvl="0" w:tplc="0534023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69F3220"/>
    <w:multiLevelType w:val="multilevel"/>
    <w:tmpl w:val="7CAE9C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B74AC7"/>
    <w:multiLevelType w:val="hybridMultilevel"/>
    <w:tmpl w:val="9552F9FE"/>
    <w:lvl w:ilvl="0" w:tplc="D548ADD6">
      <w:start w:val="1"/>
      <w:numFmt w:val="lowerLetter"/>
      <w:lvlText w:val="(%1)"/>
      <w:lvlJc w:val="left"/>
      <w:pPr>
        <w:ind w:left="1080" w:hanging="360"/>
      </w:pPr>
      <w:rPr>
        <w:rFonts w:hint="default"/>
      </w:rPr>
    </w:lvl>
    <w:lvl w:ilvl="1" w:tplc="10000019">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28" w15:restartNumberingAfterBreak="0">
    <w:nsid w:val="739D2099"/>
    <w:multiLevelType w:val="hybridMultilevel"/>
    <w:tmpl w:val="C332E23A"/>
    <w:lvl w:ilvl="0" w:tplc="752C7ED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3FA1A3E"/>
    <w:multiLevelType w:val="hybridMultilevel"/>
    <w:tmpl w:val="CF581C36"/>
    <w:lvl w:ilvl="0" w:tplc="B42C7E12">
      <w:start w:val="1"/>
      <w:numFmt w:val="upperLetter"/>
      <w:lvlText w:val="%1."/>
      <w:lvlJc w:val="left"/>
      <w:pPr>
        <w:tabs>
          <w:tab w:val="num" w:pos="1980"/>
        </w:tabs>
        <w:ind w:left="1980" w:hanging="360"/>
      </w:pPr>
      <w:rPr>
        <w:rFonts w:hint="default"/>
        <w:i/>
      </w:rPr>
    </w:lvl>
    <w:lvl w:ilvl="1" w:tplc="04090019">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30" w15:restartNumberingAfterBreak="0">
    <w:nsid w:val="74EB2165"/>
    <w:multiLevelType w:val="multilevel"/>
    <w:tmpl w:val="B6C4F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6654C43"/>
    <w:multiLevelType w:val="hybridMultilevel"/>
    <w:tmpl w:val="FC4EC2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8040BBE"/>
    <w:multiLevelType w:val="hybridMultilevel"/>
    <w:tmpl w:val="31CCD412"/>
    <w:lvl w:ilvl="0" w:tplc="55B203F6">
      <w:start w:val="1"/>
      <w:numFmt w:val="decimal"/>
      <w:lvlText w:val="(%1)"/>
      <w:lvlJc w:val="left"/>
      <w:pPr>
        <w:ind w:left="1230" w:hanging="8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2018C7"/>
    <w:multiLevelType w:val="multilevel"/>
    <w:tmpl w:val="761CAF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6402E7"/>
    <w:multiLevelType w:val="hybridMultilevel"/>
    <w:tmpl w:val="7E305F40"/>
    <w:lvl w:ilvl="0" w:tplc="10FA9E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E140970"/>
    <w:multiLevelType w:val="hybridMultilevel"/>
    <w:tmpl w:val="BE3A4500"/>
    <w:lvl w:ilvl="0" w:tplc="D8C81C08">
      <w:start w:val="1"/>
      <w:numFmt w:val="decimal"/>
      <w:lvlText w:val="(%1)"/>
      <w:lvlJc w:val="left"/>
      <w:pPr>
        <w:ind w:left="2496" w:hanging="360"/>
      </w:pPr>
      <w:rPr>
        <w:rFonts w:hint="default"/>
      </w:rPr>
    </w:lvl>
    <w:lvl w:ilvl="1" w:tplc="04090019" w:tentative="1">
      <w:start w:val="1"/>
      <w:numFmt w:val="lowerLetter"/>
      <w:lvlText w:val="%2."/>
      <w:lvlJc w:val="left"/>
      <w:pPr>
        <w:ind w:left="3216" w:hanging="360"/>
      </w:pPr>
    </w:lvl>
    <w:lvl w:ilvl="2" w:tplc="0409001B" w:tentative="1">
      <w:start w:val="1"/>
      <w:numFmt w:val="lowerRoman"/>
      <w:lvlText w:val="%3."/>
      <w:lvlJc w:val="right"/>
      <w:pPr>
        <w:ind w:left="3936" w:hanging="180"/>
      </w:pPr>
    </w:lvl>
    <w:lvl w:ilvl="3" w:tplc="0409000F" w:tentative="1">
      <w:start w:val="1"/>
      <w:numFmt w:val="decimal"/>
      <w:lvlText w:val="%4."/>
      <w:lvlJc w:val="left"/>
      <w:pPr>
        <w:ind w:left="4656" w:hanging="360"/>
      </w:pPr>
    </w:lvl>
    <w:lvl w:ilvl="4" w:tplc="04090019" w:tentative="1">
      <w:start w:val="1"/>
      <w:numFmt w:val="lowerLetter"/>
      <w:lvlText w:val="%5."/>
      <w:lvlJc w:val="left"/>
      <w:pPr>
        <w:ind w:left="5376" w:hanging="360"/>
      </w:pPr>
    </w:lvl>
    <w:lvl w:ilvl="5" w:tplc="0409001B" w:tentative="1">
      <w:start w:val="1"/>
      <w:numFmt w:val="lowerRoman"/>
      <w:lvlText w:val="%6."/>
      <w:lvlJc w:val="right"/>
      <w:pPr>
        <w:ind w:left="6096" w:hanging="180"/>
      </w:pPr>
    </w:lvl>
    <w:lvl w:ilvl="6" w:tplc="0409000F" w:tentative="1">
      <w:start w:val="1"/>
      <w:numFmt w:val="decimal"/>
      <w:lvlText w:val="%7."/>
      <w:lvlJc w:val="left"/>
      <w:pPr>
        <w:ind w:left="6816" w:hanging="360"/>
      </w:pPr>
    </w:lvl>
    <w:lvl w:ilvl="7" w:tplc="04090019" w:tentative="1">
      <w:start w:val="1"/>
      <w:numFmt w:val="lowerLetter"/>
      <w:lvlText w:val="%8."/>
      <w:lvlJc w:val="left"/>
      <w:pPr>
        <w:ind w:left="7536" w:hanging="360"/>
      </w:pPr>
    </w:lvl>
    <w:lvl w:ilvl="8" w:tplc="0409001B" w:tentative="1">
      <w:start w:val="1"/>
      <w:numFmt w:val="lowerRoman"/>
      <w:lvlText w:val="%9."/>
      <w:lvlJc w:val="right"/>
      <w:pPr>
        <w:ind w:left="8256" w:hanging="180"/>
      </w:pPr>
    </w:lvl>
  </w:abstractNum>
  <w:abstractNum w:abstractNumId="36" w15:restartNumberingAfterBreak="0">
    <w:nsid w:val="7E263B4D"/>
    <w:multiLevelType w:val="hybridMultilevel"/>
    <w:tmpl w:val="52749D68"/>
    <w:lvl w:ilvl="0" w:tplc="21CC0234">
      <w:start w:val="1"/>
      <w:numFmt w:val="lowerLetter"/>
      <w:lvlText w:val="(%1)"/>
      <w:lvlJc w:val="left"/>
      <w:pPr>
        <w:tabs>
          <w:tab w:val="num" w:pos="1440"/>
        </w:tabs>
        <w:ind w:left="1440" w:hanging="720"/>
      </w:pPr>
      <w:rPr>
        <w:rFonts w:hint="default"/>
        <w:i w:val="0"/>
        <w:strike w:val="0"/>
        <w:u w:val="none"/>
      </w:rPr>
    </w:lvl>
    <w:lvl w:ilvl="1" w:tplc="C3E85792">
      <w:start w:val="1"/>
      <w:numFmt w:val="decimal"/>
      <w:lvlText w:val="(%2)"/>
      <w:lvlJc w:val="left"/>
      <w:pPr>
        <w:tabs>
          <w:tab w:val="num" w:pos="2160"/>
        </w:tabs>
        <w:ind w:left="2160" w:hanging="720"/>
      </w:pPr>
      <w:rPr>
        <w:rFonts w:hint="default"/>
        <w:i w:val="0"/>
        <w:u w:val="none"/>
      </w:rPr>
    </w:lvl>
    <w:lvl w:ilvl="2" w:tplc="94A4BEF2">
      <w:start w:val="4"/>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211692295">
    <w:abstractNumId w:val="31"/>
  </w:num>
  <w:num w:numId="2" w16cid:durableId="2004624174">
    <w:abstractNumId w:val="32"/>
  </w:num>
  <w:num w:numId="3" w16cid:durableId="1100375989">
    <w:abstractNumId w:val="18"/>
  </w:num>
  <w:num w:numId="4" w16cid:durableId="1269970472">
    <w:abstractNumId w:val="3"/>
  </w:num>
  <w:num w:numId="5" w16cid:durableId="1301767725">
    <w:abstractNumId w:val="16"/>
  </w:num>
  <w:num w:numId="6" w16cid:durableId="319963102">
    <w:abstractNumId w:val="21"/>
  </w:num>
  <w:num w:numId="7" w16cid:durableId="1909143323">
    <w:abstractNumId w:val="26"/>
  </w:num>
  <w:num w:numId="8" w16cid:durableId="1163158521">
    <w:abstractNumId w:val="24"/>
  </w:num>
  <w:num w:numId="9" w16cid:durableId="195315591">
    <w:abstractNumId w:val="33"/>
  </w:num>
  <w:num w:numId="10" w16cid:durableId="1499227123">
    <w:abstractNumId w:val="13"/>
  </w:num>
  <w:num w:numId="11" w16cid:durableId="559557561">
    <w:abstractNumId w:val="19"/>
  </w:num>
  <w:num w:numId="12" w16cid:durableId="330333637">
    <w:abstractNumId w:val="17"/>
  </w:num>
  <w:num w:numId="13" w16cid:durableId="901256267">
    <w:abstractNumId w:val="30"/>
  </w:num>
  <w:num w:numId="14" w16cid:durableId="599220001">
    <w:abstractNumId w:val="15"/>
  </w:num>
  <w:num w:numId="15" w16cid:durableId="1141770348">
    <w:abstractNumId w:val="8"/>
  </w:num>
  <w:num w:numId="16" w16cid:durableId="1121418686">
    <w:abstractNumId w:val="7"/>
  </w:num>
  <w:num w:numId="17" w16cid:durableId="616177134">
    <w:abstractNumId w:val="36"/>
  </w:num>
  <w:num w:numId="18" w16cid:durableId="1620381050">
    <w:abstractNumId w:val="9"/>
  </w:num>
  <w:num w:numId="19" w16cid:durableId="1107047687">
    <w:abstractNumId w:val="29"/>
  </w:num>
  <w:num w:numId="20" w16cid:durableId="1190309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89236583">
    <w:abstractNumId w:val="14"/>
  </w:num>
  <w:num w:numId="22" w16cid:durableId="1281035732">
    <w:abstractNumId w:val="35"/>
  </w:num>
  <w:num w:numId="23" w16cid:durableId="743989653">
    <w:abstractNumId w:val="4"/>
  </w:num>
  <w:num w:numId="24" w16cid:durableId="1308050891">
    <w:abstractNumId w:val="12"/>
  </w:num>
  <w:num w:numId="25" w16cid:durableId="1306086149">
    <w:abstractNumId w:val="11"/>
  </w:num>
  <w:num w:numId="26" w16cid:durableId="1405643257">
    <w:abstractNumId w:val="34"/>
  </w:num>
  <w:num w:numId="27" w16cid:durableId="1164855095">
    <w:abstractNumId w:val="25"/>
  </w:num>
  <w:num w:numId="28" w16cid:durableId="1038509255">
    <w:abstractNumId w:val="22"/>
  </w:num>
  <w:num w:numId="29" w16cid:durableId="1881044424">
    <w:abstractNumId w:val="23"/>
  </w:num>
  <w:num w:numId="30" w16cid:durableId="1198665158">
    <w:abstractNumId w:val="0"/>
  </w:num>
  <w:num w:numId="31" w16cid:durableId="1113477243">
    <w:abstractNumId w:val="20"/>
  </w:num>
  <w:num w:numId="32" w16cid:durableId="1476609504">
    <w:abstractNumId w:val="2"/>
  </w:num>
  <w:num w:numId="33" w16cid:durableId="1401900498">
    <w:abstractNumId w:val="27"/>
  </w:num>
  <w:num w:numId="34" w16cid:durableId="790517048">
    <w:abstractNumId w:val="5"/>
  </w:num>
  <w:num w:numId="35" w16cid:durableId="203251046">
    <w:abstractNumId w:val="28"/>
  </w:num>
  <w:num w:numId="36" w16cid:durableId="1578395701">
    <w:abstractNumId w:val="10"/>
  </w:num>
  <w:num w:numId="37" w16cid:durableId="161286067">
    <w:abstractNumId w:val="1"/>
  </w:num>
  <w:num w:numId="38" w16cid:durableId="2780278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C5C"/>
    <w:rsid w:val="00000F6C"/>
    <w:rsid w:val="000045FA"/>
    <w:rsid w:val="000047A9"/>
    <w:rsid w:val="00005F39"/>
    <w:rsid w:val="00006C0A"/>
    <w:rsid w:val="000101AD"/>
    <w:rsid w:val="0001351A"/>
    <w:rsid w:val="00015D5D"/>
    <w:rsid w:val="00017D51"/>
    <w:rsid w:val="00021657"/>
    <w:rsid w:val="0002776D"/>
    <w:rsid w:val="00027F6F"/>
    <w:rsid w:val="00027FC2"/>
    <w:rsid w:val="000321E6"/>
    <w:rsid w:val="0003391A"/>
    <w:rsid w:val="00035258"/>
    <w:rsid w:val="00046098"/>
    <w:rsid w:val="0004665F"/>
    <w:rsid w:val="00050570"/>
    <w:rsid w:val="00050C6C"/>
    <w:rsid w:val="00050F74"/>
    <w:rsid w:val="0005116C"/>
    <w:rsid w:val="00053394"/>
    <w:rsid w:val="000543EF"/>
    <w:rsid w:val="000620DE"/>
    <w:rsid w:val="000755F1"/>
    <w:rsid w:val="00075AA1"/>
    <w:rsid w:val="00083405"/>
    <w:rsid w:val="000876E0"/>
    <w:rsid w:val="000876EC"/>
    <w:rsid w:val="00090930"/>
    <w:rsid w:val="000914F7"/>
    <w:rsid w:val="00092455"/>
    <w:rsid w:val="00097588"/>
    <w:rsid w:val="00097BD7"/>
    <w:rsid w:val="00097E32"/>
    <w:rsid w:val="000A0741"/>
    <w:rsid w:val="000A0A20"/>
    <w:rsid w:val="000A4442"/>
    <w:rsid w:val="000B0F28"/>
    <w:rsid w:val="000B237D"/>
    <w:rsid w:val="000B2D10"/>
    <w:rsid w:val="000B4917"/>
    <w:rsid w:val="000B5742"/>
    <w:rsid w:val="000B5EF9"/>
    <w:rsid w:val="000C0D41"/>
    <w:rsid w:val="000C0F87"/>
    <w:rsid w:val="000C6465"/>
    <w:rsid w:val="000C7007"/>
    <w:rsid w:val="000D0F56"/>
    <w:rsid w:val="000D4AB0"/>
    <w:rsid w:val="000D7667"/>
    <w:rsid w:val="000E1D7A"/>
    <w:rsid w:val="000E1DD3"/>
    <w:rsid w:val="000E2E6C"/>
    <w:rsid w:val="000E3BCB"/>
    <w:rsid w:val="000E50AD"/>
    <w:rsid w:val="000F0F0F"/>
    <w:rsid w:val="000F44C6"/>
    <w:rsid w:val="000F455C"/>
    <w:rsid w:val="000F6A09"/>
    <w:rsid w:val="0010083A"/>
    <w:rsid w:val="00100C68"/>
    <w:rsid w:val="001020DA"/>
    <w:rsid w:val="00103C5B"/>
    <w:rsid w:val="00107049"/>
    <w:rsid w:val="00113550"/>
    <w:rsid w:val="00113864"/>
    <w:rsid w:val="001144FC"/>
    <w:rsid w:val="00114FE7"/>
    <w:rsid w:val="001205F3"/>
    <w:rsid w:val="00122BA7"/>
    <w:rsid w:val="001266BC"/>
    <w:rsid w:val="001358A8"/>
    <w:rsid w:val="00141D55"/>
    <w:rsid w:val="00144596"/>
    <w:rsid w:val="00144C28"/>
    <w:rsid w:val="00147B22"/>
    <w:rsid w:val="00150298"/>
    <w:rsid w:val="00150C7B"/>
    <w:rsid w:val="00150E2E"/>
    <w:rsid w:val="001533A3"/>
    <w:rsid w:val="00153998"/>
    <w:rsid w:val="00153A92"/>
    <w:rsid w:val="001556E2"/>
    <w:rsid w:val="00155E2C"/>
    <w:rsid w:val="00160979"/>
    <w:rsid w:val="001624C6"/>
    <w:rsid w:val="001638C2"/>
    <w:rsid w:val="001642A6"/>
    <w:rsid w:val="00166E17"/>
    <w:rsid w:val="001713F9"/>
    <w:rsid w:val="00172086"/>
    <w:rsid w:val="00172B61"/>
    <w:rsid w:val="00173217"/>
    <w:rsid w:val="00176E61"/>
    <w:rsid w:val="0018057C"/>
    <w:rsid w:val="001826F9"/>
    <w:rsid w:val="001827D8"/>
    <w:rsid w:val="0018784F"/>
    <w:rsid w:val="001901D3"/>
    <w:rsid w:val="00192D7E"/>
    <w:rsid w:val="00193DA6"/>
    <w:rsid w:val="0019586E"/>
    <w:rsid w:val="00195BF3"/>
    <w:rsid w:val="001971C6"/>
    <w:rsid w:val="001A192F"/>
    <w:rsid w:val="001A1CC0"/>
    <w:rsid w:val="001A3163"/>
    <w:rsid w:val="001A5C1A"/>
    <w:rsid w:val="001B0FEE"/>
    <w:rsid w:val="001B233F"/>
    <w:rsid w:val="001B3DFC"/>
    <w:rsid w:val="001B6463"/>
    <w:rsid w:val="001B6600"/>
    <w:rsid w:val="001B729A"/>
    <w:rsid w:val="001C1099"/>
    <w:rsid w:val="001C1986"/>
    <w:rsid w:val="001C703F"/>
    <w:rsid w:val="001C764E"/>
    <w:rsid w:val="001D0273"/>
    <w:rsid w:val="001D061F"/>
    <w:rsid w:val="001D5B22"/>
    <w:rsid w:val="001F0D75"/>
    <w:rsid w:val="001F20DD"/>
    <w:rsid w:val="001F2D7A"/>
    <w:rsid w:val="001F5945"/>
    <w:rsid w:val="00202F66"/>
    <w:rsid w:val="002037D3"/>
    <w:rsid w:val="0020446E"/>
    <w:rsid w:val="00211FF5"/>
    <w:rsid w:val="00212FFD"/>
    <w:rsid w:val="00213131"/>
    <w:rsid w:val="002136E6"/>
    <w:rsid w:val="002148C1"/>
    <w:rsid w:val="002201F5"/>
    <w:rsid w:val="00220CBE"/>
    <w:rsid w:val="00223190"/>
    <w:rsid w:val="00225210"/>
    <w:rsid w:val="0022693F"/>
    <w:rsid w:val="00226F91"/>
    <w:rsid w:val="00231E37"/>
    <w:rsid w:val="002375D4"/>
    <w:rsid w:val="00237B9A"/>
    <w:rsid w:val="002449EC"/>
    <w:rsid w:val="00245132"/>
    <w:rsid w:val="00247B8D"/>
    <w:rsid w:val="00253076"/>
    <w:rsid w:val="00253653"/>
    <w:rsid w:val="00254294"/>
    <w:rsid w:val="002571BF"/>
    <w:rsid w:val="002626B6"/>
    <w:rsid w:val="00262D6D"/>
    <w:rsid w:val="00264B29"/>
    <w:rsid w:val="0026543B"/>
    <w:rsid w:val="00270C5C"/>
    <w:rsid w:val="0027182A"/>
    <w:rsid w:val="0027242A"/>
    <w:rsid w:val="00275DCD"/>
    <w:rsid w:val="00280A26"/>
    <w:rsid w:val="00281B79"/>
    <w:rsid w:val="00281C36"/>
    <w:rsid w:val="00284714"/>
    <w:rsid w:val="0028487F"/>
    <w:rsid w:val="00285109"/>
    <w:rsid w:val="00297992"/>
    <w:rsid w:val="00297FF2"/>
    <w:rsid w:val="002A07B1"/>
    <w:rsid w:val="002A22AA"/>
    <w:rsid w:val="002A270D"/>
    <w:rsid w:val="002A30ED"/>
    <w:rsid w:val="002A3A57"/>
    <w:rsid w:val="002A52C4"/>
    <w:rsid w:val="002A6750"/>
    <w:rsid w:val="002A6CFD"/>
    <w:rsid w:val="002A6E80"/>
    <w:rsid w:val="002B1300"/>
    <w:rsid w:val="002B1DC6"/>
    <w:rsid w:val="002B2547"/>
    <w:rsid w:val="002B2D3B"/>
    <w:rsid w:val="002B3381"/>
    <w:rsid w:val="002B5F72"/>
    <w:rsid w:val="002C504E"/>
    <w:rsid w:val="002C5F50"/>
    <w:rsid w:val="002D0047"/>
    <w:rsid w:val="002D5865"/>
    <w:rsid w:val="002D7924"/>
    <w:rsid w:val="002D7B16"/>
    <w:rsid w:val="002E7076"/>
    <w:rsid w:val="002F0759"/>
    <w:rsid w:val="002F359D"/>
    <w:rsid w:val="002F4B03"/>
    <w:rsid w:val="00300E24"/>
    <w:rsid w:val="003015A8"/>
    <w:rsid w:val="00314AD2"/>
    <w:rsid w:val="00317078"/>
    <w:rsid w:val="003177E4"/>
    <w:rsid w:val="00322FA0"/>
    <w:rsid w:val="003234EC"/>
    <w:rsid w:val="0032427F"/>
    <w:rsid w:val="00325670"/>
    <w:rsid w:val="00326C73"/>
    <w:rsid w:val="00327AD8"/>
    <w:rsid w:val="0033271D"/>
    <w:rsid w:val="00333449"/>
    <w:rsid w:val="00337007"/>
    <w:rsid w:val="00337524"/>
    <w:rsid w:val="003379C5"/>
    <w:rsid w:val="0034170C"/>
    <w:rsid w:val="00345769"/>
    <w:rsid w:val="00350E65"/>
    <w:rsid w:val="0035474A"/>
    <w:rsid w:val="00357305"/>
    <w:rsid w:val="00364D3F"/>
    <w:rsid w:val="0037271E"/>
    <w:rsid w:val="00373454"/>
    <w:rsid w:val="0037454B"/>
    <w:rsid w:val="00375681"/>
    <w:rsid w:val="00376158"/>
    <w:rsid w:val="003802C4"/>
    <w:rsid w:val="003813B8"/>
    <w:rsid w:val="00385EE1"/>
    <w:rsid w:val="0039182F"/>
    <w:rsid w:val="00395C52"/>
    <w:rsid w:val="00395F62"/>
    <w:rsid w:val="003961B0"/>
    <w:rsid w:val="003A2108"/>
    <w:rsid w:val="003A37CF"/>
    <w:rsid w:val="003A39EB"/>
    <w:rsid w:val="003A4A25"/>
    <w:rsid w:val="003A5C99"/>
    <w:rsid w:val="003A675E"/>
    <w:rsid w:val="003A76DA"/>
    <w:rsid w:val="003A7B1A"/>
    <w:rsid w:val="003B1015"/>
    <w:rsid w:val="003B664F"/>
    <w:rsid w:val="003C3B0D"/>
    <w:rsid w:val="003C3EFB"/>
    <w:rsid w:val="003E0CEB"/>
    <w:rsid w:val="003E23BD"/>
    <w:rsid w:val="003E410A"/>
    <w:rsid w:val="003E52F0"/>
    <w:rsid w:val="003E5B55"/>
    <w:rsid w:val="003E7AAC"/>
    <w:rsid w:val="003F032B"/>
    <w:rsid w:val="003F0FBF"/>
    <w:rsid w:val="003F365D"/>
    <w:rsid w:val="003F3EF9"/>
    <w:rsid w:val="003F532D"/>
    <w:rsid w:val="004005F0"/>
    <w:rsid w:val="00405142"/>
    <w:rsid w:val="00406FD4"/>
    <w:rsid w:val="004071E6"/>
    <w:rsid w:val="00410CAF"/>
    <w:rsid w:val="00415FF5"/>
    <w:rsid w:val="004207D8"/>
    <w:rsid w:val="00420A5F"/>
    <w:rsid w:val="00420CC0"/>
    <w:rsid w:val="00427580"/>
    <w:rsid w:val="004279CD"/>
    <w:rsid w:val="004328AA"/>
    <w:rsid w:val="00433C98"/>
    <w:rsid w:val="00433D0D"/>
    <w:rsid w:val="00433FF1"/>
    <w:rsid w:val="00434DFC"/>
    <w:rsid w:val="004371EF"/>
    <w:rsid w:val="00440149"/>
    <w:rsid w:val="004410CE"/>
    <w:rsid w:val="00443DE2"/>
    <w:rsid w:val="00446E5A"/>
    <w:rsid w:val="00447840"/>
    <w:rsid w:val="0045084C"/>
    <w:rsid w:val="00456E44"/>
    <w:rsid w:val="004608F4"/>
    <w:rsid w:val="0046198E"/>
    <w:rsid w:val="004728F1"/>
    <w:rsid w:val="00475188"/>
    <w:rsid w:val="0047572F"/>
    <w:rsid w:val="00475897"/>
    <w:rsid w:val="00475D48"/>
    <w:rsid w:val="00480701"/>
    <w:rsid w:val="00480A5C"/>
    <w:rsid w:val="00480C59"/>
    <w:rsid w:val="00483DCD"/>
    <w:rsid w:val="00483F56"/>
    <w:rsid w:val="004843C3"/>
    <w:rsid w:val="00485A4B"/>
    <w:rsid w:val="0049087D"/>
    <w:rsid w:val="004914D4"/>
    <w:rsid w:val="00493459"/>
    <w:rsid w:val="004961B7"/>
    <w:rsid w:val="0049765B"/>
    <w:rsid w:val="004A0B12"/>
    <w:rsid w:val="004B0DB6"/>
    <w:rsid w:val="004B2E74"/>
    <w:rsid w:val="004B5FDC"/>
    <w:rsid w:val="004B78B5"/>
    <w:rsid w:val="004C0D11"/>
    <w:rsid w:val="004C1E9C"/>
    <w:rsid w:val="004C3068"/>
    <w:rsid w:val="004C41E7"/>
    <w:rsid w:val="004C5364"/>
    <w:rsid w:val="004C5930"/>
    <w:rsid w:val="004D76B6"/>
    <w:rsid w:val="004D79E9"/>
    <w:rsid w:val="004E2DDB"/>
    <w:rsid w:val="004E57BE"/>
    <w:rsid w:val="004E5C29"/>
    <w:rsid w:val="004E66CE"/>
    <w:rsid w:val="004E6C1C"/>
    <w:rsid w:val="004E7762"/>
    <w:rsid w:val="004F03E3"/>
    <w:rsid w:val="004F0931"/>
    <w:rsid w:val="004F309A"/>
    <w:rsid w:val="004F5EB7"/>
    <w:rsid w:val="004F684D"/>
    <w:rsid w:val="004F798A"/>
    <w:rsid w:val="00504727"/>
    <w:rsid w:val="00504743"/>
    <w:rsid w:val="00504C55"/>
    <w:rsid w:val="00506A57"/>
    <w:rsid w:val="005077C6"/>
    <w:rsid w:val="00507E3E"/>
    <w:rsid w:val="00510A67"/>
    <w:rsid w:val="0051298F"/>
    <w:rsid w:val="005137CB"/>
    <w:rsid w:val="00515333"/>
    <w:rsid w:val="00517134"/>
    <w:rsid w:val="005174DC"/>
    <w:rsid w:val="005263E7"/>
    <w:rsid w:val="00526AF7"/>
    <w:rsid w:val="00527692"/>
    <w:rsid w:val="00530A8C"/>
    <w:rsid w:val="00532E40"/>
    <w:rsid w:val="00533528"/>
    <w:rsid w:val="00533BDB"/>
    <w:rsid w:val="005425FA"/>
    <w:rsid w:val="005429F4"/>
    <w:rsid w:val="005469FC"/>
    <w:rsid w:val="0055057E"/>
    <w:rsid w:val="00550960"/>
    <w:rsid w:val="005549A1"/>
    <w:rsid w:val="00554FFF"/>
    <w:rsid w:val="00562CE0"/>
    <w:rsid w:val="005637D3"/>
    <w:rsid w:val="00563BAD"/>
    <w:rsid w:val="00564AE5"/>
    <w:rsid w:val="00567BA4"/>
    <w:rsid w:val="00570A3A"/>
    <w:rsid w:val="00571CA6"/>
    <w:rsid w:val="005735EC"/>
    <w:rsid w:val="00573F11"/>
    <w:rsid w:val="005757FF"/>
    <w:rsid w:val="005767CC"/>
    <w:rsid w:val="00576ACB"/>
    <w:rsid w:val="00581DEE"/>
    <w:rsid w:val="00583712"/>
    <w:rsid w:val="00583742"/>
    <w:rsid w:val="00584F66"/>
    <w:rsid w:val="00585286"/>
    <w:rsid w:val="005909A9"/>
    <w:rsid w:val="00590CA6"/>
    <w:rsid w:val="005A0E85"/>
    <w:rsid w:val="005A433F"/>
    <w:rsid w:val="005A5BA3"/>
    <w:rsid w:val="005A6DE6"/>
    <w:rsid w:val="005A7FCF"/>
    <w:rsid w:val="005B501E"/>
    <w:rsid w:val="005C10C4"/>
    <w:rsid w:val="005C31B6"/>
    <w:rsid w:val="005D246C"/>
    <w:rsid w:val="005D44B1"/>
    <w:rsid w:val="005E052F"/>
    <w:rsid w:val="005E0F50"/>
    <w:rsid w:val="005E3161"/>
    <w:rsid w:val="005E3A63"/>
    <w:rsid w:val="005E74CF"/>
    <w:rsid w:val="005F37D2"/>
    <w:rsid w:val="005F563E"/>
    <w:rsid w:val="006001F2"/>
    <w:rsid w:val="0060095A"/>
    <w:rsid w:val="006015F0"/>
    <w:rsid w:val="00601A68"/>
    <w:rsid w:val="0060272A"/>
    <w:rsid w:val="00603740"/>
    <w:rsid w:val="00604B31"/>
    <w:rsid w:val="00607826"/>
    <w:rsid w:val="00612764"/>
    <w:rsid w:val="00614245"/>
    <w:rsid w:val="00615E41"/>
    <w:rsid w:val="006179D6"/>
    <w:rsid w:val="00620594"/>
    <w:rsid w:val="0062210A"/>
    <w:rsid w:val="00624D57"/>
    <w:rsid w:val="00627A21"/>
    <w:rsid w:val="00627DE4"/>
    <w:rsid w:val="0063133E"/>
    <w:rsid w:val="00631DB8"/>
    <w:rsid w:val="00633796"/>
    <w:rsid w:val="00641459"/>
    <w:rsid w:val="006426E2"/>
    <w:rsid w:val="00645CCB"/>
    <w:rsid w:val="00645DCD"/>
    <w:rsid w:val="0065070A"/>
    <w:rsid w:val="00650D43"/>
    <w:rsid w:val="00652EC3"/>
    <w:rsid w:val="00654F13"/>
    <w:rsid w:val="00656E84"/>
    <w:rsid w:val="00657C5F"/>
    <w:rsid w:val="00660434"/>
    <w:rsid w:val="0066261B"/>
    <w:rsid w:val="006635EF"/>
    <w:rsid w:val="0066372D"/>
    <w:rsid w:val="0066510C"/>
    <w:rsid w:val="00665D82"/>
    <w:rsid w:val="00672D29"/>
    <w:rsid w:val="00673175"/>
    <w:rsid w:val="00675907"/>
    <w:rsid w:val="00675A40"/>
    <w:rsid w:val="006773E5"/>
    <w:rsid w:val="00677DD6"/>
    <w:rsid w:val="00686920"/>
    <w:rsid w:val="006869D0"/>
    <w:rsid w:val="00686AB3"/>
    <w:rsid w:val="00687FD0"/>
    <w:rsid w:val="00691EB1"/>
    <w:rsid w:val="00692EA0"/>
    <w:rsid w:val="006A0874"/>
    <w:rsid w:val="006A1174"/>
    <w:rsid w:val="006A5D63"/>
    <w:rsid w:val="006A69FA"/>
    <w:rsid w:val="006A771E"/>
    <w:rsid w:val="006A7FE9"/>
    <w:rsid w:val="006B351C"/>
    <w:rsid w:val="006C0106"/>
    <w:rsid w:val="006C05EE"/>
    <w:rsid w:val="006C2502"/>
    <w:rsid w:val="006C5055"/>
    <w:rsid w:val="006C5380"/>
    <w:rsid w:val="006D26F8"/>
    <w:rsid w:val="006D597A"/>
    <w:rsid w:val="006D76D4"/>
    <w:rsid w:val="006E1F93"/>
    <w:rsid w:val="006F2110"/>
    <w:rsid w:val="006F2FCB"/>
    <w:rsid w:val="006F4993"/>
    <w:rsid w:val="006F5B4B"/>
    <w:rsid w:val="006F705B"/>
    <w:rsid w:val="006F7951"/>
    <w:rsid w:val="007011EF"/>
    <w:rsid w:val="00701412"/>
    <w:rsid w:val="00701FFD"/>
    <w:rsid w:val="00703803"/>
    <w:rsid w:val="0070463C"/>
    <w:rsid w:val="00704BC9"/>
    <w:rsid w:val="007058E4"/>
    <w:rsid w:val="007059C8"/>
    <w:rsid w:val="00710222"/>
    <w:rsid w:val="007102E4"/>
    <w:rsid w:val="00710621"/>
    <w:rsid w:val="007114FF"/>
    <w:rsid w:val="00711BDF"/>
    <w:rsid w:val="00713AE9"/>
    <w:rsid w:val="007146D5"/>
    <w:rsid w:val="00717502"/>
    <w:rsid w:val="00724FC0"/>
    <w:rsid w:val="00726187"/>
    <w:rsid w:val="00732205"/>
    <w:rsid w:val="00733373"/>
    <w:rsid w:val="00737195"/>
    <w:rsid w:val="007442D4"/>
    <w:rsid w:val="00750057"/>
    <w:rsid w:val="00750353"/>
    <w:rsid w:val="00750BC4"/>
    <w:rsid w:val="00752BE6"/>
    <w:rsid w:val="00754831"/>
    <w:rsid w:val="0075609D"/>
    <w:rsid w:val="0075741E"/>
    <w:rsid w:val="00760B34"/>
    <w:rsid w:val="007610FD"/>
    <w:rsid w:val="007631AA"/>
    <w:rsid w:val="00765322"/>
    <w:rsid w:val="007676A0"/>
    <w:rsid w:val="007704A9"/>
    <w:rsid w:val="00771225"/>
    <w:rsid w:val="0077384C"/>
    <w:rsid w:val="00774FF8"/>
    <w:rsid w:val="00781D10"/>
    <w:rsid w:val="00784606"/>
    <w:rsid w:val="007857E3"/>
    <w:rsid w:val="007867FE"/>
    <w:rsid w:val="00790411"/>
    <w:rsid w:val="007906CD"/>
    <w:rsid w:val="00791F50"/>
    <w:rsid w:val="007925E9"/>
    <w:rsid w:val="007959E1"/>
    <w:rsid w:val="00797266"/>
    <w:rsid w:val="007B398D"/>
    <w:rsid w:val="007C33B4"/>
    <w:rsid w:val="007E6083"/>
    <w:rsid w:val="007E6834"/>
    <w:rsid w:val="007F054A"/>
    <w:rsid w:val="007F21B5"/>
    <w:rsid w:val="007F2DE8"/>
    <w:rsid w:val="0080128C"/>
    <w:rsid w:val="00801671"/>
    <w:rsid w:val="00805652"/>
    <w:rsid w:val="00807A21"/>
    <w:rsid w:val="008105EC"/>
    <w:rsid w:val="00810B7F"/>
    <w:rsid w:val="00815F09"/>
    <w:rsid w:val="00821031"/>
    <w:rsid w:val="0082176A"/>
    <w:rsid w:val="00823B1C"/>
    <w:rsid w:val="00826DFA"/>
    <w:rsid w:val="0082736B"/>
    <w:rsid w:val="0082759A"/>
    <w:rsid w:val="00832F4B"/>
    <w:rsid w:val="0083663E"/>
    <w:rsid w:val="008369B6"/>
    <w:rsid w:val="00841876"/>
    <w:rsid w:val="00842478"/>
    <w:rsid w:val="00842B60"/>
    <w:rsid w:val="00842BAE"/>
    <w:rsid w:val="008452B0"/>
    <w:rsid w:val="00845581"/>
    <w:rsid w:val="008463A5"/>
    <w:rsid w:val="00846BE7"/>
    <w:rsid w:val="00855ED9"/>
    <w:rsid w:val="00857475"/>
    <w:rsid w:val="00872E87"/>
    <w:rsid w:val="00872EBB"/>
    <w:rsid w:val="00876894"/>
    <w:rsid w:val="0088008C"/>
    <w:rsid w:val="00880DD1"/>
    <w:rsid w:val="00884EB0"/>
    <w:rsid w:val="00886723"/>
    <w:rsid w:val="0088701B"/>
    <w:rsid w:val="00890B88"/>
    <w:rsid w:val="008920ED"/>
    <w:rsid w:val="008A00D6"/>
    <w:rsid w:val="008A1147"/>
    <w:rsid w:val="008A145B"/>
    <w:rsid w:val="008A6045"/>
    <w:rsid w:val="008A6AD0"/>
    <w:rsid w:val="008B066D"/>
    <w:rsid w:val="008B104D"/>
    <w:rsid w:val="008B4FDA"/>
    <w:rsid w:val="008B6D87"/>
    <w:rsid w:val="008C4BB5"/>
    <w:rsid w:val="008C6246"/>
    <w:rsid w:val="008D1528"/>
    <w:rsid w:val="008D4B2A"/>
    <w:rsid w:val="008D4E7A"/>
    <w:rsid w:val="008D727D"/>
    <w:rsid w:val="008E137D"/>
    <w:rsid w:val="008E1862"/>
    <w:rsid w:val="008E2DBA"/>
    <w:rsid w:val="008E3955"/>
    <w:rsid w:val="008E7AF6"/>
    <w:rsid w:val="008F00DF"/>
    <w:rsid w:val="008F1F4A"/>
    <w:rsid w:val="008F3B22"/>
    <w:rsid w:val="008F42B3"/>
    <w:rsid w:val="008F5B1C"/>
    <w:rsid w:val="008F6353"/>
    <w:rsid w:val="009004A9"/>
    <w:rsid w:val="00903963"/>
    <w:rsid w:val="00907750"/>
    <w:rsid w:val="00910908"/>
    <w:rsid w:val="00911B94"/>
    <w:rsid w:val="00914480"/>
    <w:rsid w:val="009166BE"/>
    <w:rsid w:val="00917A4D"/>
    <w:rsid w:val="00921124"/>
    <w:rsid w:val="00922CB2"/>
    <w:rsid w:val="00924A08"/>
    <w:rsid w:val="009270D6"/>
    <w:rsid w:val="00927A6A"/>
    <w:rsid w:val="009302DC"/>
    <w:rsid w:val="00933275"/>
    <w:rsid w:val="0093688A"/>
    <w:rsid w:val="00937E0F"/>
    <w:rsid w:val="00942835"/>
    <w:rsid w:val="009461E3"/>
    <w:rsid w:val="009534AB"/>
    <w:rsid w:val="00956870"/>
    <w:rsid w:val="0095700E"/>
    <w:rsid w:val="00957AF0"/>
    <w:rsid w:val="00966C8B"/>
    <w:rsid w:val="00971DE4"/>
    <w:rsid w:val="00977994"/>
    <w:rsid w:val="009801FB"/>
    <w:rsid w:val="00981CBA"/>
    <w:rsid w:val="009838C4"/>
    <w:rsid w:val="009A49BB"/>
    <w:rsid w:val="009A5700"/>
    <w:rsid w:val="009A580C"/>
    <w:rsid w:val="009B4044"/>
    <w:rsid w:val="009B5FB8"/>
    <w:rsid w:val="009B7971"/>
    <w:rsid w:val="009C176E"/>
    <w:rsid w:val="009C1FAF"/>
    <w:rsid w:val="009C2875"/>
    <w:rsid w:val="009C3E7B"/>
    <w:rsid w:val="009C4A9A"/>
    <w:rsid w:val="009C4DDF"/>
    <w:rsid w:val="009C73D8"/>
    <w:rsid w:val="009C7FAD"/>
    <w:rsid w:val="009D1AB4"/>
    <w:rsid w:val="009D3306"/>
    <w:rsid w:val="009D72E7"/>
    <w:rsid w:val="009E1B22"/>
    <w:rsid w:val="009E318F"/>
    <w:rsid w:val="009E39F1"/>
    <w:rsid w:val="009E7303"/>
    <w:rsid w:val="009E79B8"/>
    <w:rsid w:val="009E7E94"/>
    <w:rsid w:val="009F21DC"/>
    <w:rsid w:val="00A0045C"/>
    <w:rsid w:val="00A03732"/>
    <w:rsid w:val="00A10966"/>
    <w:rsid w:val="00A10F6B"/>
    <w:rsid w:val="00A224E5"/>
    <w:rsid w:val="00A237D9"/>
    <w:rsid w:val="00A23F14"/>
    <w:rsid w:val="00A33D68"/>
    <w:rsid w:val="00A36991"/>
    <w:rsid w:val="00A36FB3"/>
    <w:rsid w:val="00A40E61"/>
    <w:rsid w:val="00A42D9A"/>
    <w:rsid w:val="00A43DA5"/>
    <w:rsid w:val="00A43E01"/>
    <w:rsid w:val="00A44EA5"/>
    <w:rsid w:val="00A518FE"/>
    <w:rsid w:val="00A53C56"/>
    <w:rsid w:val="00A55793"/>
    <w:rsid w:val="00A635E0"/>
    <w:rsid w:val="00A64909"/>
    <w:rsid w:val="00A67126"/>
    <w:rsid w:val="00A73EF1"/>
    <w:rsid w:val="00A74C59"/>
    <w:rsid w:val="00A74CE4"/>
    <w:rsid w:val="00A80B49"/>
    <w:rsid w:val="00A819AC"/>
    <w:rsid w:val="00A81EF5"/>
    <w:rsid w:val="00A8279B"/>
    <w:rsid w:val="00A84094"/>
    <w:rsid w:val="00A87FF7"/>
    <w:rsid w:val="00A9046E"/>
    <w:rsid w:val="00A919DB"/>
    <w:rsid w:val="00A9268B"/>
    <w:rsid w:val="00A972A2"/>
    <w:rsid w:val="00AA027D"/>
    <w:rsid w:val="00AA1C27"/>
    <w:rsid w:val="00AA20E2"/>
    <w:rsid w:val="00AA23B4"/>
    <w:rsid w:val="00AA2AED"/>
    <w:rsid w:val="00AA665B"/>
    <w:rsid w:val="00AA69A9"/>
    <w:rsid w:val="00AA76BF"/>
    <w:rsid w:val="00AB0555"/>
    <w:rsid w:val="00AB1E5B"/>
    <w:rsid w:val="00AB23D2"/>
    <w:rsid w:val="00AB2F1F"/>
    <w:rsid w:val="00AB525D"/>
    <w:rsid w:val="00AB7BE8"/>
    <w:rsid w:val="00AC1D0F"/>
    <w:rsid w:val="00AC4B65"/>
    <w:rsid w:val="00AC56C2"/>
    <w:rsid w:val="00AC6F2D"/>
    <w:rsid w:val="00AD0E63"/>
    <w:rsid w:val="00AD3238"/>
    <w:rsid w:val="00AD3784"/>
    <w:rsid w:val="00AD51AF"/>
    <w:rsid w:val="00AD5C77"/>
    <w:rsid w:val="00AE0873"/>
    <w:rsid w:val="00AE3852"/>
    <w:rsid w:val="00AE4C58"/>
    <w:rsid w:val="00AE5688"/>
    <w:rsid w:val="00AF092F"/>
    <w:rsid w:val="00AF0D22"/>
    <w:rsid w:val="00AF1CDB"/>
    <w:rsid w:val="00AF633B"/>
    <w:rsid w:val="00AF6B68"/>
    <w:rsid w:val="00B0149A"/>
    <w:rsid w:val="00B119FD"/>
    <w:rsid w:val="00B13C1B"/>
    <w:rsid w:val="00B15332"/>
    <w:rsid w:val="00B2095A"/>
    <w:rsid w:val="00B21552"/>
    <w:rsid w:val="00B22E1A"/>
    <w:rsid w:val="00B27AE5"/>
    <w:rsid w:val="00B35730"/>
    <w:rsid w:val="00B35B24"/>
    <w:rsid w:val="00B35ECA"/>
    <w:rsid w:val="00B3710D"/>
    <w:rsid w:val="00B41085"/>
    <w:rsid w:val="00B445AC"/>
    <w:rsid w:val="00B46E97"/>
    <w:rsid w:val="00B5105A"/>
    <w:rsid w:val="00B52555"/>
    <w:rsid w:val="00B5507E"/>
    <w:rsid w:val="00B61D77"/>
    <w:rsid w:val="00B62ADC"/>
    <w:rsid w:val="00B6705E"/>
    <w:rsid w:val="00B676A1"/>
    <w:rsid w:val="00B67FE6"/>
    <w:rsid w:val="00B71FFB"/>
    <w:rsid w:val="00B72615"/>
    <w:rsid w:val="00B764AB"/>
    <w:rsid w:val="00B76735"/>
    <w:rsid w:val="00B8193F"/>
    <w:rsid w:val="00B81968"/>
    <w:rsid w:val="00B82B2A"/>
    <w:rsid w:val="00B834C6"/>
    <w:rsid w:val="00B85648"/>
    <w:rsid w:val="00B90DD5"/>
    <w:rsid w:val="00B9350F"/>
    <w:rsid w:val="00B96621"/>
    <w:rsid w:val="00BA030A"/>
    <w:rsid w:val="00BA0755"/>
    <w:rsid w:val="00BA07D4"/>
    <w:rsid w:val="00BA337C"/>
    <w:rsid w:val="00BA42EC"/>
    <w:rsid w:val="00BA448F"/>
    <w:rsid w:val="00BB1A69"/>
    <w:rsid w:val="00BB21CB"/>
    <w:rsid w:val="00BB4584"/>
    <w:rsid w:val="00BB6EC9"/>
    <w:rsid w:val="00BC06C1"/>
    <w:rsid w:val="00BC0A1B"/>
    <w:rsid w:val="00BC135A"/>
    <w:rsid w:val="00BC48DB"/>
    <w:rsid w:val="00BC5BEC"/>
    <w:rsid w:val="00BD2DC2"/>
    <w:rsid w:val="00BD6353"/>
    <w:rsid w:val="00BD7080"/>
    <w:rsid w:val="00BE46D4"/>
    <w:rsid w:val="00BE56CF"/>
    <w:rsid w:val="00BE639C"/>
    <w:rsid w:val="00BF4755"/>
    <w:rsid w:val="00BF4D9D"/>
    <w:rsid w:val="00BF597B"/>
    <w:rsid w:val="00BF69CE"/>
    <w:rsid w:val="00BF7D37"/>
    <w:rsid w:val="00C00694"/>
    <w:rsid w:val="00C007FE"/>
    <w:rsid w:val="00C0269E"/>
    <w:rsid w:val="00C0431C"/>
    <w:rsid w:val="00C072AF"/>
    <w:rsid w:val="00C12141"/>
    <w:rsid w:val="00C1458A"/>
    <w:rsid w:val="00C15652"/>
    <w:rsid w:val="00C16736"/>
    <w:rsid w:val="00C203D9"/>
    <w:rsid w:val="00C2100C"/>
    <w:rsid w:val="00C23F2D"/>
    <w:rsid w:val="00C31BA0"/>
    <w:rsid w:val="00C328AC"/>
    <w:rsid w:val="00C32CE0"/>
    <w:rsid w:val="00C35268"/>
    <w:rsid w:val="00C3661F"/>
    <w:rsid w:val="00C37106"/>
    <w:rsid w:val="00C371C1"/>
    <w:rsid w:val="00C37AA5"/>
    <w:rsid w:val="00C5028D"/>
    <w:rsid w:val="00C57AB9"/>
    <w:rsid w:val="00C62AD3"/>
    <w:rsid w:val="00C64F8E"/>
    <w:rsid w:val="00C7002F"/>
    <w:rsid w:val="00C719D6"/>
    <w:rsid w:val="00C7448D"/>
    <w:rsid w:val="00C75FF7"/>
    <w:rsid w:val="00C7620A"/>
    <w:rsid w:val="00C76FDD"/>
    <w:rsid w:val="00C87627"/>
    <w:rsid w:val="00C912C8"/>
    <w:rsid w:val="00C92694"/>
    <w:rsid w:val="00C93928"/>
    <w:rsid w:val="00C93B44"/>
    <w:rsid w:val="00C9587F"/>
    <w:rsid w:val="00CA4AC3"/>
    <w:rsid w:val="00CA575A"/>
    <w:rsid w:val="00CA62A1"/>
    <w:rsid w:val="00CA6807"/>
    <w:rsid w:val="00CB2AE8"/>
    <w:rsid w:val="00CB3DC7"/>
    <w:rsid w:val="00CB4C64"/>
    <w:rsid w:val="00CB7BED"/>
    <w:rsid w:val="00CC4660"/>
    <w:rsid w:val="00CC4844"/>
    <w:rsid w:val="00CC5551"/>
    <w:rsid w:val="00CC58C2"/>
    <w:rsid w:val="00CD2302"/>
    <w:rsid w:val="00CD28BA"/>
    <w:rsid w:val="00CD4F10"/>
    <w:rsid w:val="00CD5772"/>
    <w:rsid w:val="00CE2618"/>
    <w:rsid w:val="00CE27CD"/>
    <w:rsid w:val="00CF1FCA"/>
    <w:rsid w:val="00CF27C0"/>
    <w:rsid w:val="00CF28B1"/>
    <w:rsid w:val="00CF4989"/>
    <w:rsid w:val="00CF62C5"/>
    <w:rsid w:val="00D00600"/>
    <w:rsid w:val="00D0062E"/>
    <w:rsid w:val="00D04159"/>
    <w:rsid w:val="00D04C77"/>
    <w:rsid w:val="00D05049"/>
    <w:rsid w:val="00D1035B"/>
    <w:rsid w:val="00D15859"/>
    <w:rsid w:val="00D20661"/>
    <w:rsid w:val="00D21A4A"/>
    <w:rsid w:val="00D2325C"/>
    <w:rsid w:val="00D24525"/>
    <w:rsid w:val="00D31A99"/>
    <w:rsid w:val="00D32F52"/>
    <w:rsid w:val="00D372A6"/>
    <w:rsid w:val="00D37FCD"/>
    <w:rsid w:val="00D42A89"/>
    <w:rsid w:val="00D440B4"/>
    <w:rsid w:val="00D46B79"/>
    <w:rsid w:val="00D504A4"/>
    <w:rsid w:val="00D52A56"/>
    <w:rsid w:val="00D548D6"/>
    <w:rsid w:val="00D55568"/>
    <w:rsid w:val="00D62619"/>
    <w:rsid w:val="00D64815"/>
    <w:rsid w:val="00D71537"/>
    <w:rsid w:val="00D72703"/>
    <w:rsid w:val="00D73A7F"/>
    <w:rsid w:val="00D808A8"/>
    <w:rsid w:val="00D900DB"/>
    <w:rsid w:val="00D91F00"/>
    <w:rsid w:val="00D96B42"/>
    <w:rsid w:val="00DA1749"/>
    <w:rsid w:val="00DB0591"/>
    <w:rsid w:val="00DB5606"/>
    <w:rsid w:val="00DB6121"/>
    <w:rsid w:val="00DC2C4B"/>
    <w:rsid w:val="00DC2CF7"/>
    <w:rsid w:val="00DC4EF3"/>
    <w:rsid w:val="00DC604C"/>
    <w:rsid w:val="00DC70C7"/>
    <w:rsid w:val="00DD2898"/>
    <w:rsid w:val="00DD6A86"/>
    <w:rsid w:val="00DE18FA"/>
    <w:rsid w:val="00DE1DC7"/>
    <w:rsid w:val="00DE22F4"/>
    <w:rsid w:val="00DE477A"/>
    <w:rsid w:val="00DE527C"/>
    <w:rsid w:val="00DF06D4"/>
    <w:rsid w:val="00DF502A"/>
    <w:rsid w:val="00DF543C"/>
    <w:rsid w:val="00DF632B"/>
    <w:rsid w:val="00E04475"/>
    <w:rsid w:val="00E06B5F"/>
    <w:rsid w:val="00E236F0"/>
    <w:rsid w:val="00E2370B"/>
    <w:rsid w:val="00E24474"/>
    <w:rsid w:val="00E252D5"/>
    <w:rsid w:val="00E26426"/>
    <w:rsid w:val="00E30CE5"/>
    <w:rsid w:val="00E33891"/>
    <w:rsid w:val="00E410F0"/>
    <w:rsid w:val="00E4461B"/>
    <w:rsid w:val="00E45B77"/>
    <w:rsid w:val="00E471BF"/>
    <w:rsid w:val="00E51949"/>
    <w:rsid w:val="00E529AE"/>
    <w:rsid w:val="00E549A0"/>
    <w:rsid w:val="00E54A1D"/>
    <w:rsid w:val="00E556F8"/>
    <w:rsid w:val="00E55A17"/>
    <w:rsid w:val="00E60D3B"/>
    <w:rsid w:val="00E61264"/>
    <w:rsid w:val="00E61D68"/>
    <w:rsid w:val="00E65693"/>
    <w:rsid w:val="00E6737F"/>
    <w:rsid w:val="00E67603"/>
    <w:rsid w:val="00E73394"/>
    <w:rsid w:val="00E81259"/>
    <w:rsid w:val="00E82F47"/>
    <w:rsid w:val="00E84EF0"/>
    <w:rsid w:val="00E86DCA"/>
    <w:rsid w:val="00E876C0"/>
    <w:rsid w:val="00E904D5"/>
    <w:rsid w:val="00E96FAF"/>
    <w:rsid w:val="00EA16F2"/>
    <w:rsid w:val="00EA5F80"/>
    <w:rsid w:val="00EB12EE"/>
    <w:rsid w:val="00EC2A81"/>
    <w:rsid w:val="00EC37CF"/>
    <w:rsid w:val="00EC6FF1"/>
    <w:rsid w:val="00ED0251"/>
    <w:rsid w:val="00ED10D1"/>
    <w:rsid w:val="00ED1900"/>
    <w:rsid w:val="00ED2115"/>
    <w:rsid w:val="00ED58BC"/>
    <w:rsid w:val="00EE4CE3"/>
    <w:rsid w:val="00EE6CC0"/>
    <w:rsid w:val="00EE7D30"/>
    <w:rsid w:val="00EF1515"/>
    <w:rsid w:val="00EF3E3F"/>
    <w:rsid w:val="00EF7880"/>
    <w:rsid w:val="00F01B6A"/>
    <w:rsid w:val="00F023C5"/>
    <w:rsid w:val="00F02C4E"/>
    <w:rsid w:val="00F02E55"/>
    <w:rsid w:val="00F03373"/>
    <w:rsid w:val="00F11523"/>
    <w:rsid w:val="00F11C83"/>
    <w:rsid w:val="00F17B18"/>
    <w:rsid w:val="00F20784"/>
    <w:rsid w:val="00F2555E"/>
    <w:rsid w:val="00F27730"/>
    <w:rsid w:val="00F27DDF"/>
    <w:rsid w:val="00F315B3"/>
    <w:rsid w:val="00F32AC1"/>
    <w:rsid w:val="00F3387B"/>
    <w:rsid w:val="00F33ACD"/>
    <w:rsid w:val="00F344E8"/>
    <w:rsid w:val="00F359BA"/>
    <w:rsid w:val="00F44A88"/>
    <w:rsid w:val="00F45E8A"/>
    <w:rsid w:val="00F5173C"/>
    <w:rsid w:val="00F52692"/>
    <w:rsid w:val="00F55871"/>
    <w:rsid w:val="00F61547"/>
    <w:rsid w:val="00F64795"/>
    <w:rsid w:val="00F67AB9"/>
    <w:rsid w:val="00F72E5C"/>
    <w:rsid w:val="00F75B77"/>
    <w:rsid w:val="00F805C2"/>
    <w:rsid w:val="00F83105"/>
    <w:rsid w:val="00F85C17"/>
    <w:rsid w:val="00F87E42"/>
    <w:rsid w:val="00F96D71"/>
    <w:rsid w:val="00FA14F3"/>
    <w:rsid w:val="00FA1D0B"/>
    <w:rsid w:val="00FA4494"/>
    <w:rsid w:val="00FA472A"/>
    <w:rsid w:val="00FB393C"/>
    <w:rsid w:val="00FB4D82"/>
    <w:rsid w:val="00FB61D1"/>
    <w:rsid w:val="00FB79F5"/>
    <w:rsid w:val="00FC460F"/>
    <w:rsid w:val="00FC4B0E"/>
    <w:rsid w:val="00FC5025"/>
    <w:rsid w:val="00FD6C92"/>
    <w:rsid w:val="00FD70ED"/>
    <w:rsid w:val="00FE0D7F"/>
    <w:rsid w:val="00FE3CC2"/>
    <w:rsid w:val="00FE4980"/>
    <w:rsid w:val="00FE6A46"/>
    <w:rsid w:val="00FF7A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A850F3"/>
  <w15:chartTrackingRefBased/>
  <w15:docId w15:val="{959D04BC-A48D-4F38-BEBB-C625B5CE4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29"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2"/>
      <w:szCs w:val="22"/>
      <w:lang w:val="es-ES"/>
    </w:rPr>
  </w:style>
  <w:style w:type="paragraph" w:styleId="Heading1">
    <w:name w:val="heading 1"/>
    <w:basedOn w:val="Normal"/>
    <w:next w:val="Normal"/>
    <w:link w:val="Heading1Char"/>
    <w:uiPriority w:val="9"/>
    <w:qFormat/>
    <w:rsid w:val="001266BC"/>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qFormat/>
    <w:rsid w:val="001266BC"/>
    <w:pPr>
      <w:keepNext/>
      <w:keepLines/>
      <w:spacing w:before="200"/>
      <w:outlineLvl w:val="1"/>
    </w:pPr>
    <w:rPr>
      <w:rFonts w:ascii="Cambria" w:eastAsia="Times New Roman" w:hAnsi="Cambria"/>
      <w:b/>
      <w:bCs/>
      <w:color w:val="4F81BD"/>
      <w:sz w:val="26"/>
      <w:szCs w:val="26"/>
    </w:rPr>
  </w:style>
  <w:style w:type="paragraph" w:styleId="Heading3">
    <w:name w:val="heading 3"/>
    <w:basedOn w:val="Normal"/>
    <w:link w:val="Heading3Char"/>
    <w:uiPriority w:val="9"/>
    <w:qFormat/>
    <w:rsid w:val="001266BC"/>
    <w:pPr>
      <w:spacing w:before="100" w:beforeAutospacing="1" w:after="100" w:afterAutospacing="1"/>
      <w:jc w:val="left"/>
      <w:outlineLvl w:val="2"/>
    </w:pPr>
    <w:rPr>
      <w:rFonts w:ascii="Times New Roman" w:eastAsia="Times New Roman" w:hAnsi="Times New Roman"/>
      <w:b/>
      <w:bCs/>
      <w:sz w:val="27"/>
      <w:szCs w:val="27"/>
      <w:lang w:val="en-US"/>
    </w:rPr>
  </w:style>
  <w:style w:type="paragraph" w:styleId="Heading4">
    <w:name w:val="heading 4"/>
    <w:basedOn w:val="Normal"/>
    <w:next w:val="Normal"/>
    <w:link w:val="Heading4Char"/>
    <w:uiPriority w:val="9"/>
    <w:qFormat/>
    <w:rsid w:val="00E55A17"/>
    <w:pPr>
      <w:keepNext/>
      <w:keepLines/>
      <w:spacing w:before="20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DC604C"/>
    <w:pPr>
      <w:ind w:left="720"/>
      <w:contextualSpacing/>
    </w:pPr>
  </w:style>
  <w:style w:type="character" w:customStyle="1" w:styleId="Heading3Char">
    <w:name w:val="Heading 3 Char"/>
    <w:link w:val="Heading3"/>
    <w:uiPriority w:val="9"/>
    <w:rsid w:val="001266BC"/>
    <w:rPr>
      <w:rFonts w:ascii="Times New Roman" w:eastAsia="Times New Roman" w:hAnsi="Times New Roman" w:cs="Times New Roman"/>
      <w:b/>
      <w:bCs/>
      <w:sz w:val="27"/>
      <w:szCs w:val="27"/>
      <w:lang w:val="en-US"/>
    </w:rPr>
  </w:style>
  <w:style w:type="character" w:customStyle="1" w:styleId="mw-headline">
    <w:name w:val="mw-headline"/>
    <w:basedOn w:val="DefaultParagraphFont"/>
    <w:rsid w:val="001266BC"/>
  </w:style>
  <w:style w:type="paragraph" w:styleId="NormalWeb">
    <w:name w:val="Normal (Web)"/>
    <w:basedOn w:val="Normal"/>
    <w:unhideWhenUsed/>
    <w:rsid w:val="001266BC"/>
    <w:pPr>
      <w:spacing w:before="100" w:beforeAutospacing="1" w:after="100" w:afterAutospacing="1"/>
      <w:jc w:val="left"/>
    </w:pPr>
    <w:rPr>
      <w:rFonts w:ascii="Times New Roman" w:eastAsia="Times New Roman" w:hAnsi="Times New Roman"/>
      <w:sz w:val="24"/>
      <w:szCs w:val="24"/>
      <w:lang w:val="en-US"/>
    </w:rPr>
  </w:style>
  <w:style w:type="character" w:customStyle="1" w:styleId="apple-converted-space">
    <w:name w:val="apple-converted-space"/>
    <w:basedOn w:val="DefaultParagraphFont"/>
    <w:rsid w:val="001266BC"/>
  </w:style>
  <w:style w:type="character" w:styleId="Hyperlink">
    <w:name w:val="Hyperlink"/>
    <w:uiPriority w:val="99"/>
    <w:unhideWhenUsed/>
    <w:rsid w:val="001266BC"/>
    <w:rPr>
      <w:color w:val="0000FF"/>
      <w:u w:val="single"/>
    </w:rPr>
  </w:style>
  <w:style w:type="character" w:customStyle="1" w:styleId="editsection">
    <w:name w:val="editsection"/>
    <w:basedOn w:val="DefaultParagraphFont"/>
    <w:rsid w:val="001266BC"/>
  </w:style>
  <w:style w:type="character" w:customStyle="1" w:styleId="Heading1Char">
    <w:name w:val="Heading 1 Char"/>
    <w:link w:val="Heading1"/>
    <w:uiPriority w:val="9"/>
    <w:rsid w:val="001266BC"/>
    <w:rPr>
      <w:rFonts w:ascii="Cambria" w:eastAsia="Times New Roman" w:hAnsi="Cambria" w:cs="Times New Roman"/>
      <w:b/>
      <w:bCs/>
      <w:color w:val="365F91"/>
      <w:sz w:val="28"/>
      <w:szCs w:val="28"/>
    </w:rPr>
  </w:style>
  <w:style w:type="character" w:customStyle="1" w:styleId="Heading2Char">
    <w:name w:val="Heading 2 Char"/>
    <w:link w:val="Heading2"/>
    <w:uiPriority w:val="9"/>
    <w:rsid w:val="001266BC"/>
    <w:rPr>
      <w:rFonts w:ascii="Cambria" w:eastAsia="Times New Roman" w:hAnsi="Cambria" w:cs="Times New Roman"/>
      <w:b/>
      <w:bCs/>
      <w:color w:val="4F81BD"/>
      <w:sz w:val="26"/>
      <w:szCs w:val="26"/>
    </w:rPr>
  </w:style>
  <w:style w:type="paragraph" w:customStyle="1" w:styleId="entradilla">
    <w:name w:val="entradilla"/>
    <w:basedOn w:val="Normal"/>
    <w:rsid w:val="001266BC"/>
    <w:pPr>
      <w:spacing w:before="100" w:beforeAutospacing="1" w:after="100" w:afterAutospacing="1"/>
      <w:jc w:val="left"/>
    </w:pPr>
    <w:rPr>
      <w:rFonts w:ascii="Times New Roman" w:eastAsia="Times New Roman" w:hAnsi="Times New Roman"/>
      <w:sz w:val="24"/>
      <w:szCs w:val="24"/>
      <w:lang w:val="en-US"/>
    </w:rPr>
  </w:style>
  <w:style w:type="character" w:styleId="Emphasis">
    <w:name w:val="Emphasis"/>
    <w:uiPriority w:val="20"/>
    <w:qFormat/>
    <w:rsid w:val="001266BC"/>
    <w:rPr>
      <w:i/>
      <w:iCs/>
    </w:rPr>
  </w:style>
  <w:style w:type="character" w:styleId="Strong">
    <w:name w:val="Strong"/>
    <w:uiPriority w:val="22"/>
    <w:qFormat/>
    <w:rsid w:val="001266BC"/>
    <w:rPr>
      <w:b/>
      <w:bCs/>
    </w:rPr>
  </w:style>
  <w:style w:type="paragraph" w:styleId="BalloonText">
    <w:name w:val="Balloon Text"/>
    <w:basedOn w:val="Normal"/>
    <w:link w:val="BalloonTextChar"/>
    <w:uiPriority w:val="99"/>
    <w:semiHidden/>
    <w:unhideWhenUsed/>
    <w:rsid w:val="001266BC"/>
    <w:rPr>
      <w:rFonts w:ascii="Tahoma" w:hAnsi="Tahoma" w:cs="Tahoma"/>
      <w:sz w:val="16"/>
      <w:szCs w:val="16"/>
    </w:rPr>
  </w:style>
  <w:style w:type="character" w:customStyle="1" w:styleId="BalloonTextChar">
    <w:name w:val="Balloon Text Char"/>
    <w:link w:val="BalloonText"/>
    <w:uiPriority w:val="99"/>
    <w:semiHidden/>
    <w:rsid w:val="001266BC"/>
    <w:rPr>
      <w:rFonts w:ascii="Tahoma" w:hAnsi="Tahoma" w:cs="Tahoma"/>
      <w:sz w:val="16"/>
      <w:szCs w:val="16"/>
    </w:rPr>
  </w:style>
  <w:style w:type="character" w:customStyle="1" w:styleId="ilad">
    <w:name w:val="il_ad"/>
    <w:basedOn w:val="DefaultParagraphFont"/>
    <w:rsid w:val="00A635E0"/>
  </w:style>
  <w:style w:type="character" w:customStyle="1" w:styleId="toctoggle">
    <w:name w:val="toctoggle"/>
    <w:basedOn w:val="DefaultParagraphFont"/>
    <w:rsid w:val="00A635E0"/>
  </w:style>
  <w:style w:type="character" w:customStyle="1" w:styleId="tocnumber">
    <w:name w:val="tocnumber"/>
    <w:basedOn w:val="DefaultParagraphFont"/>
    <w:rsid w:val="00A635E0"/>
  </w:style>
  <w:style w:type="character" w:customStyle="1" w:styleId="toctext">
    <w:name w:val="toctext"/>
    <w:basedOn w:val="DefaultParagraphFont"/>
    <w:rsid w:val="00A635E0"/>
  </w:style>
  <w:style w:type="character" w:customStyle="1" w:styleId="entry-date">
    <w:name w:val="entry-date"/>
    <w:basedOn w:val="DefaultParagraphFont"/>
    <w:rsid w:val="00A635E0"/>
  </w:style>
  <w:style w:type="character" w:customStyle="1" w:styleId="meta-sep">
    <w:name w:val="meta-sep"/>
    <w:basedOn w:val="DefaultParagraphFont"/>
    <w:rsid w:val="00A635E0"/>
  </w:style>
  <w:style w:type="character" w:customStyle="1" w:styleId="post-content">
    <w:name w:val="post-content"/>
    <w:basedOn w:val="DefaultParagraphFont"/>
    <w:rsid w:val="00A635E0"/>
  </w:style>
  <w:style w:type="character" w:customStyle="1" w:styleId="urlads">
    <w:name w:val="urlads"/>
    <w:basedOn w:val="DefaultParagraphFont"/>
    <w:rsid w:val="00A635E0"/>
  </w:style>
  <w:style w:type="character" w:customStyle="1" w:styleId="desc">
    <w:name w:val="desc"/>
    <w:basedOn w:val="DefaultParagraphFont"/>
    <w:rsid w:val="00A635E0"/>
  </w:style>
  <w:style w:type="character" w:customStyle="1" w:styleId="Heading4Char">
    <w:name w:val="Heading 4 Char"/>
    <w:link w:val="Heading4"/>
    <w:uiPriority w:val="9"/>
    <w:semiHidden/>
    <w:rsid w:val="00E55A17"/>
    <w:rPr>
      <w:rFonts w:ascii="Cambria" w:eastAsia="Times New Roman" w:hAnsi="Cambria" w:cs="Times New Roman"/>
      <w:b/>
      <w:bCs/>
      <w:i/>
      <w:iCs/>
      <w:color w:val="4F81BD"/>
    </w:rPr>
  </w:style>
  <w:style w:type="paragraph" w:styleId="BodyTextIndent">
    <w:name w:val="Body Text Indent"/>
    <w:basedOn w:val="Normal"/>
    <w:link w:val="BodyTextIndentChar"/>
    <w:rsid w:val="00E55A17"/>
    <w:pPr>
      <w:spacing w:before="100" w:beforeAutospacing="1" w:after="100" w:afterAutospacing="1" w:line="480" w:lineRule="auto"/>
      <w:ind w:firstLine="360"/>
    </w:pPr>
    <w:rPr>
      <w:rFonts w:ascii="Times" w:eastAsia="Times New Roman" w:hAnsi="Times" w:cs="Arial Unicode MS"/>
      <w:sz w:val="24"/>
      <w:szCs w:val="20"/>
    </w:rPr>
  </w:style>
  <w:style w:type="character" w:customStyle="1" w:styleId="BodyTextIndentChar">
    <w:name w:val="Body Text Indent Char"/>
    <w:link w:val="BodyTextIndent"/>
    <w:rsid w:val="00E55A17"/>
    <w:rPr>
      <w:rFonts w:ascii="Times" w:eastAsia="Times New Roman" w:hAnsi="Times" w:cs="Arial Unicode MS"/>
      <w:sz w:val="24"/>
      <w:szCs w:val="20"/>
    </w:rPr>
  </w:style>
  <w:style w:type="paragraph" w:styleId="BodyText">
    <w:name w:val="Body Text"/>
    <w:basedOn w:val="Normal"/>
    <w:link w:val="BodyTextChar"/>
    <w:uiPriority w:val="99"/>
    <w:unhideWhenUsed/>
    <w:rsid w:val="00E55A17"/>
    <w:pPr>
      <w:spacing w:after="120"/>
    </w:pPr>
  </w:style>
  <w:style w:type="character" w:customStyle="1" w:styleId="BodyTextChar">
    <w:name w:val="Body Text Char"/>
    <w:basedOn w:val="DefaultParagraphFont"/>
    <w:link w:val="BodyText"/>
    <w:uiPriority w:val="99"/>
    <w:rsid w:val="00E55A17"/>
  </w:style>
  <w:style w:type="paragraph" w:styleId="Header">
    <w:name w:val="header"/>
    <w:basedOn w:val="Normal"/>
    <w:link w:val="HeaderChar"/>
    <w:rsid w:val="00F344E8"/>
    <w:pPr>
      <w:tabs>
        <w:tab w:val="center" w:pos="4320"/>
        <w:tab w:val="right" w:pos="8640"/>
      </w:tabs>
      <w:jc w:val="left"/>
    </w:pPr>
    <w:rPr>
      <w:rFonts w:ascii="Times New Roman" w:eastAsia="Times New Roman" w:hAnsi="Times New Roman"/>
      <w:sz w:val="24"/>
      <w:szCs w:val="20"/>
      <w:lang w:val="en-US"/>
    </w:rPr>
  </w:style>
  <w:style w:type="character" w:customStyle="1" w:styleId="HeaderChar">
    <w:name w:val="Header Char"/>
    <w:link w:val="Header"/>
    <w:rsid w:val="00F344E8"/>
    <w:rPr>
      <w:rFonts w:ascii="Times New Roman" w:eastAsia="Times New Roman" w:hAnsi="Times New Roman" w:cs="Times New Roman"/>
      <w:sz w:val="24"/>
      <w:szCs w:val="20"/>
      <w:lang w:val="en-US"/>
    </w:rPr>
  </w:style>
  <w:style w:type="character" w:styleId="PageNumber">
    <w:name w:val="page number"/>
    <w:basedOn w:val="DefaultParagraphFont"/>
    <w:rsid w:val="00F344E8"/>
  </w:style>
  <w:style w:type="paragraph" w:customStyle="1" w:styleId="Title2">
    <w:name w:val="Title2"/>
    <w:basedOn w:val="Normal"/>
    <w:next w:val="Normal"/>
    <w:rsid w:val="00F344E8"/>
    <w:pPr>
      <w:tabs>
        <w:tab w:val="left" w:pos="648"/>
        <w:tab w:val="right" w:pos="7776"/>
        <w:tab w:val="left" w:pos="7848"/>
      </w:tabs>
      <w:jc w:val="left"/>
    </w:pPr>
    <w:rPr>
      <w:rFonts w:ascii="Courier New" w:eastAsia="Times New Roman" w:hAnsi="Courier New" w:cs="Courier New"/>
      <w:sz w:val="24"/>
      <w:szCs w:val="24"/>
    </w:rPr>
  </w:style>
  <w:style w:type="paragraph" w:styleId="Footer">
    <w:name w:val="footer"/>
    <w:basedOn w:val="Normal"/>
    <w:link w:val="FooterChar"/>
    <w:rsid w:val="00F344E8"/>
    <w:pPr>
      <w:tabs>
        <w:tab w:val="center" w:pos="4320"/>
        <w:tab w:val="right" w:pos="8640"/>
      </w:tabs>
      <w:jc w:val="left"/>
    </w:pPr>
    <w:rPr>
      <w:rFonts w:ascii="Courier New" w:eastAsia="Times New Roman" w:hAnsi="Courier New" w:cs="Courier New"/>
      <w:sz w:val="24"/>
      <w:szCs w:val="24"/>
    </w:rPr>
  </w:style>
  <w:style w:type="character" w:customStyle="1" w:styleId="FooterChar">
    <w:name w:val="Footer Char"/>
    <w:link w:val="Footer"/>
    <w:rsid w:val="00F344E8"/>
    <w:rPr>
      <w:rFonts w:ascii="Courier New" w:eastAsia="Times New Roman" w:hAnsi="Courier New" w:cs="Courier New"/>
      <w:sz w:val="24"/>
      <w:szCs w:val="24"/>
    </w:rPr>
  </w:style>
  <w:style w:type="paragraph" w:customStyle="1" w:styleId="stynormal">
    <w:name w:val="stynormal"/>
    <w:basedOn w:val="Normal"/>
    <w:rsid w:val="00F344E8"/>
    <w:pPr>
      <w:jc w:val="left"/>
    </w:pPr>
    <w:rPr>
      <w:rFonts w:ascii="Times New Roman" w:eastAsia="Times New Roman" w:hAnsi="Times New Roman"/>
      <w:sz w:val="18"/>
      <w:szCs w:val="18"/>
      <w:lang w:val="en-US"/>
    </w:rPr>
  </w:style>
  <w:style w:type="paragraph" w:customStyle="1" w:styleId="Section">
    <w:name w:val="Section"/>
    <w:rsid w:val="00F344E8"/>
    <w:pPr>
      <w:widowControl w:val="0"/>
      <w:autoSpaceDE w:val="0"/>
      <w:autoSpaceDN w:val="0"/>
      <w:adjustRightInd w:val="0"/>
      <w:spacing w:before="180" w:after="180"/>
      <w:ind w:firstLine="360"/>
      <w:jc w:val="both"/>
    </w:pPr>
    <w:rPr>
      <w:rFonts w:ascii="Times New Roman" w:eastAsia="Times New Roman" w:hAnsi="Times New Roman"/>
      <w:b/>
      <w:bCs/>
      <w:sz w:val="24"/>
      <w:szCs w:val="24"/>
    </w:rPr>
  </w:style>
  <w:style w:type="paragraph" w:customStyle="1" w:styleId="CodeSegment">
    <w:name w:val="Code Segment"/>
    <w:rsid w:val="00F344E8"/>
    <w:pPr>
      <w:widowControl w:val="0"/>
      <w:autoSpaceDE w:val="0"/>
      <w:autoSpaceDN w:val="0"/>
      <w:adjustRightInd w:val="0"/>
      <w:jc w:val="both"/>
    </w:pPr>
    <w:rPr>
      <w:rFonts w:ascii="Times New Roman" w:eastAsia="Times New Roman" w:hAnsi="Times New Roman"/>
      <w:vanish/>
      <w:sz w:val="8"/>
      <w:szCs w:val="8"/>
    </w:rPr>
  </w:style>
  <w:style w:type="paragraph" w:customStyle="1" w:styleId="sectext">
    <w:name w:val="sectext"/>
    <w:rsid w:val="00F344E8"/>
    <w:pPr>
      <w:widowControl w:val="0"/>
      <w:autoSpaceDE w:val="0"/>
      <w:autoSpaceDN w:val="0"/>
      <w:adjustRightInd w:val="0"/>
    </w:pPr>
    <w:rPr>
      <w:rFonts w:ascii="Times New Roman" w:eastAsia="Times New Roman" w:hAnsi="Times New Roman"/>
      <w:sz w:val="24"/>
      <w:szCs w:val="24"/>
    </w:rPr>
  </w:style>
  <w:style w:type="character" w:styleId="LineNumber">
    <w:name w:val="line number"/>
    <w:basedOn w:val="DefaultParagraphFont"/>
    <w:uiPriority w:val="99"/>
    <w:semiHidden/>
    <w:unhideWhenUsed/>
    <w:rsid w:val="00F344E8"/>
  </w:style>
  <w:style w:type="character" w:customStyle="1" w:styleId="chemf">
    <w:name w:val="chemf"/>
    <w:basedOn w:val="DefaultParagraphFont"/>
    <w:rsid w:val="002A30ED"/>
  </w:style>
  <w:style w:type="paragraph" w:customStyle="1" w:styleId="MediumShading1-Accent11">
    <w:name w:val="Medium Shading 1 - Accent 11"/>
    <w:uiPriority w:val="99"/>
    <w:qFormat/>
    <w:rsid w:val="006A7FE9"/>
    <w:rPr>
      <w:rFonts w:eastAsia="Times New Roman"/>
      <w:sz w:val="22"/>
      <w:szCs w:val="22"/>
      <w:lang w:val="es-PR"/>
    </w:rPr>
  </w:style>
  <w:style w:type="character" w:styleId="CommentReference">
    <w:name w:val="annotation reference"/>
    <w:uiPriority w:val="99"/>
    <w:semiHidden/>
    <w:unhideWhenUsed/>
    <w:rsid w:val="00AB1E5B"/>
    <w:rPr>
      <w:sz w:val="16"/>
      <w:szCs w:val="16"/>
    </w:rPr>
  </w:style>
  <w:style w:type="paragraph" w:styleId="CommentText">
    <w:name w:val="annotation text"/>
    <w:basedOn w:val="Normal"/>
    <w:link w:val="CommentTextChar"/>
    <w:uiPriority w:val="99"/>
    <w:semiHidden/>
    <w:unhideWhenUsed/>
    <w:rsid w:val="00AB1E5B"/>
    <w:pPr>
      <w:jc w:val="left"/>
    </w:pPr>
    <w:rPr>
      <w:rFonts w:ascii="Times New Roman" w:eastAsia="SimSun" w:hAnsi="Times New Roman"/>
      <w:sz w:val="20"/>
      <w:szCs w:val="20"/>
    </w:rPr>
  </w:style>
  <w:style w:type="character" w:customStyle="1" w:styleId="CommentTextChar">
    <w:name w:val="Comment Text Char"/>
    <w:link w:val="CommentText"/>
    <w:uiPriority w:val="99"/>
    <w:semiHidden/>
    <w:rsid w:val="00AB1E5B"/>
    <w:rPr>
      <w:rFonts w:ascii="Times New Roman" w:eastAsia="SimSun" w:hAnsi="Times New Roman" w:cs="Times New Roman"/>
      <w:sz w:val="20"/>
      <w:szCs w:val="20"/>
    </w:rPr>
  </w:style>
  <w:style w:type="paragraph" w:customStyle="1" w:styleId="Default">
    <w:name w:val="Default"/>
    <w:rsid w:val="00AB1E5B"/>
    <w:pPr>
      <w:autoSpaceDE w:val="0"/>
      <w:autoSpaceDN w:val="0"/>
      <w:adjustRightInd w:val="0"/>
    </w:pPr>
    <w:rPr>
      <w:rFonts w:ascii="Times New Roman" w:hAnsi="Times New Roman"/>
      <w:color w:val="000000"/>
      <w:sz w:val="24"/>
      <w:szCs w:val="24"/>
    </w:rPr>
  </w:style>
  <w:style w:type="paragraph" w:styleId="CommentSubject">
    <w:name w:val="annotation subject"/>
    <w:basedOn w:val="CommentText"/>
    <w:next w:val="CommentText"/>
    <w:link w:val="CommentSubjectChar"/>
    <w:uiPriority w:val="99"/>
    <w:semiHidden/>
    <w:unhideWhenUsed/>
    <w:rsid w:val="00A53C56"/>
    <w:pPr>
      <w:jc w:val="both"/>
    </w:pPr>
    <w:rPr>
      <w:rFonts w:ascii="Calibri" w:eastAsia="Calibri" w:hAnsi="Calibri"/>
      <w:b/>
      <w:bCs/>
    </w:rPr>
  </w:style>
  <w:style w:type="character" w:customStyle="1" w:styleId="CommentSubjectChar">
    <w:name w:val="Comment Subject Char"/>
    <w:link w:val="CommentSubject"/>
    <w:uiPriority w:val="99"/>
    <w:semiHidden/>
    <w:rsid w:val="00A53C56"/>
    <w:rPr>
      <w:rFonts w:ascii="Times New Roman" w:eastAsia="SimSun" w:hAnsi="Times New Roman" w:cs="Times New Roman"/>
      <w:b/>
      <w:bCs/>
      <w:sz w:val="20"/>
      <w:szCs w:val="20"/>
      <w:lang w:val="es-ES"/>
    </w:rPr>
  </w:style>
  <w:style w:type="paragraph" w:styleId="ListBullet">
    <w:name w:val="List Bullet"/>
    <w:basedOn w:val="Normal"/>
    <w:uiPriority w:val="9"/>
    <w:qFormat/>
    <w:rsid w:val="0049087D"/>
    <w:pPr>
      <w:numPr>
        <w:numId w:val="29"/>
      </w:numPr>
      <w:spacing w:after="120" w:line="259" w:lineRule="auto"/>
      <w:jc w:val="left"/>
    </w:pPr>
    <w:rPr>
      <w:color w:val="595959"/>
      <w:sz w:val="30"/>
      <w:szCs w:val="30"/>
      <w:lang w:val="en-US"/>
    </w:rPr>
  </w:style>
  <w:style w:type="paragraph" w:styleId="FootnoteText">
    <w:name w:val="footnote text"/>
    <w:basedOn w:val="Normal"/>
    <w:link w:val="FootnoteTextChar"/>
    <w:uiPriority w:val="99"/>
    <w:semiHidden/>
    <w:unhideWhenUsed/>
    <w:rsid w:val="00E81259"/>
    <w:pPr>
      <w:widowControl w:val="0"/>
      <w:autoSpaceDE w:val="0"/>
      <w:autoSpaceDN w:val="0"/>
      <w:jc w:val="left"/>
    </w:pPr>
    <w:rPr>
      <w:rFonts w:ascii="Palatino Linotype" w:eastAsia="Palatino Linotype" w:hAnsi="Palatino Linotype" w:cs="Palatino Linotype"/>
      <w:sz w:val="20"/>
      <w:szCs w:val="20"/>
    </w:rPr>
  </w:style>
  <w:style w:type="character" w:customStyle="1" w:styleId="FootnoteTextChar">
    <w:name w:val="Footnote Text Char"/>
    <w:link w:val="FootnoteText"/>
    <w:uiPriority w:val="99"/>
    <w:semiHidden/>
    <w:rsid w:val="00E81259"/>
    <w:rPr>
      <w:rFonts w:ascii="Palatino Linotype" w:eastAsia="Palatino Linotype" w:hAnsi="Palatino Linotype" w:cs="Palatino Linotype"/>
      <w:lang w:val="es-ES"/>
    </w:rPr>
  </w:style>
  <w:style w:type="character" w:styleId="FootnoteReference">
    <w:name w:val="footnote reference"/>
    <w:uiPriority w:val="99"/>
    <w:semiHidden/>
    <w:unhideWhenUsed/>
    <w:rsid w:val="00E81259"/>
    <w:rPr>
      <w:vertAlign w:val="superscript"/>
    </w:rPr>
  </w:style>
  <w:style w:type="paragraph" w:styleId="Quote">
    <w:name w:val="Quote"/>
    <w:basedOn w:val="Normal"/>
    <w:next w:val="Normal"/>
    <w:link w:val="QuoteChar"/>
    <w:uiPriority w:val="29"/>
    <w:qFormat/>
    <w:rsid w:val="00E81259"/>
    <w:pPr>
      <w:widowControl w:val="0"/>
      <w:autoSpaceDE w:val="0"/>
      <w:autoSpaceDN w:val="0"/>
      <w:spacing w:before="200" w:after="160"/>
      <w:ind w:left="864" w:right="864"/>
      <w:jc w:val="center"/>
    </w:pPr>
    <w:rPr>
      <w:rFonts w:ascii="Palatino Linotype" w:eastAsia="Palatino Linotype" w:hAnsi="Palatino Linotype" w:cs="Palatino Linotype"/>
      <w:i/>
      <w:iCs/>
      <w:color w:val="404040"/>
    </w:rPr>
  </w:style>
  <w:style w:type="character" w:customStyle="1" w:styleId="QuoteChar">
    <w:name w:val="Quote Char"/>
    <w:link w:val="Quote"/>
    <w:uiPriority w:val="29"/>
    <w:rsid w:val="00E81259"/>
    <w:rPr>
      <w:rFonts w:ascii="Palatino Linotype" w:eastAsia="Palatino Linotype" w:hAnsi="Palatino Linotype" w:cs="Palatino Linotype"/>
      <w:i/>
      <w:iCs/>
      <w:color w:val="404040"/>
      <w:sz w:val="22"/>
      <w:szCs w:val="22"/>
      <w:lang w:val="es-ES"/>
    </w:rPr>
  </w:style>
  <w:style w:type="paragraph" w:customStyle="1" w:styleId="default0">
    <w:name w:val="default"/>
    <w:basedOn w:val="Normal"/>
    <w:rsid w:val="005263E7"/>
    <w:pPr>
      <w:autoSpaceDE w:val="0"/>
      <w:autoSpaceDN w:val="0"/>
      <w:jc w:val="left"/>
    </w:pPr>
    <w:rPr>
      <w:rFonts w:ascii="DXANP N+ Serifa B T," w:eastAsia="Times New Roman" w:hAnsi="DXANP N+ Serifa B T,"/>
      <w:color w:val="000000"/>
      <w:sz w:val="24"/>
      <w:szCs w:val="24"/>
      <w:lang w:val="en-US"/>
    </w:rPr>
  </w:style>
  <w:style w:type="character" w:styleId="UnresolvedMention">
    <w:name w:val="Unresolved Mention"/>
    <w:uiPriority w:val="99"/>
    <w:semiHidden/>
    <w:unhideWhenUsed/>
    <w:rsid w:val="00A23F14"/>
    <w:rPr>
      <w:color w:val="605E5C"/>
      <w:shd w:val="clear" w:color="auto" w:fill="E1DFDD"/>
    </w:rPr>
  </w:style>
  <w:style w:type="paragraph" w:styleId="ListNumber2">
    <w:name w:val="List Number 2"/>
    <w:basedOn w:val="Normal"/>
    <w:uiPriority w:val="99"/>
    <w:unhideWhenUsed/>
    <w:rsid w:val="00385EE1"/>
    <w:pPr>
      <w:numPr>
        <w:numId w:val="37"/>
      </w:numPr>
      <w:tabs>
        <w:tab w:val="clear" w:pos="720"/>
      </w:tabs>
      <w:spacing w:after="200" w:line="276" w:lineRule="auto"/>
      <w:ind w:left="0" w:firstLine="0"/>
      <w:contextualSpacing/>
      <w:jc w:val="left"/>
    </w:pPr>
    <w:rPr>
      <w:rFonts w:ascii="Cambria" w:eastAsia="MS Mincho" w:hAnsi="Cambr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89672">
      <w:bodyDiv w:val="1"/>
      <w:marLeft w:val="0"/>
      <w:marRight w:val="0"/>
      <w:marTop w:val="0"/>
      <w:marBottom w:val="0"/>
      <w:divBdr>
        <w:top w:val="none" w:sz="0" w:space="0" w:color="auto"/>
        <w:left w:val="none" w:sz="0" w:space="0" w:color="auto"/>
        <w:bottom w:val="none" w:sz="0" w:space="0" w:color="auto"/>
        <w:right w:val="none" w:sz="0" w:space="0" w:color="auto"/>
      </w:divBdr>
      <w:divsChild>
        <w:div w:id="256059381">
          <w:marLeft w:val="0"/>
          <w:marRight w:val="0"/>
          <w:marTop w:val="0"/>
          <w:marBottom w:val="203"/>
          <w:divBdr>
            <w:top w:val="none" w:sz="0" w:space="0" w:color="auto"/>
            <w:left w:val="none" w:sz="0" w:space="0" w:color="auto"/>
            <w:bottom w:val="none" w:sz="0" w:space="0" w:color="auto"/>
            <w:right w:val="none" w:sz="0" w:space="0" w:color="auto"/>
          </w:divBdr>
          <w:divsChild>
            <w:div w:id="1113094584">
              <w:marLeft w:val="304"/>
              <w:marRight w:val="0"/>
              <w:marTop w:val="0"/>
              <w:marBottom w:val="304"/>
              <w:divBdr>
                <w:top w:val="none" w:sz="0" w:space="0" w:color="auto"/>
                <w:left w:val="none" w:sz="0" w:space="0" w:color="auto"/>
                <w:bottom w:val="none" w:sz="0" w:space="0" w:color="auto"/>
                <w:right w:val="none" w:sz="0" w:space="0" w:color="auto"/>
              </w:divBdr>
              <w:divsChild>
                <w:div w:id="808791472">
                  <w:marLeft w:val="0"/>
                  <w:marRight w:val="0"/>
                  <w:marTop w:val="0"/>
                  <w:marBottom w:val="0"/>
                  <w:divBdr>
                    <w:top w:val="none" w:sz="0" w:space="0" w:color="auto"/>
                    <w:left w:val="none" w:sz="0" w:space="0" w:color="auto"/>
                    <w:bottom w:val="none" w:sz="0" w:space="0" w:color="auto"/>
                    <w:right w:val="none" w:sz="0" w:space="0" w:color="auto"/>
                  </w:divBdr>
                  <w:divsChild>
                    <w:div w:id="106464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178933">
              <w:marLeft w:val="0"/>
              <w:marRight w:val="0"/>
              <w:marTop w:val="101"/>
              <w:marBottom w:val="101"/>
              <w:divBdr>
                <w:top w:val="none" w:sz="0" w:space="0" w:color="auto"/>
                <w:left w:val="none" w:sz="0" w:space="0" w:color="auto"/>
                <w:bottom w:val="none" w:sz="0" w:space="0" w:color="auto"/>
                <w:right w:val="none" w:sz="0" w:space="0" w:color="auto"/>
              </w:divBdr>
              <w:divsChild>
                <w:div w:id="1880581480">
                  <w:marLeft w:val="0"/>
                  <w:marRight w:val="0"/>
                  <w:marTop w:val="0"/>
                  <w:marBottom w:val="0"/>
                  <w:divBdr>
                    <w:top w:val="none" w:sz="0" w:space="0" w:color="auto"/>
                    <w:left w:val="none" w:sz="0" w:space="0" w:color="auto"/>
                    <w:bottom w:val="none" w:sz="0" w:space="0" w:color="auto"/>
                    <w:right w:val="none" w:sz="0" w:space="0" w:color="auto"/>
                  </w:divBdr>
                  <w:divsChild>
                    <w:div w:id="1148475534">
                      <w:marLeft w:val="0"/>
                      <w:marRight w:val="0"/>
                      <w:marTop w:val="0"/>
                      <w:marBottom w:val="0"/>
                      <w:divBdr>
                        <w:top w:val="none" w:sz="0" w:space="0" w:color="auto"/>
                        <w:left w:val="none" w:sz="0" w:space="0" w:color="auto"/>
                        <w:bottom w:val="none" w:sz="0" w:space="0" w:color="auto"/>
                        <w:right w:val="none" w:sz="0" w:space="0" w:color="auto"/>
                      </w:divBdr>
                      <w:divsChild>
                        <w:div w:id="70621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990588">
          <w:marLeft w:val="0"/>
          <w:marRight w:val="0"/>
          <w:marTop w:val="0"/>
          <w:marBottom w:val="0"/>
          <w:divBdr>
            <w:top w:val="none" w:sz="0" w:space="0" w:color="auto"/>
            <w:left w:val="none" w:sz="0" w:space="0" w:color="auto"/>
            <w:bottom w:val="none" w:sz="0" w:space="0" w:color="auto"/>
            <w:right w:val="none" w:sz="0" w:space="0" w:color="auto"/>
          </w:divBdr>
        </w:div>
      </w:divsChild>
    </w:div>
    <w:div w:id="296184639">
      <w:bodyDiv w:val="1"/>
      <w:marLeft w:val="0"/>
      <w:marRight w:val="0"/>
      <w:marTop w:val="0"/>
      <w:marBottom w:val="0"/>
      <w:divBdr>
        <w:top w:val="none" w:sz="0" w:space="0" w:color="auto"/>
        <w:left w:val="none" w:sz="0" w:space="0" w:color="auto"/>
        <w:bottom w:val="none" w:sz="0" w:space="0" w:color="auto"/>
        <w:right w:val="none" w:sz="0" w:space="0" w:color="auto"/>
      </w:divBdr>
    </w:div>
    <w:div w:id="317923862">
      <w:bodyDiv w:val="1"/>
      <w:marLeft w:val="0"/>
      <w:marRight w:val="0"/>
      <w:marTop w:val="0"/>
      <w:marBottom w:val="0"/>
      <w:divBdr>
        <w:top w:val="none" w:sz="0" w:space="0" w:color="auto"/>
        <w:left w:val="none" w:sz="0" w:space="0" w:color="auto"/>
        <w:bottom w:val="none" w:sz="0" w:space="0" w:color="auto"/>
        <w:right w:val="none" w:sz="0" w:space="0" w:color="auto"/>
      </w:divBdr>
    </w:div>
    <w:div w:id="666709244">
      <w:bodyDiv w:val="1"/>
      <w:marLeft w:val="0"/>
      <w:marRight w:val="0"/>
      <w:marTop w:val="0"/>
      <w:marBottom w:val="0"/>
      <w:divBdr>
        <w:top w:val="none" w:sz="0" w:space="0" w:color="auto"/>
        <w:left w:val="none" w:sz="0" w:space="0" w:color="auto"/>
        <w:bottom w:val="none" w:sz="0" w:space="0" w:color="auto"/>
        <w:right w:val="none" w:sz="0" w:space="0" w:color="auto"/>
      </w:divBdr>
      <w:divsChild>
        <w:div w:id="547957837">
          <w:marLeft w:val="0"/>
          <w:marRight w:val="0"/>
          <w:marTop w:val="0"/>
          <w:marBottom w:val="0"/>
          <w:divBdr>
            <w:top w:val="none" w:sz="0" w:space="0" w:color="auto"/>
            <w:left w:val="none" w:sz="0" w:space="0" w:color="auto"/>
            <w:bottom w:val="none" w:sz="0" w:space="0" w:color="auto"/>
            <w:right w:val="none" w:sz="0" w:space="0" w:color="auto"/>
          </w:divBdr>
        </w:div>
      </w:divsChild>
    </w:div>
    <w:div w:id="808783349">
      <w:bodyDiv w:val="1"/>
      <w:marLeft w:val="0"/>
      <w:marRight w:val="0"/>
      <w:marTop w:val="0"/>
      <w:marBottom w:val="0"/>
      <w:divBdr>
        <w:top w:val="none" w:sz="0" w:space="0" w:color="auto"/>
        <w:left w:val="none" w:sz="0" w:space="0" w:color="auto"/>
        <w:bottom w:val="none" w:sz="0" w:space="0" w:color="auto"/>
        <w:right w:val="none" w:sz="0" w:space="0" w:color="auto"/>
      </w:divBdr>
      <w:divsChild>
        <w:div w:id="288781978">
          <w:marLeft w:val="0"/>
          <w:marRight w:val="240"/>
          <w:marTop w:val="0"/>
          <w:marBottom w:val="150"/>
          <w:divBdr>
            <w:top w:val="none" w:sz="0" w:space="0" w:color="auto"/>
            <w:left w:val="none" w:sz="0" w:space="0" w:color="auto"/>
            <w:bottom w:val="none" w:sz="0" w:space="0" w:color="auto"/>
            <w:right w:val="none" w:sz="0" w:space="0" w:color="auto"/>
          </w:divBdr>
        </w:div>
        <w:div w:id="613445019">
          <w:marLeft w:val="0"/>
          <w:marRight w:val="0"/>
          <w:marTop w:val="0"/>
          <w:marBottom w:val="150"/>
          <w:divBdr>
            <w:top w:val="none" w:sz="0" w:space="0" w:color="auto"/>
            <w:left w:val="none" w:sz="0" w:space="0" w:color="auto"/>
            <w:bottom w:val="none" w:sz="0" w:space="0" w:color="auto"/>
            <w:right w:val="none" w:sz="0" w:space="0" w:color="auto"/>
          </w:divBdr>
          <w:divsChild>
            <w:div w:id="340595377">
              <w:marLeft w:val="0"/>
              <w:marRight w:val="0"/>
              <w:marTop w:val="0"/>
              <w:marBottom w:val="0"/>
              <w:divBdr>
                <w:top w:val="none" w:sz="0" w:space="0" w:color="auto"/>
                <w:left w:val="none" w:sz="0" w:space="0" w:color="auto"/>
                <w:bottom w:val="none" w:sz="0" w:space="0" w:color="auto"/>
                <w:right w:val="none" w:sz="0" w:space="0" w:color="auto"/>
              </w:divBdr>
            </w:div>
            <w:div w:id="1230270465">
              <w:marLeft w:val="0"/>
              <w:marRight w:val="0"/>
              <w:marTop w:val="0"/>
              <w:marBottom w:val="0"/>
              <w:divBdr>
                <w:top w:val="none" w:sz="0" w:space="0" w:color="auto"/>
                <w:left w:val="none" w:sz="0" w:space="0" w:color="auto"/>
                <w:bottom w:val="none" w:sz="0" w:space="0" w:color="auto"/>
                <w:right w:val="none" w:sz="0" w:space="0" w:color="auto"/>
              </w:divBdr>
              <w:divsChild>
                <w:div w:id="525100518">
                  <w:marLeft w:val="0"/>
                  <w:marRight w:val="0"/>
                  <w:marTop w:val="0"/>
                  <w:marBottom w:val="0"/>
                  <w:divBdr>
                    <w:top w:val="none" w:sz="0" w:space="0" w:color="auto"/>
                    <w:left w:val="none" w:sz="0" w:space="0" w:color="auto"/>
                    <w:bottom w:val="none" w:sz="0" w:space="0" w:color="auto"/>
                    <w:right w:val="none" w:sz="0" w:space="0" w:color="auto"/>
                  </w:divBdr>
                  <w:divsChild>
                    <w:div w:id="1360156095">
                      <w:marLeft w:val="0"/>
                      <w:marRight w:val="0"/>
                      <w:marTop w:val="0"/>
                      <w:marBottom w:val="0"/>
                      <w:divBdr>
                        <w:top w:val="none" w:sz="0" w:space="0" w:color="auto"/>
                        <w:left w:val="none" w:sz="0" w:space="0" w:color="auto"/>
                        <w:bottom w:val="none" w:sz="0" w:space="0" w:color="auto"/>
                        <w:right w:val="none" w:sz="0" w:space="0" w:color="auto"/>
                      </w:divBdr>
                    </w:div>
                  </w:divsChild>
                </w:div>
                <w:div w:id="1423183962">
                  <w:marLeft w:val="90"/>
                  <w:marRight w:val="0"/>
                  <w:marTop w:val="0"/>
                  <w:marBottom w:val="0"/>
                  <w:divBdr>
                    <w:top w:val="none" w:sz="0" w:space="0" w:color="auto"/>
                    <w:left w:val="single" w:sz="6" w:space="6" w:color="575555"/>
                    <w:bottom w:val="none" w:sz="0" w:space="0" w:color="auto"/>
                    <w:right w:val="none" w:sz="0" w:space="0" w:color="auto"/>
                  </w:divBdr>
                </w:div>
              </w:divsChild>
            </w:div>
          </w:divsChild>
        </w:div>
        <w:div w:id="617955651">
          <w:marLeft w:val="0"/>
          <w:marRight w:val="0"/>
          <w:marTop w:val="0"/>
          <w:marBottom w:val="150"/>
          <w:divBdr>
            <w:top w:val="none" w:sz="0" w:space="0" w:color="auto"/>
            <w:left w:val="none" w:sz="0" w:space="0" w:color="auto"/>
            <w:bottom w:val="none" w:sz="0" w:space="0" w:color="auto"/>
            <w:right w:val="none" w:sz="0" w:space="0" w:color="auto"/>
          </w:divBdr>
        </w:div>
        <w:div w:id="713121813">
          <w:marLeft w:val="0"/>
          <w:marRight w:val="0"/>
          <w:marTop w:val="0"/>
          <w:marBottom w:val="150"/>
          <w:divBdr>
            <w:top w:val="none" w:sz="0" w:space="0" w:color="auto"/>
            <w:left w:val="none" w:sz="0" w:space="0" w:color="auto"/>
            <w:bottom w:val="none" w:sz="0" w:space="0" w:color="auto"/>
            <w:right w:val="none" w:sz="0" w:space="0" w:color="auto"/>
          </w:divBdr>
        </w:div>
        <w:div w:id="1846440101">
          <w:marLeft w:val="0"/>
          <w:marRight w:val="240"/>
          <w:marTop w:val="0"/>
          <w:marBottom w:val="150"/>
          <w:divBdr>
            <w:top w:val="none" w:sz="0" w:space="0" w:color="auto"/>
            <w:left w:val="none" w:sz="0" w:space="0" w:color="auto"/>
            <w:bottom w:val="none" w:sz="0" w:space="0" w:color="auto"/>
            <w:right w:val="none" w:sz="0" w:space="0" w:color="auto"/>
          </w:divBdr>
        </w:div>
      </w:divsChild>
    </w:div>
    <w:div w:id="1092972472">
      <w:bodyDiv w:val="1"/>
      <w:marLeft w:val="0"/>
      <w:marRight w:val="0"/>
      <w:marTop w:val="0"/>
      <w:marBottom w:val="0"/>
      <w:divBdr>
        <w:top w:val="none" w:sz="0" w:space="0" w:color="auto"/>
        <w:left w:val="none" w:sz="0" w:space="0" w:color="auto"/>
        <w:bottom w:val="none" w:sz="0" w:space="0" w:color="auto"/>
        <w:right w:val="none" w:sz="0" w:space="0" w:color="auto"/>
      </w:divBdr>
      <w:divsChild>
        <w:div w:id="1092628021">
          <w:marLeft w:val="0"/>
          <w:marRight w:val="0"/>
          <w:marTop w:val="0"/>
          <w:marBottom w:val="203"/>
          <w:divBdr>
            <w:top w:val="none" w:sz="0" w:space="0" w:color="auto"/>
            <w:left w:val="none" w:sz="0" w:space="0" w:color="auto"/>
            <w:bottom w:val="none" w:sz="0" w:space="0" w:color="auto"/>
            <w:right w:val="none" w:sz="0" w:space="0" w:color="auto"/>
          </w:divBdr>
          <w:divsChild>
            <w:div w:id="117233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898625">
      <w:bodyDiv w:val="1"/>
      <w:marLeft w:val="0"/>
      <w:marRight w:val="0"/>
      <w:marTop w:val="0"/>
      <w:marBottom w:val="0"/>
      <w:divBdr>
        <w:top w:val="none" w:sz="0" w:space="0" w:color="auto"/>
        <w:left w:val="none" w:sz="0" w:space="0" w:color="auto"/>
        <w:bottom w:val="none" w:sz="0" w:space="0" w:color="auto"/>
        <w:right w:val="none" w:sz="0" w:space="0" w:color="auto"/>
      </w:divBdr>
      <w:divsChild>
        <w:div w:id="199975637">
          <w:marLeft w:val="336"/>
          <w:marRight w:val="0"/>
          <w:marTop w:val="120"/>
          <w:marBottom w:val="312"/>
          <w:divBdr>
            <w:top w:val="none" w:sz="0" w:space="0" w:color="auto"/>
            <w:left w:val="none" w:sz="0" w:space="0" w:color="auto"/>
            <w:bottom w:val="none" w:sz="0" w:space="0" w:color="auto"/>
            <w:right w:val="none" w:sz="0" w:space="0" w:color="auto"/>
          </w:divBdr>
          <w:divsChild>
            <w:div w:id="316347914">
              <w:marLeft w:val="0"/>
              <w:marRight w:val="0"/>
              <w:marTop w:val="0"/>
              <w:marBottom w:val="0"/>
              <w:divBdr>
                <w:top w:val="single" w:sz="6" w:space="0" w:color="CCCCCC"/>
                <w:left w:val="single" w:sz="6" w:space="0" w:color="CCCCCC"/>
                <w:bottom w:val="single" w:sz="6" w:space="0" w:color="CCCCCC"/>
                <w:right w:val="single" w:sz="6" w:space="0" w:color="CCCCCC"/>
              </w:divBdr>
              <w:divsChild>
                <w:div w:id="166535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673761">
          <w:marLeft w:val="336"/>
          <w:marRight w:val="0"/>
          <w:marTop w:val="120"/>
          <w:marBottom w:val="312"/>
          <w:divBdr>
            <w:top w:val="none" w:sz="0" w:space="0" w:color="auto"/>
            <w:left w:val="none" w:sz="0" w:space="0" w:color="auto"/>
            <w:bottom w:val="none" w:sz="0" w:space="0" w:color="auto"/>
            <w:right w:val="none" w:sz="0" w:space="0" w:color="auto"/>
          </w:divBdr>
          <w:divsChild>
            <w:div w:id="1131748715">
              <w:marLeft w:val="0"/>
              <w:marRight w:val="0"/>
              <w:marTop w:val="0"/>
              <w:marBottom w:val="0"/>
              <w:divBdr>
                <w:top w:val="single" w:sz="6" w:space="0" w:color="CCCCCC"/>
                <w:left w:val="single" w:sz="6" w:space="0" w:color="CCCCCC"/>
                <w:bottom w:val="single" w:sz="6" w:space="0" w:color="CCCCCC"/>
                <w:right w:val="single" w:sz="6" w:space="0" w:color="CCCCCC"/>
              </w:divBdr>
              <w:divsChild>
                <w:div w:id="91752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223731">
          <w:marLeft w:val="336"/>
          <w:marRight w:val="0"/>
          <w:marTop w:val="120"/>
          <w:marBottom w:val="312"/>
          <w:divBdr>
            <w:top w:val="none" w:sz="0" w:space="0" w:color="auto"/>
            <w:left w:val="none" w:sz="0" w:space="0" w:color="auto"/>
            <w:bottom w:val="none" w:sz="0" w:space="0" w:color="auto"/>
            <w:right w:val="none" w:sz="0" w:space="0" w:color="auto"/>
          </w:divBdr>
          <w:divsChild>
            <w:div w:id="898245426">
              <w:marLeft w:val="0"/>
              <w:marRight w:val="0"/>
              <w:marTop w:val="0"/>
              <w:marBottom w:val="0"/>
              <w:divBdr>
                <w:top w:val="single" w:sz="6" w:space="0" w:color="CCCCCC"/>
                <w:left w:val="single" w:sz="6" w:space="0" w:color="CCCCCC"/>
                <w:bottom w:val="single" w:sz="6" w:space="0" w:color="CCCCCC"/>
                <w:right w:val="single" w:sz="6" w:space="0" w:color="CCCCCC"/>
              </w:divBdr>
              <w:divsChild>
                <w:div w:id="86582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486432">
          <w:marLeft w:val="336"/>
          <w:marRight w:val="0"/>
          <w:marTop w:val="120"/>
          <w:marBottom w:val="312"/>
          <w:divBdr>
            <w:top w:val="none" w:sz="0" w:space="0" w:color="auto"/>
            <w:left w:val="none" w:sz="0" w:space="0" w:color="auto"/>
            <w:bottom w:val="none" w:sz="0" w:space="0" w:color="auto"/>
            <w:right w:val="none" w:sz="0" w:space="0" w:color="auto"/>
          </w:divBdr>
          <w:divsChild>
            <w:div w:id="1130053098">
              <w:marLeft w:val="0"/>
              <w:marRight w:val="0"/>
              <w:marTop w:val="0"/>
              <w:marBottom w:val="0"/>
              <w:divBdr>
                <w:top w:val="single" w:sz="6" w:space="0" w:color="CCCCCC"/>
                <w:left w:val="single" w:sz="6" w:space="0" w:color="CCCCCC"/>
                <w:bottom w:val="single" w:sz="6" w:space="0" w:color="CCCCCC"/>
                <w:right w:val="single" w:sz="6" w:space="0" w:color="CCCCCC"/>
              </w:divBdr>
              <w:divsChild>
                <w:div w:id="22499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580039">
          <w:marLeft w:val="336"/>
          <w:marRight w:val="0"/>
          <w:marTop w:val="120"/>
          <w:marBottom w:val="312"/>
          <w:divBdr>
            <w:top w:val="none" w:sz="0" w:space="0" w:color="auto"/>
            <w:left w:val="none" w:sz="0" w:space="0" w:color="auto"/>
            <w:bottom w:val="none" w:sz="0" w:space="0" w:color="auto"/>
            <w:right w:val="none" w:sz="0" w:space="0" w:color="auto"/>
          </w:divBdr>
          <w:divsChild>
            <w:div w:id="1560702609">
              <w:marLeft w:val="0"/>
              <w:marRight w:val="0"/>
              <w:marTop w:val="0"/>
              <w:marBottom w:val="0"/>
              <w:divBdr>
                <w:top w:val="single" w:sz="6" w:space="0" w:color="CCCCCC"/>
                <w:left w:val="single" w:sz="6" w:space="0" w:color="CCCCCC"/>
                <w:bottom w:val="single" w:sz="6" w:space="0" w:color="CCCCCC"/>
                <w:right w:val="single" w:sz="6" w:space="0" w:color="CCCCCC"/>
              </w:divBdr>
              <w:divsChild>
                <w:div w:id="171215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153071">
          <w:marLeft w:val="336"/>
          <w:marRight w:val="0"/>
          <w:marTop w:val="120"/>
          <w:marBottom w:val="312"/>
          <w:divBdr>
            <w:top w:val="none" w:sz="0" w:space="0" w:color="auto"/>
            <w:left w:val="none" w:sz="0" w:space="0" w:color="auto"/>
            <w:bottom w:val="none" w:sz="0" w:space="0" w:color="auto"/>
            <w:right w:val="none" w:sz="0" w:space="0" w:color="auto"/>
          </w:divBdr>
          <w:divsChild>
            <w:div w:id="1315842127">
              <w:marLeft w:val="0"/>
              <w:marRight w:val="0"/>
              <w:marTop w:val="0"/>
              <w:marBottom w:val="0"/>
              <w:divBdr>
                <w:top w:val="single" w:sz="6" w:space="0" w:color="CCCCCC"/>
                <w:left w:val="single" w:sz="6" w:space="0" w:color="CCCCCC"/>
                <w:bottom w:val="single" w:sz="6" w:space="0" w:color="CCCCCC"/>
                <w:right w:val="single" w:sz="6" w:space="0" w:color="CCCCCC"/>
              </w:divBdr>
              <w:divsChild>
                <w:div w:id="62917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476874">
      <w:bodyDiv w:val="1"/>
      <w:marLeft w:val="0"/>
      <w:marRight w:val="0"/>
      <w:marTop w:val="0"/>
      <w:marBottom w:val="0"/>
      <w:divBdr>
        <w:top w:val="none" w:sz="0" w:space="0" w:color="auto"/>
        <w:left w:val="none" w:sz="0" w:space="0" w:color="auto"/>
        <w:bottom w:val="none" w:sz="0" w:space="0" w:color="auto"/>
        <w:right w:val="none" w:sz="0" w:space="0" w:color="auto"/>
      </w:divBdr>
      <w:divsChild>
        <w:div w:id="376005284">
          <w:marLeft w:val="0"/>
          <w:marRight w:val="0"/>
          <w:marTop w:val="0"/>
          <w:marBottom w:val="0"/>
          <w:divBdr>
            <w:top w:val="none" w:sz="0" w:space="0" w:color="auto"/>
            <w:left w:val="none" w:sz="0" w:space="0" w:color="auto"/>
            <w:bottom w:val="none" w:sz="0" w:space="0" w:color="auto"/>
            <w:right w:val="none" w:sz="0" w:space="0" w:color="auto"/>
          </w:divBdr>
        </w:div>
      </w:divsChild>
    </w:div>
    <w:div w:id="1418137014">
      <w:bodyDiv w:val="1"/>
      <w:marLeft w:val="0"/>
      <w:marRight w:val="0"/>
      <w:marTop w:val="0"/>
      <w:marBottom w:val="0"/>
      <w:divBdr>
        <w:top w:val="none" w:sz="0" w:space="0" w:color="auto"/>
        <w:left w:val="none" w:sz="0" w:space="0" w:color="auto"/>
        <w:bottom w:val="none" w:sz="0" w:space="0" w:color="auto"/>
        <w:right w:val="none" w:sz="0" w:space="0" w:color="auto"/>
      </w:divBdr>
    </w:div>
    <w:div w:id="1496678140">
      <w:bodyDiv w:val="1"/>
      <w:marLeft w:val="0"/>
      <w:marRight w:val="0"/>
      <w:marTop w:val="0"/>
      <w:marBottom w:val="0"/>
      <w:divBdr>
        <w:top w:val="none" w:sz="0" w:space="0" w:color="auto"/>
        <w:left w:val="none" w:sz="0" w:space="0" w:color="auto"/>
        <w:bottom w:val="none" w:sz="0" w:space="0" w:color="auto"/>
        <w:right w:val="none" w:sz="0" w:space="0" w:color="auto"/>
      </w:divBdr>
      <w:divsChild>
        <w:div w:id="155539158">
          <w:marLeft w:val="0"/>
          <w:marRight w:val="0"/>
          <w:marTop w:val="0"/>
          <w:marBottom w:val="0"/>
          <w:divBdr>
            <w:top w:val="none" w:sz="0" w:space="0" w:color="auto"/>
            <w:left w:val="none" w:sz="0" w:space="0" w:color="auto"/>
            <w:bottom w:val="none" w:sz="0" w:space="0" w:color="auto"/>
            <w:right w:val="none" w:sz="0" w:space="0" w:color="auto"/>
          </w:divBdr>
        </w:div>
        <w:div w:id="698775207">
          <w:marLeft w:val="0"/>
          <w:marRight w:val="0"/>
          <w:marTop w:val="0"/>
          <w:marBottom w:val="0"/>
          <w:divBdr>
            <w:top w:val="none" w:sz="0" w:space="0" w:color="auto"/>
            <w:left w:val="none" w:sz="0" w:space="0" w:color="auto"/>
            <w:bottom w:val="none" w:sz="0" w:space="0" w:color="auto"/>
            <w:right w:val="none" w:sz="0" w:space="0" w:color="auto"/>
          </w:divBdr>
        </w:div>
        <w:div w:id="943998409">
          <w:marLeft w:val="0"/>
          <w:marRight w:val="0"/>
          <w:marTop w:val="0"/>
          <w:marBottom w:val="0"/>
          <w:divBdr>
            <w:top w:val="none" w:sz="0" w:space="0" w:color="auto"/>
            <w:left w:val="none" w:sz="0" w:space="0" w:color="auto"/>
            <w:bottom w:val="none" w:sz="0" w:space="0" w:color="auto"/>
            <w:right w:val="none" w:sz="0" w:space="0" w:color="auto"/>
          </w:divBdr>
        </w:div>
        <w:div w:id="978805770">
          <w:marLeft w:val="0"/>
          <w:marRight w:val="0"/>
          <w:marTop w:val="0"/>
          <w:marBottom w:val="0"/>
          <w:divBdr>
            <w:top w:val="none" w:sz="0" w:space="0" w:color="auto"/>
            <w:left w:val="none" w:sz="0" w:space="0" w:color="auto"/>
            <w:bottom w:val="none" w:sz="0" w:space="0" w:color="auto"/>
            <w:right w:val="none" w:sz="0" w:space="0" w:color="auto"/>
          </w:divBdr>
        </w:div>
        <w:div w:id="1248416253">
          <w:marLeft w:val="0"/>
          <w:marRight w:val="0"/>
          <w:marTop w:val="0"/>
          <w:marBottom w:val="0"/>
          <w:divBdr>
            <w:top w:val="none" w:sz="0" w:space="0" w:color="auto"/>
            <w:left w:val="none" w:sz="0" w:space="0" w:color="auto"/>
            <w:bottom w:val="none" w:sz="0" w:space="0" w:color="auto"/>
            <w:right w:val="none" w:sz="0" w:space="0" w:color="auto"/>
          </w:divBdr>
        </w:div>
        <w:div w:id="1712875477">
          <w:marLeft w:val="0"/>
          <w:marRight w:val="0"/>
          <w:marTop w:val="0"/>
          <w:marBottom w:val="0"/>
          <w:divBdr>
            <w:top w:val="none" w:sz="0" w:space="0" w:color="auto"/>
            <w:left w:val="none" w:sz="0" w:space="0" w:color="auto"/>
            <w:bottom w:val="none" w:sz="0" w:space="0" w:color="auto"/>
            <w:right w:val="none" w:sz="0" w:space="0" w:color="auto"/>
          </w:divBdr>
        </w:div>
        <w:div w:id="1807698338">
          <w:marLeft w:val="0"/>
          <w:marRight w:val="0"/>
          <w:marTop w:val="0"/>
          <w:marBottom w:val="0"/>
          <w:divBdr>
            <w:top w:val="none" w:sz="0" w:space="0" w:color="auto"/>
            <w:left w:val="none" w:sz="0" w:space="0" w:color="auto"/>
            <w:bottom w:val="none" w:sz="0" w:space="0" w:color="auto"/>
            <w:right w:val="none" w:sz="0" w:space="0" w:color="auto"/>
          </w:divBdr>
        </w:div>
        <w:div w:id="1998069527">
          <w:marLeft w:val="0"/>
          <w:marRight w:val="0"/>
          <w:marTop w:val="0"/>
          <w:marBottom w:val="0"/>
          <w:divBdr>
            <w:top w:val="none" w:sz="0" w:space="0" w:color="auto"/>
            <w:left w:val="none" w:sz="0" w:space="0" w:color="auto"/>
            <w:bottom w:val="none" w:sz="0" w:space="0" w:color="auto"/>
            <w:right w:val="none" w:sz="0" w:space="0" w:color="auto"/>
          </w:divBdr>
        </w:div>
        <w:div w:id="2034568735">
          <w:marLeft w:val="0"/>
          <w:marRight w:val="0"/>
          <w:marTop w:val="0"/>
          <w:marBottom w:val="0"/>
          <w:divBdr>
            <w:top w:val="none" w:sz="0" w:space="0" w:color="auto"/>
            <w:left w:val="none" w:sz="0" w:space="0" w:color="auto"/>
            <w:bottom w:val="none" w:sz="0" w:space="0" w:color="auto"/>
            <w:right w:val="none" w:sz="0" w:space="0" w:color="auto"/>
          </w:divBdr>
        </w:div>
      </w:divsChild>
    </w:div>
    <w:div w:id="1529831926">
      <w:bodyDiv w:val="1"/>
      <w:marLeft w:val="0"/>
      <w:marRight w:val="0"/>
      <w:marTop w:val="0"/>
      <w:marBottom w:val="0"/>
      <w:divBdr>
        <w:top w:val="none" w:sz="0" w:space="0" w:color="auto"/>
        <w:left w:val="none" w:sz="0" w:space="0" w:color="auto"/>
        <w:bottom w:val="none" w:sz="0" w:space="0" w:color="auto"/>
        <w:right w:val="none" w:sz="0" w:space="0" w:color="auto"/>
      </w:divBdr>
    </w:div>
    <w:div w:id="1570995188">
      <w:bodyDiv w:val="1"/>
      <w:marLeft w:val="0"/>
      <w:marRight w:val="0"/>
      <w:marTop w:val="0"/>
      <w:marBottom w:val="0"/>
      <w:divBdr>
        <w:top w:val="none" w:sz="0" w:space="0" w:color="auto"/>
        <w:left w:val="none" w:sz="0" w:space="0" w:color="auto"/>
        <w:bottom w:val="none" w:sz="0" w:space="0" w:color="auto"/>
        <w:right w:val="none" w:sz="0" w:space="0" w:color="auto"/>
      </w:divBdr>
      <w:divsChild>
        <w:div w:id="1234659604">
          <w:marLeft w:val="0"/>
          <w:marRight w:val="0"/>
          <w:marTop w:val="0"/>
          <w:marBottom w:val="0"/>
          <w:divBdr>
            <w:top w:val="none" w:sz="0" w:space="0" w:color="auto"/>
            <w:left w:val="none" w:sz="0" w:space="0" w:color="auto"/>
            <w:bottom w:val="none" w:sz="0" w:space="0" w:color="auto"/>
            <w:right w:val="none" w:sz="0" w:space="0" w:color="auto"/>
          </w:divBdr>
          <w:divsChild>
            <w:div w:id="1390230377">
              <w:marLeft w:val="0"/>
              <w:marRight w:val="0"/>
              <w:marTop w:val="0"/>
              <w:marBottom w:val="0"/>
              <w:divBdr>
                <w:top w:val="none" w:sz="0" w:space="0" w:color="auto"/>
                <w:left w:val="none" w:sz="0" w:space="0" w:color="auto"/>
                <w:bottom w:val="none" w:sz="0" w:space="0" w:color="auto"/>
                <w:right w:val="none" w:sz="0" w:space="0" w:color="auto"/>
              </w:divBdr>
              <w:divsChild>
                <w:div w:id="517233392">
                  <w:marLeft w:val="0"/>
                  <w:marRight w:val="0"/>
                  <w:marTop w:val="0"/>
                  <w:marBottom w:val="0"/>
                  <w:divBdr>
                    <w:top w:val="none" w:sz="0" w:space="0" w:color="auto"/>
                    <w:left w:val="none" w:sz="0" w:space="0" w:color="auto"/>
                    <w:bottom w:val="none" w:sz="0" w:space="0" w:color="auto"/>
                    <w:right w:val="none" w:sz="0" w:space="0" w:color="auto"/>
                  </w:divBdr>
                  <w:divsChild>
                    <w:div w:id="393701230">
                      <w:marLeft w:val="0"/>
                      <w:marRight w:val="0"/>
                      <w:marTop w:val="0"/>
                      <w:marBottom w:val="0"/>
                      <w:divBdr>
                        <w:top w:val="none" w:sz="0" w:space="0" w:color="auto"/>
                        <w:left w:val="none" w:sz="0" w:space="0" w:color="auto"/>
                        <w:bottom w:val="none" w:sz="0" w:space="0" w:color="auto"/>
                        <w:right w:val="none" w:sz="0" w:space="0" w:color="auto"/>
                      </w:divBdr>
                      <w:divsChild>
                        <w:div w:id="1358578350">
                          <w:marLeft w:val="0"/>
                          <w:marRight w:val="0"/>
                          <w:marTop w:val="0"/>
                          <w:marBottom w:val="0"/>
                          <w:divBdr>
                            <w:top w:val="none" w:sz="0" w:space="0" w:color="auto"/>
                            <w:left w:val="none" w:sz="0" w:space="0" w:color="auto"/>
                            <w:bottom w:val="none" w:sz="0" w:space="0" w:color="auto"/>
                            <w:right w:val="none" w:sz="0" w:space="0" w:color="auto"/>
                          </w:divBdr>
                          <w:divsChild>
                            <w:div w:id="1928298430">
                              <w:marLeft w:val="0"/>
                              <w:marRight w:val="0"/>
                              <w:marTop w:val="0"/>
                              <w:marBottom w:val="0"/>
                              <w:divBdr>
                                <w:top w:val="none" w:sz="0" w:space="0" w:color="auto"/>
                                <w:left w:val="none" w:sz="0" w:space="0" w:color="auto"/>
                                <w:bottom w:val="none" w:sz="0" w:space="0" w:color="auto"/>
                                <w:right w:val="none" w:sz="0" w:space="0" w:color="auto"/>
                              </w:divBdr>
                              <w:divsChild>
                                <w:div w:id="1634556130">
                                  <w:marLeft w:val="0"/>
                                  <w:marRight w:val="0"/>
                                  <w:marTop w:val="0"/>
                                  <w:marBottom w:val="0"/>
                                  <w:divBdr>
                                    <w:top w:val="none" w:sz="0" w:space="0" w:color="auto"/>
                                    <w:left w:val="none" w:sz="0" w:space="0" w:color="auto"/>
                                    <w:bottom w:val="none" w:sz="0" w:space="0" w:color="auto"/>
                                    <w:right w:val="none" w:sz="0" w:space="0" w:color="auto"/>
                                  </w:divBdr>
                                  <w:divsChild>
                                    <w:div w:id="132574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0285147">
      <w:bodyDiv w:val="1"/>
      <w:marLeft w:val="0"/>
      <w:marRight w:val="0"/>
      <w:marTop w:val="0"/>
      <w:marBottom w:val="0"/>
      <w:divBdr>
        <w:top w:val="none" w:sz="0" w:space="0" w:color="auto"/>
        <w:left w:val="none" w:sz="0" w:space="0" w:color="auto"/>
        <w:bottom w:val="none" w:sz="0" w:space="0" w:color="auto"/>
        <w:right w:val="none" w:sz="0" w:space="0" w:color="auto"/>
      </w:divBdr>
    </w:div>
    <w:div w:id="1822114604">
      <w:bodyDiv w:val="1"/>
      <w:marLeft w:val="0"/>
      <w:marRight w:val="0"/>
      <w:marTop w:val="0"/>
      <w:marBottom w:val="0"/>
      <w:divBdr>
        <w:top w:val="none" w:sz="0" w:space="0" w:color="auto"/>
        <w:left w:val="none" w:sz="0" w:space="0" w:color="auto"/>
        <w:bottom w:val="none" w:sz="0" w:space="0" w:color="auto"/>
        <w:right w:val="none" w:sz="0" w:space="0" w:color="auto"/>
      </w:divBdr>
    </w:div>
    <w:div w:id="205634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44539C3-FAA8-4C03-8BB2-256A3F5C3A68}">
  <ds:schemaRefs>
    <ds:schemaRef ds:uri="http://schemas.microsoft.com/sharepoint/v3/contenttype/forms"/>
  </ds:schemaRefs>
</ds:datastoreItem>
</file>

<file path=customXml/itemProps2.xml><?xml version="1.0" encoding="utf-8"?>
<ds:datastoreItem xmlns:ds="http://schemas.openxmlformats.org/officeDocument/2006/customXml" ds:itemID="{BDADE25F-5C27-4773-8FE9-707AD0BEEE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19D37A-3800-4AB5-869E-078D23DFA73D}">
  <ds:schemaRefs>
    <ds:schemaRef ds:uri="http://schemas.microsoft.com/office/2006/metadata/longProperties"/>
  </ds:schemaRefs>
</ds:datastoreItem>
</file>

<file path=customXml/itemProps4.xml><?xml version="1.0" encoding="utf-8"?>
<ds:datastoreItem xmlns:ds="http://schemas.openxmlformats.org/officeDocument/2006/customXml" ds:itemID="{98465069-E4D9-4F5B-BA68-0868FF263933}">
  <ds:schemaRefs>
    <ds:schemaRef ds:uri="http://schemas.openxmlformats.org/officeDocument/2006/bibliography"/>
  </ds:schemaRefs>
</ds:datastoreItem>
</file>

<file path=customXml/itemProps5.xml><?xml version="1.0" encoding="utf-8"?>
<ds:datastoreItem xmlns:ds="http://schemas.openxmlformats.org/officeDocument/2006/customXml" ds:itemID="{24AA22F4-F9F8-4025-8968-CC1F8F3026B4}">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2109</Words>
  <Characters>11940</Characters>
  <Application>Microsoft Office Word</Application>
  <DocSecurity>4</DocSecurity>
  <Lines>238</Lines>
  <Paragraphs>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Hemphill</dc:creator>
  <cp:keywords/>
  <cp:lastModifiedBy>Camyl Moreno Pantojas</cp:lastModifiedBy>
  <cp:revision>2</cp:revision>
  <cp:lastPrinted>2025-10-27T20:21:00Z</cp:lastPrinted>
  <dcterms:created xsi:type="dcterms:W3CDTF">2026-02-06T15:55:00Z</dcterms:created>
  <dcterms:modified xsi:type="dcterms:W3CDTF">2026-02-06T15:55:00Z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4SQX5P7U7WPY-958212181-817704</vt:lpwstr>
  </property>
  <property fmtid="{D5CDD505-2E9C-101B-9397-08002B2CF9AE}" pid="3" name="_dlc_DocIdItemGuid">
    <vt:lpwstr>e373b0b4-323f-4f19-a70d-6bc35194025d</vt:lpwstr>
  </property>
  <property fmtid="{D5CDD505-2E9C-101B-9397-08002B2CF9AE}" pid="4" name="_dlc_DocIdUrl">
    <vt:lpwstr>https://senpr.sharepoint.com/sites/obralegislativa/_layouts/15/DocIdRedir.aspx?ID=4SQX5P7U7WPY-958212181-817704, 4SQX5P7U7WPY-958212181-817704</vt:lpwstr>
  </property>
  <property fmtid="{D5CDD505-2E9C-101B-9397-08002B2CF9AE}" pid="5" name="GrammarlyDocumentId">
    <vt:lpwstr>477e8119-1349-4b6d-965e-a931d05465a1</vt:lpwstr>
  </property>
  <property fmtid="{D5CDD505-2E9C-101B-9397-08002B2CF9AE}" pid="6" name="ContentTypeId">
    <vt:lpwstr>0x010100831C0761637D684EABBCE64BDDA1E45F</vt:lpwstr>
  </property>
  <property fmtid="{D5CDD505-2E9C-101B-9397-08002B2CF9AE}" pid="7" name="MediaServiceImageTags">
    <vt:lpwstr/>
  </property>
</Properties>
</file>