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952A6" w14:textId="351B15F1" w:rsidR="00ED78F1" w:rsidRDefault="00ED78F1" w:rsidP="009831CA">
      <w:pPr>
        <w:spacing w:after="0" w:line="240" w:lineRule="auto"/>
        <w:jc w:val="center"/>
        <w:rPr>
          <w:rFonts w:ascii="Book Antiqua" w:eastAsia="SimSun" w:hAnsi="Book Antiqua" w:cs="Times New Roman"/>
          <w:kern w:val="0"/>
          <w:sz w:val="28"/>
          <w:szCs w:val="28"/>
          <w:lang w:val="es-PR"/>
          <w14:ligatures w14:val="none"/>
        </w:rPr>
      </w:pPr>
      <w:proofErr w:type="spellStart"/>
      <w:r>
        <w:rPr>
          <w:rFonts w:ascii="Book Antiqua" w:eastAsia="SimSun" w:hAnsi="Book Antiqua" w:cs="Times New Roman"/>
          <w:kern w:val="0"/>
          <w:sz w:val="28"/>
          <w:szCs w:val="28"/>
          <w:lang w:val="es-PR"/>
          <w14:ligatures w14:val="none"/>
        </w:rPr>
        <w:t>Entirillado</w:t>
      </w:r>
      <w:proofErr w:type="spellEnd"/>
      <w:r>
        <w:rPr>
          <w:rFonts w:ascii="Book Antiqua" w:eastAsia="SimSun" w:hAnsi="Book Antiqua" w:cs="Times New Roman"/>
          <w:kern w:val="0"/>
          <w:sz w:val="28"/>
          <w:szCs w:val="28"/>
          <w:lang w:val="es-PR"/>
          <w14:ligatures w14:val="none"/>
        </w:rPr>
        <w:t xml:space="preserve"> electrónico</w:t>
      </w:r>
    </w:p>
    <w:p w14:paraId="56730F0F" w14:textId="06B937AB"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0D96F7DC"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w:t>
      </w:r>
      <w:r w:rsidR="005D1002">
        <w:rPr>
          <w:rFonts w:ascii="Book Antiqua" w:eastAsia="SimSun" w:hAnsi="Book Antiqua" w:cs="Times New Roman"/>
          <w:kern w:val="0"/>
          <w:lang w:val="es-PR"/>
          <w14:ligatures w14:val="none"/>
        </w:rPr>
        <w:t>2d</w:t>
      </w:r>
      <w:r>
        <w:rPr>
          <w:rFonts w:ascii="Book Antiqua" w:eastAsia="SimSun" w:hAnsi="Book Antiqua" w:cs="Times New Roman"/>
          <w:kern w:val="0"/>
          <w:lang w:val="es-PR"/>
          <w14:ligatures w14:val="none"/>
        </w:rPr>
        <w:t>a.</w:t>
      </w:r>
      <w:r w:rsidR="009831CA" w:rsidRPr="009831CA">
        <w:rPr>
          <w:rFonts w:ascii="Book Antiqua" w:eastAsia="SimSun" w:hAnsi="Book Antiqua" w:cs="Times New Roman"/>
          <w:kern w:val="0"/>
          <w:lang w:val="es-PR"/>
          <w14:ligatures w14:val="none"/>
        </w:rPr>
        <w:t xml:space="preserve"> Sesión</w:t>
      </w:r>
    </w:p>
    <w:p w14:paraId="072FE794" w14:textId="42D11C49"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19263424"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P. de la C.</w:t>
      </w:r>
      <w:r w:rsidR="00311135">
        <w:rPr>
          <w:rFonts w:ascii="Book Antiqua" w:eastAsia="SimSun" w:hAnsi="Book Antiqua" w:cs="Times New Roman"/>
          <w:b/>
          <w:kern w:val="0"/>
          <w:sz w:val="52"/>
          <w:szCs w:val="52"/>
          <w:lang w:val="es-PR"/>
          <w14:ligatures w14:val="none"/>
        </w:rPr>
        <w:t xml:space="preserve"> </w:t>
      </w:r>
      <w:r w:rsidR="00992335">
        <w:rPr>
          <w:rFonts w:ascii="Book Antiqua" w:eastAsia="SimSun" w:hAnsi="Book Antiqua" w:cs="Times New Roman"/>
          <w:b/>
          <w:kern w:val="0"/>
          <w:sz w:val="52"/>
          <w:szCs w:val="52"/>
          <w:lang w:val="es-PR"/>
          <w14:ligatures w14:val="none"/>
        </w:rPr>
        <w:t>950</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1FB7DE20" w:rsidR="009831CA" w:rsidRPr="009831CA" w:rsidRDefault="00992335"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27</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DE</w:t>
      </w:r>
      <w:r w:rsidR="005D1002">
        <w:rPr>
          <w:rFonts w:ascii="Book Antiqua" w:eastAsia="SimSun" w:hAnsi="Book Antiqua" w:cs="Times New Roman"/>
          <w:kern w:val="0"/>
          <w:szCs w:val="20"/>
          <w:lang w:val="es-PR"/>
          <w14:ligatures w14:val="none"/>
        </w:rPr>
        <w:t xml:space="preserve"> OCTUBRE</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28CA5A89"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w:t>
      </w:r>
      <w:r w:rsidR="005D1002">
        <w:rPr>
          <w:rFonts w:ascii="Book Antiqua" w:eastAsia="SimSun" w:hAnsi="Book Antiqua" w:cs="Times New Roman"/>
          <w:kern w:val="0"/>
          <w:lang w:val="es-PR"/>
          <w14:ligatures w14:val="none"/>
        </w:rPr>
        <w:t>l</w:t>
      </w:r>
      <w:r w:rsidR="00483BEB">
        <w:rPr>
          <w:rFonts w:ascii="Book Antiqua" w:eastAsia="SimSun" w:hAnsi="Book Antiqua" w:cs="Times New Roman"/>
          <w:kern w:val="0"/>
          <w:lang w:val="es-PR"/>
          <w14:ligatures w14:val="none"/>
        </w:rPr>
        <w:t>a</w:t>
      </w:r>
      <w:r w:rsidRPr="009831CA">
        <w:rPr>
          <w:rFonts w:ascii="Book Antiqua" w:eastAsia="SimSun" w:hAnsi="Book Antiqua" w:cs="Times New Roman"/>
          <w:kern w:val="0"/>
          <w:lang w:val="es-PR"/>
          <w14:ligatures w14:val="none"/>
        </w:rPr>
        <w:t xml:space="preserve"> representante</w:t>
      </w:r>
      <w:r w:rsidR="00670AB9">
        <w:rPr>
          <w:rFonts w:ascii="Book Antiqua" w:eastAsia="SimSun" w:hAnsi="Book Antiqua" w:cs="Times New Roman"/>
          <w:kern w:val="0"/>
          <w:lang w:val="es-PR"/>
          <w14:ligatures w14:val="none"/>
        </w:rPr>
        <w:t xml:space="preserve"> </w:t>
      </w:r>
      <w:r w:rsidR="00670AB9" w:rsidRPr="00483BEB">
        <w:rPr>
          <w:rFonts w:ascii="Book Antiqua" w:eastAsia="SimSun" w:hAnsi="Book Antiqua" w:cs="Times New Roman"/>
          <w:i/>
          <w:iCs/>
          <w:kern w:val="0"/>
          <w:lang w:val="es-PR"/>
          <w14:ligatures w14:val="none"/>
        </w:rPr>
        <w:t>Martínez Soto</w:t>
      </w:r>
      <w:r w:rsidR="00670AB9">
        <w:rPr>
          <w:rFonts w:ascii="Book Antiqua" w:eastAsia="SimSun" w:hAnsi="Book Antiqua" w:cs="Times New Roman"/>
          <w:kern w:val="0"/>
          <w:lang w:val="es-PR"/>
          <w14:ligatures w14:val="none"/>
        </w:rPr>
        <w:t xml:space="preserve"> </w:t>
      </w:r>
      <w:r w:rsidR="00670AB9" w:rsidRPr="00483BEB">
        <w:rPr>
          <w:rFonts w:ascii="Book Antiqua" w:eastAsia="SimSun" w:hAnsi="Book Antiqua" w:cs="Times New Roman"/>
          <w:kern w:val="0"/>
          <w:lang w:val="es-PR"/>
          <w14:ligatures w14:val="none"/>
        </w:rPr>
        <w:t xml:space="preserve">y </w:t>
      </w:r>
      <w:r w:rsidR="00483BEB">
        <w:rPr>
          <w:rFonts w:ascii="Book Antiqua" w:eastAsia="SimSun" w:hAnsi="Book Antiqua" w:cs="Times New Roman"/>
          <w:kern w:val="0"/>
          <w:lang w:val="es-PR"/>
          <w14:ligatures w14:val="none"/>
        </w:rPr>
        <w:t xml:space="preserve">el representante </w:t>
      </w:r>
      <w:r w:rsidR="00670AB9" w:rsidRPr="00483BEB">
        <w:rPr>
          <w:rFonts w:ascii="Book Antiqua" w:eastAsia="SimSun" w:hAnsi="Book Antiqua" w:cs="Times New Roman"/>
          <w:i/>
          <w:iCs/>
          <w:kern w:val="0"/>
          <w:lang w:val="es-PR"/>
          <w14:ligatures w14:val="none"/>
        </w:rPr>
        <w:t>Pacheco Burgos</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294457B9"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w:t>
      </w:r>
      <w:r w:rsidR="00AA3FEA">
        <w:rPr>
          <w:rFonts w:ascii="Book Antiqua" w:eastAsia="SimSun" w:hAnsi="Book Antiqua" w:cs="Times New Roman"/>
          <w:kern w:val="0"/>
          <w:szCs w:val="20"/>
          <w:lang w:val="es-PR"/>
          <w14:ligatures w14:val="none"/>
        </w:rPr>
        <w:t xml:space="preserve">la Comisión </w:t>
      </w:r>
      <w:r w:rsidR="00E81568">
        <w:rPr>
          <w:rFonts w:ascii="Book Antiqua" w:eastAsia="SimSun" w:hAnsi="Book Antiqua" w:cs="Times New Roman"/>
          <w:kern w:val="0"/>
          <w:szCs w:val="20"/>
          <w:lang w:val="es-PR"/>
          <w14:ligatures w14:val="none"/>
        </w:rPr>
        <w:t>de lo Jurídico</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311135"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2C0AF3A5" w:rsidR="00BC51EC" w:rsidRPr="009338FE" w:rsidRDefault="00BC51EC" w:rsidP="005D1002">
      <w:pPr>
        <w:suppressLineNumbers/>
        <w:suppressAutoHyphens/>
        <w:spacing w:after="0" w:line="240" w:lineRule="auto"/>
        <w:ind w:left="567" w:hanging="567"/>
        <w:jc w:val="both"/>
        <w:rPr>
          <w:rFonts w:ascii="Book Antiqua" w:eastAsia="SimSun" w:hAnsi="Book Antiqua" w:cs="Times New Roman"/>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1940A2">
        <w:rPr>
          <w:rFonts w:ascii="Book Antiqua" w:eastAsia="SimSun" w:hAnsi="Book Antiqua" w:cs="Times New Roman"/>
          <w:kern w:val="0"/>
          <w:lang w:val="es-PR"/>
          <w14:ligatures w14:val="none"/>
        </w:rPr>
        <w:t>enmendar el Artículo 2.</w:t>
      </w:r>
      <w:r w:rsidR="005D1002">
        <w:rPr>
          <w:rFonts w:ascii="Book Antiqua" w:eastAsia="SimSun" w:hAnsi="Book Antiqua" w:cs="Times New Roman"/>
          <w:kern w:val="0"/>
          <w:lang w:val="es-PR"/>
          <w14:ligatures w14:val="none"/>
        </w:rPr>
        <w:t>14</w:t>
      </w:r>
      <w:r w:rsidR="001940A2">
        <w:rPr>
          <w:rFonts w:ascii="Book Antiqua" w:eastAsia="SimSun" w:hAnsi="Book Antiqua" w:cs="Times New Roman"/>
          <w:kern w:val="0"/>
          <w:lang w:val="es-PR"/>
          <w14:ligatures w14:val="none"/>
        </w:rPr>
        <w:t xml:space="preserve"> de la Ley</w:t>
      </w:r>
      <w:r w:rsidR="00F101A3">
        <w:rPr>
          <w:rFonts w:ascii="Book Antiqua" w:eastAsia="SimSun" w:hAnsi="Book Antiqua" w:cs="Times New Roman"/>
          <w:kern w:val="0"/>
          <w:lang w:val="es-PR"/>
          <w14:ligatures w14:val="none"/>
        </w:rPr>
        <w:t xml:space="preserve"> </w:t>
      </w:r>
      <w:r w:rsidR="00F101A3">
        <w:rPr>
          <w:rFonts w:ascii="Book Antiqua" w:eastAsia="SimSun" w:hAnsi="Book Antiqua" w:cs="Times New Roman"/>
          <w:i/>
          <w:kern w:val="0"/>
          <w:u w:val="single"/>
          <w:lang w:val="es-ES_tradnl" w:eastAsia="x-none"/>
          <w14:ligatures w14:val="none"/>
        </w:rPr>
        <w:t>Núm.</w:t>
      </w:r>
      <w:r w:rsidR="001940A2">
        <w:rPr>
          <w:rFonts w:ascii="Book Antiqua" w:eastAsia="SimSun" w:hAnsi="Book Antiqua" w:cs="Times New Roman"/>
          <w:kern w:val="0"/>
          <w:lang w:val="es-PR"/>
          <w14:ligatures w14:val="none"/>
        </w:rPr>
        <w:t xml:space="preserve"> 168-2019, según enmendada, conocida como “Ley de Armas de Puerto Rico de 2020”, a </w:t>
      </w:r>
      <w:r w:rsidR="009338FE" w:rsidRPr="009338FE">
        <w:rPr>
          <w:rFonts w:ascii="Book Antiqua" w:eastAsia="SimSun" w:hAnsi="Book Antiqua" w:cs="Times New Roman"/>
          <w:kern w:val="0"/>
          <w:lang w:val="es-PR"/>
          <w14:ligatures w14:val="none"/>
        </w:rPr>
        <w:t>los fines de ampliar la vigencia de la licencia de armas a un periodo de cinco (5) años y atender disposiciones complementarias que garanticen la uniformidad, eficiencia administrativa y cumplimiento con las normas de seguridad aplicables</w:t>
      </w:r>
      <w:r w:rsidR="007C5AFE">
        <w:rPr>
          <w:rFonts w:ascii="Book Antiqua" w:eastAsia="ヒラギノ角ゴ Pro W3" w:hAnsi="Book Antiqua" w:cs="Times New Roman"/>
          <w:color w:val="000000"/>
          <w:kern w:val="0"/>
          <w:lang w:val="es-PR"/>
          <w14:ligatures w14:val="none"/>
        </w:rPr>
        <w:t xml:space="preserve">; </w:t>
      </w:r>
      <w:r w:rsidRPr="009831CA">
        <w:rPr>
          <w:rFonts w:ascii="Book Antiqua" w:eastAsia="ヒラギノ角ゴ Pro W3" w:hAnsi="Book Antiqua" w:cs="Times New Roman"/>
          <w:color w:val="000000"/>
          <w:spacing w:val="-3"/>
          <w:kern w:val="0"/>
          <w:lang w:val="es-ES"/>
          <w14:ligatures w14:val="none"/>
        </w:rPr>
        <w:t>y para otros fines relacionados.</w:t>
      </w:r>
    </w:p>
    <w:p w14:paraId="58E15023" w14:textId="77777777" w:rsidR="009831CA" w:rsidRPr="00311135"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1EAD9E16" w14:textId="77777777" w:rsidR="005D1002" w:rsidRPr="009831CA" w:rsidRDefault="005D1002" w:rsidP="005D1002">
      <w:pPr>
        <w:spacing w:after="0" w:line="240" w:lineRule="auto"/>
        <w:rPr>
          <w:rFonts w:ascii="Book Antiqua" w:eastAsia="SimSun" w:hAnsi="Book Antiqua" w:cs="Times New Roman"/>
          <w:kern w:val="0"/>
          <w:lang w:val="es-PR"/>
          <w14:ligatures w14:val="none"/>
        </w:rPr>
      </w:pPr>
    </w:p>
    <w:p w14:paraId="0D9CA76E" w14:textId="26C58689" w:rsidR="009269BD" w:rsidRDefault="001940A2"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 xml:space="preserve">La Ley </w:t>
      </w:r>
      <w:r w:rsidR="005E230C">
        <w:rPr>
          <w:rFonts w:ascii="Book Antiqua" w:eastAsia="SimSun" w:hAnsi="Book Antiqua" w:cs="Times New Roman"/>
          <w:i/>
          <w:kern w:val="0"/>
          <w:u w:val="single"/>
          <w:lang w:val="es-ES_tradnl" w:eastAsia="x-none"/>
          <w14:ligatures w14:val="none"/>
        </w:rPr>
        <w:t>Núm.</w:t>
      </w:r>
      <w:r w:rsidR="005E230C" w:rsidRPr="005E230C">
        <w:rPr>
          <w:rFonts w:ascii="Book Antiqua" w:eastAsia="SimSun" w:hAnsi="Book Antiqua" w:cs="Times New Roman"/>
          <w:iCs/>
          <w:kern w:val="0"/>
          <w:lang w:val="es-ES_tradnl" w:eastAsia="x-none"/>
          <w14:ligatures w14:val="none"/>
        </w:rPr>
        <w:t xml:space="preserve"> </w:t>
      </w:r>
      <w:r>
        <w:rPr>
          <w:rFonts w:ascii="Book Antiqua" w:eastAsia="Batang" w:hAnsi="Book Antiqua" w:cs="Arial"/>
          <w:lang w:val="es-PR"/>
        </w:rPr>
        <w:t xml:space="preserve">168-2019, según enmendada, </w:t>
      </w:r>
      <w:r w:rsidRPr="005E230C">
        <w:rPr>
          <w:rFonts w:ascii="Book Antiqua" w:eastAsia="Batang" w:hAnsi="Book Antiqua" w:cs="Arial"/>
          <w:strike/>
          <w:lang w:val="es-PR"/>
        </w:rPr>
        <w:t>conocida como “Ley de Armas de Puerto Rico de 2020”,</w:t>
      </w:r>
      <w:r>
        <w:rPr>
          <w:rFonts w:ascii="Book Antiqua" w:eastAsia="Batang" w:hAnsi="Book Antiqua" w:cs="Arial"/>
          <w:lang w:val="es-PR"/>
        </w:rPr>
        <w:t xml:space="preserve"> </w:t>
      </w:r>
      <w:r w:rsidR="009269BD">
        <w:rPr>
          <w:rFonts w:ascii="Book Antiqua" w:eastAsia="Batang" w:hAnsi="Book Antiqua" w:cs="Arial"/>
          <w:lang w:val="es-PR"/>
        </w:rPr>
        <w:t>establece el marco regulatorio sobre armas en Puerto Rico. La misma, protege las garantías constitucionales establecidas. En particular, lo dispuesto por la Segunda Enmienda de la Constitución de los Estados Unidos de América en lo que concierne al derecho fundamental de los ciudadanos respetuosos de la ley de poseer y portar armas de fuego para su defensa.</w:t>
      </w:r>
      <w:r w:rsidR="001A35B9">
        <w:rPr>
          <w:rFonts w:ascii="Book Antiqua" w:eastAsia="Batang" w:hAnsi="Book Antiqua" w:cs="Arial"/>
          <w:lang w:val="es-PR"/>
        </w:rPr>
        <w:t xml:space="preserve"> </w:t>
      </w:r>
    </w:p>
    <w:p w14:paraId="5500248C" w14:textId="77777777" w:rsidR="003F6521" w:rsidRDefault="003F6521" w:rsidP="001A35B9">
      <w:pPr>
        <w:spacing w:after="0" w:line="240" w:lineRule="auto"/>
        <w:ind w:firstLine="567"/>
        <w:jc w:val="both"/>
        <w:rPr>
          <w:rFonts w:ascii="Book Antiqua" w:eastAsia="Batang" w:hAnsi="Book Antiqua" w:cs="Arial"/>
          <w:lang w:val="es-PR"/>
        </w:rPr>
      </w:pPr>
    </w:p>
    <w:p w14:paraId="0E3129F8" w14:textId="5230346A" w:rsidR="00B21939"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t xml:space="preserve">En la actualidad, las víctimas de violencia doméstica que obtienen una orden de protección tienen derecho a recibir una licencia de armas provisional por un periodo de noventa (90) días, mientras tramitan la solicitud formal de la licencia regular con vigencia de cinco (5) años. Desde el 1 de junio de 2020 hasta el 4 de octubre de 2025, la Policía de Puerto Rico </w:t>
      </w:r>
      <w:r w:rsidRPr="00880124">
        <w:rPr>
          <w:rFonts w:ascii="Book Antiqua" w:eastAsia="Batang" w:hAnsi="Book Antiqua" w:cs="Arial"/>
          <w:strike/>
          <w:lang w:val="es-PR"/>
        </w:rPr>
        <w:t>ha expedido</w:t>
      </w:r>
      <w:r w:rsidRPr="00B21939">
        <w:rPr>
          <w:rFonts w:ascii="Book Antiqua" w:eastAsia="Batang" w:hAnsi="Book Antiqua" w:cs="Arial"/>
          <w:lang w:val="es-PR"/>
        </w:rPr>
        <w:t xml:space="preserve"> </w:t>
      </w:r>
      <w:r w:rsidR="00880124">
        <w:rPr>
          <w:rFonts w:ascii="Book Antiqua" w:eastAsia="Batang" w:hAnsi="Book Antiqua" w:cs="Arial"/>
          <w:i/>
          <w:iCs/>
          <w:u w:val="single"/>
          <w:lang w:val="es-PR"/>
        </w:rPr>
        <w:t>expidió</w:t>
      </w:r>
      <w:r w:rsidR="00880124" w:rsidRPr="00880124">
        <w:rPr>
          <w:rFonts w:ascii="Book Antiqua" w:eastAsia="Batang" w:hAnsi="Book Antiqua" w:cs="Arial"/>
          <w:lang w:val="es-PR"/>
        </w:rPr>
        <w:t xml:space="preserve"> </w:t>
      </w:r>
      <w:r w:rsidRPr="00B21939">
        <w:rPr>
          <w:rFonts w:ascii="Book Antiqua" w:eastAsia="Batang" w:hAnsi="Book Antiqua" w:cs="Arial"/>
          <w:lang w:val="es-PR"/>
        </w:rPr>
        <w:t>un total de ochocientas veinte (820) licencias bajo esta modalidad.</w:t>
      </w:r>
    </w:p>
    <w:p w14:paraId="065D9371" w14:textId="77777777" w:rsidR="00483BEB" w:rsidRPr="00B21939" w:rsidRDefault="00483BEB" w:rsidP="00B21939">
      <w:pPr>
        <w:spacing w:after="0" w:line="240" w:lineRule="auto"/>
        <w:ind w:firstLine="567"/>
        <w:jc w:val="both"/>
        <w:rPr>
          <w:rFonts w:ascii="Book Antiqua" w:eastAsia="Batang" w:hAnsi="Book Antiqua" w:cs="Arial"/>
          <w:lang w:val="es-PR"/>
        </w:rPr>
      </w:pPr>
    </w:p>
    <w:p w14:paraId="0F23CF63" w14:textId="039BDA47" w:rsidR="00B21939"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lastRenderedPageBreak/>
        <w:t>Si bien el mecanismo provisional cumple un propósito de respuesta rápida para salvaguardar la seguridad inmediata de las víctimas, entendemos que el mismo debe evolucionar hacia un proceso más ágil y permanente. Resulta innecesario que la persona beneficiada deba pasar por dos procesos administrativos consecutivos</w:t>
      </w:r>
      <w:r w:rsidR="00FC7D6D">
        <w:rPr>
          <w:rFonts w:ascii="Book Antiqua" w:eastAsia="Batang" w:hAnsi="Book Antiqua" w:cs="Arial"/>
          <w:i/>
          <w:iCs/>
          <w:u w:val="single"/>
          <w:lang w:val="es-PR"/>
        </w:rPr>
        <w:t>,</w:t>
      </w:r>
      <w:r w:rsidRPr="00B21939">
        <w:rPr>
          <w:rFonts w:ascii="Book Antiqua" w:eastAsia="Batang" w:hAnsi="Book Antiqua" w:cs="Arial"/>
          <w:lang w:val="es-PR"/>
        </w:rPr>
        <w:t xml:space="preserve"> uno provisional y otro regular</w:t>
      </w:r>
      <w:r w:rsidR="00FC7D6D">
        <w:rPr>
          <w:rFonts w:ascii="Book Antiqua" w:eastAsia="Batang" w:hAnsi="Book Antiqua" w:cs="Arial"/>
          <w:i/>
          <w:iCs/>
          <w:u w:val="single"/>
          <w:lang w:val="es-PR"/>
        </w:rPr>
        <w:t>,</w:t>
      </w:r>
      <w:r>
        <w:rPr>
          <w:rFonts w:ascii="Book Antiqua" w:eastAsia="Batang" w:hAnsi="Book Antiqua" w:cs="Arial"/>
          <w:lang w:val="es-PR"/>
        </w:rPr>
        <w:t xml:space="preserve"> </w:t>
      </w:r>
      <w:r w:rsidRPr="00B21939">
        <w:rPr>
          <w:rFonts w:ascii="Book Antiqua" w:eastAsia="Batang" w:hAnsi="Book Antiqua" w:cs="Arial"/>
          <w:lang w:val="es-PR"/>
        </w:rPr>
        <w:t>cuando puede evaluarse desde el inicio bajo los mismos criterios de elegibilidad y seguridad aplicables a la licencia ordinaria de cinco años.</w:t>
      </w:r>
    </w:p>
    <w:p w14:paraId="366C2DC0" w14:textId="77777777" w:rsidR="00B21939" w:rsidRPr="00B21939" w:rsidRDefault="00B21939" w:rsidP="00B21939">
      <w:pPr>
        <w:spacing w:after="0" w:line="240" w:lineRule="auto"/>
        <w:ind w:firstLine="567"/>
        <w:jc w:val="both"/>
        <w:rPr>
          <w:rFonts w:ascii="Book Antiqua" w:eastAsia="Batang" w:hAnsi="Book Antiqua" w:cs="Arial"/>
          <w:lang w:val="es-PR"/>
        </w:rPr>
      </w:pPr>
    </w:p>
    <w:p w14:paraId="6BD7B698" w14:textId="77777777" w:rsidR="00B21939"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t>La doble tramitación actual genera una carga administrativa significativa tanto para la víctima como para la propia Policía de Puerto Rico, particularmente para la División de Reglamentos de Armas y Expedición de Licencias, que enfrenta limitaciones de personal y recursos operacionales. Este sistema redundante provoca duplicidad de esfuerzos, retrasa la atención de nuevos casos y representa un uso ineficiente del tiempo y de los recursos públicos, ya que en muchos casos la solicitud de renovación o extensión ocurre dentro del mismo mes de expedida la licencia provisional.</w:t>
      </w:r>
    </w:p>
    <w:p w14:paraId="793C62AE" w14:textId="77777777" w:rsidR="00B21939" w:rsidRPr="00B21939" w:rsidRDefault="00B21939" w:rsidP="00B21939">
      <w:pPr>
        <w:spacing w:after="0" w:line="240" w:lineRule="auto"/>
        <w:ind w:firstLine="567"/>
        <w:jc w:val="both"/>
        <w:rPr>
          <w:rFonts w:ascii="Book Antiqua" w:eastAsia="Batang" w:hAnsi="Book Antiqua" w:cs="Arial"/>
          <w:lang w:val="es-PR"/>
        </w:rPr>
      </w:pPr>
    </w:p>
    <w:p w14:paraId="4F6097B1" w14:textId="052D3A1C" w:rsidR="00B23298"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t xml:space="preserve">Por razones de economía procesal y de sensibilidad institucional hacia las víctimas, </w:t>
      </w:r>
      <w:r>
        <w:rPr>
          <w:rFonts w:ascii="Book Antiqua" w:eastAsia="Batang" w:hAnsi="Book Antiqua" w:cs="Arial"/>
          <w:lang w:val="es-PR"/>
        </w:rPr>
        <w:t xml:space="preserve">esta Asamblea Legislativa entiende </w:t>
      </w:r>
      <w:r w:rsidRPr="00B21939">
        <w:rPr>
          <w:rFonts w:ascii="Book Antiqua" w:eastAsia="Batang" w:hAnsi="Book Antiqua" w:cs="Arial"/>
          <w:lang w:val="es-PR"/>
        </w:rPr>
        <w:t xml:space="preserve">que la Policía de Puerto Rico </w:t>
      </w:r>
      <w:r>
        <w:rPr>
          <w:rFonts w:ascii="Book Antiqua" w:eastAsia="Batang" w:hAnsi="Book Antiqua" w:cs="Arial"/>
          <w:lang w:val="es-PR"/>
        </w:rPr>
        <w:t xml:space="preserve">debe </w:t>
      </w:r>
      <w:r w:rsidRPr="00B21939">
        <w:rPr>
          <w:rFonts w:ascii="Book Antiqua" w:eastAsia="Batang" w:hAnsi="Book Antiqua" w:cs="Arial"/>
          <w:lang w:val="es-PR"/>
        </w:rPr>
        <w:t>manten</w:t>
      </w:r>
      <w:r>
        <w:rPr>
          <w:rFonts w:ascii="Book Antiqua" w:eastAsia="Batang" w:hAnsi="Book Antiqua" w:cs="Arial"/>
          <w:lang w:val="es-PR"/>
        </w:rPr>
        <w:t>er</w:t>
      </w:r>
      <w:r w:rsidRPr="00B21939">
        <w:rPr>
          <w:rFonts w:ascii="Book Antiqua" w:eastAsia="Batang" w:hAnsi="Book Antiqua" w:cs="Arial"/>
          <w:lang w:val="es-PR"/>
        </w:rPr>
        <w:t xml:space="preserve"> el carácter expedito del proceso inicial, pero que la licencia </w:t>
      </w:r>
      <w:r w:rsidRPr="00C47EEE">
        <w:rPr>
          <w:rFonts w:ascii="Book Antiqua" w:eastAsia="Batang" w:hAnsi="Book Antiqua" w:cs="Arial"/>
          <w:strike/>
          <w:lang w:val="es-PR"/>
        </w:rPr>
        <w:t>otorgada sea</w:t>
      </w:r>
      <w:r w:rsidRPr="00B21939">
        <w:rPr>
          <w:rFonts w:ascii="Book Antiqua" w:eastAsia="Batang" w:hAnsi="Book Antiqua" w:cs="Arial"/>
          <w:lang w:val="es-PR"/>
        </w:rPr>
        <w:t xml:space="preserve"> </w:t>
      </w:r>
      <w:r w:rsidR="00C47EEE">
        <w:rPr>
          <w:rFonts w:ascii="Book Antiqua" w:eastAsia="Batang" w:hAnsi="Book Antiqua" w:cs="Arial"/>
          <w:i/>
          <w:iCs/>
          <w:u w:val="single"/>
          <w:lang w:val="es-PR"/>
        </w:rPr>
        <w:t>se otor</w:t>
      </w:r>
      <w:r w:rsidR="00F85866">
        <w:rPr>
          <w:rFonts w:ascii="Book Antiqua" w:eastAsia="Batang" w:hAnsi="Book Antiqua" w:cs="Arial"/>
          <w:i/>
          <w:iCs/>
          <w:u w:val="single"/>
          <w:lang w:val="es-PR"/>
        </w:rPr>
        <w:t xml:space="preserve">gue </w:t>
      </w:r>
      <w:r w:rsidRPr="00B21939">
        <w:rPr>
          <w:rFonts w:ascii="Book Antiqua" w:eastAsia="Batang" w:hAnsi="Book Antiqua" w:cs="Arial"/>
          <w:lang w:val="es-PR"/>
        </w:rPr>
        <w:t>directamente por el término de cinco (5) años dispuesto por ley. Este ajuste contribuirá a una gestión más efectiva, reducirá la burocracia interna, y garantizará que las víctimas de violencia de género cuenten con una protección continua, sin la carga emocional y administrativa de tener que repetir trámites en tan corto plazo.</w:t>
      </w:r>
    </w:p>
    <w:p w14:paraId="35CEF932" w14:textId="77777777" w:rsidR="009831CA" w:rsidRPr="009831CA" w:rsidRDefault="009831CA" w:rsidP="004A706B">
      <w:pPr>
        <w:spacing w:after="0" w:line="240" w:lineRule="auto"/>
        <w:ind w:firstLine="567"/>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11"/>
          <w:headerReference w:type="default" r:id="rId12"/>
          <w:pgSz w:w="12240" w:h="15840" w:code="1"/>
          <w:pgMar w:top="1440" w:right="1440" w:bottom="1440" w:left="1440" w:header="720" w:footer="720" w:gutter="0"/>
          <w:cols w:space="720"/>
          <w:titlePg/>
          <w:docGrid w:linePitch="360"/>
        </w:sectPr>
      </w:pPr>
    </w:p>
    <w:p w14:paraId="7028E9A6" w14:textId="2C8FB54E" w:rsidR="009831CA" w:rsidRDefault="009831CA" w:rsidP="00182C6A">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Artículo 1.-</w:t>
      </w:r>
      <w:r w:rsidR="00B23298">
        <w:rPr>
          <w:rFonts w:ascii="Book Antiqua" w:eastAsia="SimSun" w:hAnsi="Book Antiqua" w:cs="Times New Roman"/>
          <w:iCs/>
          <w:kern w:val="0"/>
          <w:lang w:val="es-ES_tradnl" w:eastAsia="x-none"/>
          <w14:ligatures w14:val="none"/>
        </w:rPr>
        <w:t>Se enmienda el Artículo 2.</w:t>
      </w:r>
      <w:r w:rsidR="00B21939">
        <w:rPr>
          <w:rFonts w:ascii="Book Antiqua" w:eastAsia="SimSun" w:hAnsi="Book Antiqua" w:cs="Times New Roman"/>
          <w:iCs/>
          <w:kern w:val="0"/>
          <w:lang w:val="es-ES_tradnl" w:eastAsia="x-none"/>
          <w14:ligatures w14:val="none"/>
        </w:rPr>
        <w:t>14</w:t>
      </w:r>
      <w:r w:rsidR="00B23298">
        <w:rPr>
          <w:rFonts w:ascii="Book Antiqua" w:eastAsia="SimSun" w:hAnsi="Book Antiqua" w:cs="Times New Roman"/>
          <w:iCs/>
          <w:kern w:val="0"/>
          <w:lang w:val="es-ES_tradnl" w:eastAsia="x-none"/>
          <w14:ligatures w14:val="none"/>
        </w:rPr>
        <w:t xml:space="preserve"> de la Ley</w:t>
      </w:r>
      <w:r w:rsidR="00F101A3">
        <w:rPr>
          <w:rFonts w:ascii="Book Antiqua" w:eastAsia="SimSun" w:hAnsi="Book Antiqua" w:cs="Times New Roman"/>
          <w:iCs/>
          <w:kern w:val="0"/>
          <w:lang w:val="es-ES_tradnl" w:eastAsia="x-none"/>
          <w14:ligatures w14:val="none"/>
        </w:rPr>
        <w:t xml:space="preserve"> </w:t>
      </w:r>
      <w:r w:rsidR="00F101A3">
        <w:rPr>
          <w:rFonts w:ascii="Book Antiqua" w:eastAsia="SimSun" w:hAnsi="Book Antiqua" w:cs="Times New Roman"/>
          <w:i/>
          <w:kern w:val="0"/>
          <w:u w:val="single"/>
          <w:lang w:val="es-ES_tradnl" w:eastAsia="x-none"/>
          <w14:ligatures w14:val="none"/>
        </w:rPr>
        <w:t>Núm.</w:t>
      </w:r>
      <w:r w:rsidR="00B23298">
        <w:rPr>
          <w:rFonts w:ascii="Book Antiqua" w:eastAsia="SimSun" w:hAnsi="Book Antiqua" w:cs="Times New Roman"/>
          <w:iCs/>
          <w:kern w:val="0"/>
          <w:lang w:val="es-ES_tradnl" w:eastAsia="x-none"/>
          <w14:ligatures w14:val="none"/>
        </w:rPr>
        <w:t xml:space="preserve"> 168-2019, según enmendada, para que se lea como sigue:</w:t>
      </w:r>
    </w:p>
    <w:p w14:paraId="4C5D74E8" w14:textId="2C2B55B6" w:rsidR="00B23298" w:rsidRDefault="00B23298" w:rsidP="00182C6A">
      <w:pPr>
        <w:spacing w:after="0" w:line="480" w:lineRule="auto"/>
        <w:ind w:firstLine="567"/>
        <w:jc w:val="both"/>
        <w:rPr>
          <w:rFonts w:ascii="Book Antiqua" w:eastAsia="SimSun" w:hAnsi="Book Antiqua" w:cs="Times New Roman"/>
          <w:iCs/>
          <w:kern w:val="0"/>
          <w:lang w:val="es-PR" w:eastAsia="x-none"/>
          <w14:ligatures w14:val="none"/>
        </w:rPr>
      </w:pPr>
      <w:r>
        <w:rPr>
          <w:rFonts w:ascii="Book Antiqua" w:eastAsia="SimSun" w:hAnsi="Book Antiqua" w:cs="Times New Roman"/>
          <w:iCs/>
          <w:kern w:val="0"/>
          <w:lang w:val="es-ES_tradnl" w:eastAsia="x-none"/>
          <w14:ligatures w14:val="none"/>
        </w:rPr>
        <w:t>“Artículo 2.</w:t>
      </w:r>
      <w:r w:rsidR="00B21939">
        <w:rPr>
          <w:rFonts w:ascii="Book Antiqua" w:eastAsia="SimSun" w:hAnsi="Book Antiqua" w:cs="Times New Roman"/>
          <w:iCs/>
          <w:kern w:val="0"/>
          <w:lang w:val="es-ES_tradnl" w:eastAsia="x-none"/>
          <w14:ligatures w14:val="none"/>
        </w:rPr>
        <w:t>14</w:t>
      </w:r>
      <w:r>
        <w:rPr>
          <w:rFonts w:ascii="Book Antiqua" w:eastAsia="SimSun" w:hAnsi="Book Antiqua" w:cs="Times New Roman"/>
          <w:iCs/>
          <w:kern w:val="0"/>
          <w:lang w:val="es-ES_tradnl" w:eastAsia="x-none"/>
          <w14:ligatures w14:val="none"/>
        </w:rPr>
        <w:t>.</w:t>
      </w:r>
      <w:r w:rsidR="00B21939" w:rsidRPr="00B21939">
        <w:rPr>
          <w:rFonts w:ascii="Book Antiqua" w:eastAsia="SimSun" w:hAnsi="Book Antiqua" w:cs="Times New Roman"/>
          <w:iCs/>
          <w:kern w:val="0"/>
          <w:lang w:val="es-PR" w:eastAsia="x-none"/>
          <w14:ligatures w14:val="none"/>
        </w:rPr>
        <w:t>—Procedimientos Expeditos de Licencia de Armas y Autorización para Portar Armas para Víctimas de Violencia Doméstica y Acecho.</w:t>
      </w:r>
    </w:p>
    <w:p w14:paraId="12DBAC9E" w14:textId="198F8264" w:rsidR="005829DE" w:rsidRPr="005829DE" w:rsidRDefault="005829DE" w:rsidP="00182C6A">
      <w:pPr>
        <w:spacing w:after="0" w:line="480" w:lineRule="auto"/>
        <w:ind w:firstLine="567"/>
        <w:jc w:val="both"/>
        <w:rPr>
          <w:rFonts w:ascii="Book Antiqua" w:eastAsia="SimSun" w:hAnsi="Book Antiqua" w:cs="Times New Roman"/>
          <w:iCs/>
          <w:kern w:val="0"/>
          <w:lang w:val="es-PR" w:eastAsia="x-none"/>
          <w14:ligatures w14:val="none"/>
        </w:rPr>
      </w:pPr>
      <w:r w:rsidRPr="005829DE">
        <w:rPr>
          <w:rFonts w:ascii="Book Antiqua" w:eastAsia="SimSun" w:hAnsi="Book Antiqua" w:cs="Times New Roman"/>
          <w:iCs/>
          <w:kern w:val="0"/>
          <w:lang w:val="es-PR" w:eastAsia="x-none"/>
          <w14:ligatures w14:val="none"/>
        </w:rPr>
        <w:t xml:space="preserve">El </w:t>
      </w:r>
      <w:r w:rsidRPr="005829DE">
        <w:rPr>
          <w:rFonts w:ascii="Book Antiqua" w:eastAsia="SimSun" w:hAnsi="Book Antiqua" w:cs="Times New Roman"/>
          <w:b/>
          <w:bCs/>
          <w:iCs/>
          <w:kern w:val="0"/>
          <w:lang w:val="es-PR" w:eastAsia="x-none"/>
          <w14:ligatures w14:val="none"/>
        </w:rPr>
        <w:t>[Comisionado]</w:t>
      </w:r>
      <w:r>
        <w:rPr>
          <w:rFonts w:ascii="Book Antiqua" w:eastAsia="SimSun" w:hAnsi="Book Antiqua" w:cs="Times New Roman"/>
          <w:b/>
          <w:bCs/>
          <w:iCs/>
          <w:kern w:val="0"/>
          <w:lang w:val="es-PR" w:eastAsia="x-none"/>
          <w14:ligatures w14:val="none"/>
        </w:rPr>
        <w:t xml:space="preserve"> </w:t>
      </w:r>
      <w:r w:rsidRPr="007F45D6">
        <w:rPr>
          <w:rFonts w:ascii="Book Antiqua" w:eastAsia="SimSun" w:hAnsi="Book Antiqua" w:cs="Times New Roman"/>
          <w:i/>
          <w:kern w:val="0"/>
          <w:lang w:val="es-PR" w:eastAsia="x-none"/>
          <w14:ligatures w14:val="none"/>
        </w:rPr>
        <w:t>Superintendente</w:t>
      </w:r>
      <w:r>
        <w:rPr>
          <w:rFonts w:ascii="Book Antiqua" w:eastAsia="SimSun" w:hAnsi="Book Antiqua" w:cs="Times New Roman"/>
          <w:iCs/>
          <w:kern w:val="0"/>
          <w:lang w:val="es-PR" w:eastAsia="x-none"/>
          <w14:ligatures w14:val="none"/>
        </w:rPr>
        <w:t>,</w:t>
      </w:r>
      <w:r w:rsidRPr="005829DE">
        <w:rPr>
          <w:rFonts w:ascii="Book Antiqua" w:eastAsia="SimSun" w:hAnsi="Book Antiqua" w:cs="Times New Roman"/>
          <w:iCs/>
          <w:kern w:val="0"/>
          <w:lang w:val="es-PR" w:eastAsia="x-none"/>
          <w14:ligatures w14:val="none"/>
        </w:rPr>
        <w:t xml:space="preserve"> en coordinación con el Departamento de Justicia, establecerá un procedimiento expedito mediante el cual otorgará a las víctimas de violencia doméstica y acecho, a quienes un Tribunal con competencia les haya expedido una orden de protección y que así lo soliciten, una Licencia de Armas Especial. Esta licencia especial no tendrá costo alguno y tendrá una vigencia</w:t>
      </w:r>
      <w:r>
        <w:rPr>
          <w:rFonts w:ascii="Book Antiqua" w:eastAsia="SimSun" w:hAnsi="Book Antiqua" w:cs="Times New Roman"/>
          <w:i/>
          <w:kern w:val="0"/>
          <w:lang w:val="es-PR" w:eastAsia="x-none"/>
          <w14:ligatures w14:val="none"/>
        </w:rPr>
        <w:t xml:space="preserve"> de cinco (5) años </w:t>
      </w:r>
      <w:r w:rsidRPr="005829DE">
        <w:rPr>
          <w:rFonts w:ascii="Book Antiqua" w:eastAsia="SimSun" w:hAnsi="Book Antiqua" w:cs="Times New Roman"/>
          <w:b/>
          <w:bCs/>
          <w:iCs/>
          <w:kern w:val="0"/>
          <w:lang w:val="es-PR" w:eastAsia="x-none"/>
          <w14:ligatures w14:val="none"/>
        </w:rPr>
        <w:t xml:space="preserve">[temporal </w:t>
      </w:r>
      <w:r w:rsidRPr="005829DE">
        <w:rPr>
          <w:rFonts w:ascii="Book Antiqua" w:eastAsia="SimSun" w:hAnsi="Book Antiqua" w:cs="Times New Roman"/>
          <w:b/>
          <w:bCs/>
          <w:iCs/>
          <w:kern w:val="0"/>
          <w:lang w:val="es-PR" w:eastAsia="x-none"/>
          <w14:ligatures w14:val="none"/>
        </w:rPr>
        <w:lastRenderedPageBreak/>
        <w:t>de noventa (90) días]</w:t>
      </w:r>
      <w:r w:rsidRPr="005829DE">
        <w:rPr>
          <w:rFonts w:ascii="Book Antiqua" w:eastAsia="SimSun" w:hAnsi="Book Antiqua" w:cs="Times New Roman"/>
          <w:iCs/>
          <w:kern w:val="0"/>
          <w:lang w:val="es-PR" w:eastAsia="x-none"/>
          <w14:ligatures w14:val="none"/>
        </w:rPr>
        <w:t xml:space="preserve">, disponiéndose que la víctima de violencia doméstica o acecho a la que se le otorgue la licencia aquí </w:t>
      </w:r>
      <w:proofErr w:type="gramStart"/>
      <w:r w:rsidRPr="005829DE">
        <w:rPr>
          <w:rFonts w:ascii="Book Antiqua" w:eastAsia="SimSun" w:hAnsi="Book Antiqua" w:cs="Times New Roman"/>
          <w:iCs/>
          <w:kern w:val="0"/>
          <w:lang w:val="es-PR" w:eastAsia="x-none"/>
          <w14:ligatures w14:val="none"/>
        </w:rPr>
        <w:t>dispuesta,</w:t>
      </w:r>
      <w:proofErr w:type="gramEnd"/>
      <w:r w:rsidRPr="005829DE">
        <w:rPr>
          <w:rFonts w:ascii="Book Antiqua" w:eastAsia="SimSun" w:hAnsi="Book Antiqua" w:cs="Times New Roman"/>
          <w:iCs/>
          <w:kern w:val="0"/>
          <w:lang w:val="es-PR" w:eastAsia="x-none"/>
          <w14:ligatures w14:val="none"/>
        </w:rPr>
        <w:t xml:space="preserve"> deberá </w:t>
      </w:r>
      <w:r w:rsidRPr="005829DE">
        <w:rPr>
          <w:rFonts w:ascii="Book Antiqua" w:eastAsia="SimSun" w:hAnsi="Book Antiqua" w:cs="Times New Roman"/>
          <w:b/>
          <w:bCs/>
          <w:iCs/>
          <w:kern w:val="0"/>
          <w:lang w:val="es-PR" w:eastAsia="x-none"/>
          <w14:ligatures w14:val="none"/>
        </w:rPr>
        <w:t xml:space="preserve">[en este término solicitar la licencia de armas regular, la cual será expedida libre de costo, siempre y cuando cumpla con los demás requisitos] </w:t>
      </w:r>
      <w:r>
        <w:rPr>
          <w:rFonts w:ascii="Book Antiqua" w:eastAsia="SimSun" w:hAnsi="Book Antiqua" w:cs="Times New Roman"/>
          <w:i/>
          <w:kern w:val="0"/>
          <w:lang w:val="es-PR" w:eastAsia="x-none"/>
          <w14:ligatures w14:val="none"/>
        </w:rPr>
        <w:t xml:space="preserve">cumplir con todos los requisitos </w:t>
      </w:r>
      <w:r w:rsidRPr="005829DE">
        <w:rPr>
          <w:rFonts w:ascii="Book Antiqua" w:eastAsia="SimSun" w:hAnsi="Book Antiqua" w:cs="Times New Roman"/>
          <w:iCs/>
          <w:kern w:val="0"/>
          <w:lang w:val="es-PR" w:eastAsia="x-none"/>
          <w14:ligatures w14:val="none"/>
        </w:rPr>
        <w:t xml:space="preserve">de esta Ley. </w:t>
      </w:r>
      <w:r w:rsidR="007F45D6" w:rsidRPr="007F45D6">
        <w:rPr>
          <w:rFonts w:ascii="Book Antiqua" w:eastAsia="SimSun" w:hAnsi="Book Antiqua" w:cs="Times New Roman"/>
          <w:b/>
          <w:bCs/>
          <w:iCs/>
          <w:kern w:val="0"/>
          <w:lang w:val="es-PR" w:eastAsia="x-none"/>
          <w14:ligatures w14:val="none"/>
        </w:rPr>
        <w:t>[</w:t>
      </w:r>
      <w:r w:rsidRPr="007F45D6">
        <w:rPr>
          <w:rFonts w:ascii="Book Antiqua" w:eastAsia="SimSun" w:hAnsi="Book Antiqua" w:cs="Times New Roman"/>
          <w:b/>
          <w:bCs/>
          <w:iCs/>
          <w:kern w:val="0"/>
          <w:lang w:val="es-PR" w:eastAsia="x-none"/>
          <w14:ligatures w14:val="none"/>
        </w:rPr>
        <w:t xml:space="preserve">En caso de no someter su solicitud de licencia de armas en el tiempo dispuesto deberá entregar cualquier arma de su pertenencia </w:t>
      </w:r>
      <w:proofErr w:type="gramStart"/>
      <w:r w:rsidRPr="007F45D6">
        <w:rPr>
          <w:rFonts w:ascii="Book Antiqua" w:eastAsia="SimSun" w:hAnsi="Book Antiqua" w:cs="Times New Roman"/>
          <w:b/>
          <w:bCs/>
          <w:iCs/>
          <w:kern w:val="0"/>
          <w:lang w:val="es-PR" w:eastAsia="x-none"/>
          <w14:ligatures w14:val="none"/>
        </w:rPr>
        <w:t>de acuerdo a</w:t>
      </w:r>
      <w:proofErr w:type="gramEnd"/>
      <w:r w:rsidRPr="007F45D6">
        <w:rPr>
          <w:rFonts w:ascii="Book Antiqua" w:eastAsia="SimSun" w:hAnsi="Book Antiqua" w:cs="Times New Roman"/>
          <w:b/>
          <w:bCs/>
          <w:iCs/>
          <w:kern w:val="0"/>
          <w:lang w:val="es-PR" w:eastAsia="x-none"/>
          <w14:ligatures w14:val="none"/>
        </w:rPr>
        <w:t xml:space="preserve"> lo dispuesto en esta Ley para ello.</w:t>
      </w:r>
      <w:r w:rsidR="007F45D6" w:rsidRPr="007F45D6">
        <w:rPr>
          <w:rFonts w:ascii="Book Antiqua" w:eastAsia="SimSun" w:hAnsi="Book Antiqua" w:cs="Times New Roman"/>
          <w:b/>
          <w:bCs/>
          <w:iCs/>
          <w:kern w:val="0"/>
          <w:lang w:val="es-PR" w:eastAsia="x-none"/>
          <w14:ligatures w14:val="none"/>
        </w:rPr>
        <w:t>]</w:t>
      </w:r>
      <w:r w:rsidRPr="005829DE">
        <w:rPr>
          <w:rFonts w:ascii="Book Antiqua" w:eastAsia="SimSun" w:hAnsi="Book Antiqua" w:cs="Times New Roman"/>
          <w:iCs/>
          <w:kern w:val="0"/>
          <w:lang w:val="es-PR" w:eastAsia="x-none"/>
          <w14:ligatures w14:val="none"/>
        </w:rPr>
        <w:t xml:space="preserve"> La renovación de esta licencia será </w:t>
      </w:r>
      <w:proofErr w:type="gramStart"/>
      <w:r w:rsidRPr="005829DE">
        <w:rPr>
          <w:rFonts w:ascii="Book Antiqua" w:eastAsia="SimSun" w:hAnsi="Book Antiqua" w:cs="Times New Roman"/>
          <w:iCs/>
          <w:kern w:val="0"/>
          <w:lang w:val="es-PR" w:eastAsia="x-none"/>
          <w14:ligatures w14:val="none"/>
        </w:rPr>
        <w:t>de acuerdo a</w:t>
      </w:r>
      <w:proofErr w:type="gramEnd"/>
      <w:r w:rsidRPr="005829DE">
        <w:rPr>
          <w:rFonts w:ascii="Book Antiqua" w:eastAsia="SimSun" w:hAnsi="Book Antiqua" w:cs="Times New Roman"/>
          <w:iCs/>
          <w:kern w:val="0"/>
          <w:lang w:val="es-PR" w:eastAsia="x-none"/>
          <w14:ligatures w14:val="none"/>
        </w:rPr>
        <w:t xml:space="preserve"> lo establecido en esta Ley para dicho procedimiento.</w:t>
      </w:r>
    </w:p>
    <w:p w14:paraId="6FD22EA4" w14:textId="4D081395" w:rsidR="009831CA" w:rsidRPr="009831CA" w:rsidRDefault="00D573A3" w:rsidP="004A706B">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 xml:space="preserve">Artículo </w:t>
      </w:r>
      <w:r w:rsidR="007F45D6">
        <w:rPr>
          <w:rFonts w:ascii="Book Antiqua" w:eastAsia="SimSun" w:hAnsi="Book Antiqua" w:cs="Times New Roman"/>
          <w:iCs/>
          <w:kern w:val="0"/>
          <w:lang w:val="es-ES_tradnl" w:eastAsia="x-none"/>
          <w14:ligatures w14:val="none"/>
        </w:rPr>
        <w:t>2</w:t>
      </w:r>
      <w:r w:rsidR="00683D10">
        <w:rPr>
          <w:rFonts w:ascii="Book Antiqua" w:eastAsia="SimSun" w:hAnsi="Book Antiqua" w:cs="Times New Roman"/>
          <w:iCs/>
          <w:kern w:val="0"/>
          <w:lang w:val="es-ES_tradnl" w:eastAsia="x-none"/>
          <w14:ligatures w14:val="none"/>
        </w:rPr>
        <w:t>.-</w:t>
      </w:r>
      <w:r w:rsidR="00C22C7A">
        <w:rPr>
          <w:rFonts w:ascii="Book Antiqua" w:eastAsia="SimSun" w:hAnsi="Book Antiqua" w:cs="Times New Roman"/>
          <w:iCs/>
          <w:kern w:val="0"/>
          <w:lang w:val="es-ES_tradnl" w:eastAsia="x-none"/>
          <w14:ligatures w14:val="none"/>
        </w:rPr>
        <w:t>Esta Ley c</w:t>
      </w:r>
      <w:r w:rsidR="009831CA" w:rsidRPr="009831CA">
        <w:rPr>
          <w:rFonts w:ascii="Book Antiqua" w:eastAsia="SimSun" w:hAnsi="Book Antiqua" w:cs="Times New Roman"/>
          <w:iCs/>
          <w:kern w:val="0"/>
          <w:lang w:val="es-ES_tradnl" w:eastAsia="x-none"/>
          <w14:ligatures w14:val="none"/>
        </w:rPr>
        <w:t xml:space="preserve">omenzará a regir </w:t>
      </w:r>
      <w:r w:rsidR="009831CA" w:rsidRPr="008627B7">
        <w:rPr>
          <w:rFonts w:ascii="Book Antiqua" w:eastAsia="SimSun" w:hAnsi="Book Antiqua" w:cs="Times New Roman"/>
          <w:iCs/>
          <w:strike/>
          <w:kern w:val="0"/>
          <w:lang w:val="es-ES_tradnl" w:eastAsia="x-none"/>
          <w14:ligatures w14:val="none"/>
        </w:rPr>
        <w:t>inmediatamente</w:t>
      </w:r>
      <w:r w:rsidR="009831CA" w:rsidRPr="009831CA">
        <w:rPr>
          <w:rFonts w:ascii="Book Antiqua" w:eastAsia="SimSun" w:hAnsi="Book Antiqua" w:cs="Times New Roman"/>
          <w:iCs/>
          <w:kern w:val="0"/>
          <w:lang w:val="es-ES_tradnl" w:eastAsia="x-none"/>
          <w14:ligatures w14:val="none"/>
        </w:rPr>
        <w:t xml:space="preserve"> </w:t>
      </w:r>
      <w:r w:rsidR="008627B7">
        <w:rPr>
          <w:rFonts w:ascii="Book Antiqua" w:eastAsia="SimSun" w:hAnsi="Book Antiqua" w:cs="Times New Roman"/>
          <w:i/>
          <w:kern w:val="0"/>
          <w:u w:val="single"/>
          <w:lang w:val="es-ES_tradnl" w:eastAsia="x-none"/>
          <w14:ligatures w14:val="none"/>
        </w:rPr>
        <w:t xml:space="preserve">a los noventa (90) días </w:t>
      </w:r>
      <w:r w:rsidR="009831CA" w:rsidRPr="009831CA">
        <w:rPr>
          <w:rFonts w:ascii="Book Antiqua" w:eastAsia="SimSun" w:hAnsi="Book Antiqua" w:cs="Times New Roman"/>
          <w:iCs/>
          <w:kern w:val="0"/>
          <w:lang w:val="es-ES_tradnl" w:eastAsia="x-none"/>
          <w14:ligatures w14:val="none"/>
        </w:rPr>
        <w:t>después de su aprobación.</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1B9DF" w14:textId="77777777" w:rsidR="000F7631" w:rsidRDefault="000F7631">
      <w:pPr>
        <w:spacing w:after="0" w:line="240" w:lineRule="auto"/>
      </w:pPr>
      <w:r>
        <w:separator/>
      </w:r>
    </w:p>
  </w:endnote>
  <w:endnote w:type="continuationSeparator" w:id="0">
    <w:p w14:paraId="7C21A79C" w14:textId="77777777" w:rsidR="000F7631" w:rsidRDefault="000F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265AF" w14:textId="77777777" w:rsidR="000F7631" w:rsidRDefault="000F7631">
      <w:pPr>
        <w:spacing w:after="0" w:line="240" w:lineRule="auto"/>
      </w:pPr>
      <w:r>
        <w:separator/>
      </w:r>
    </w:p>
  </w:footnote>
  <w:footnote w:type="continuationSeparator" w:id="0">
    <w:p w14:paraId="41BEA1E7" w14:textId="77777777" w:rsidR="000F7631" w:rsidRDefault="000F7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56"/>
    <w:multiLevelType w:val="hybridMultilevel"/>
    <w:tmpl w:val="64AA23CC"/>
    <w:lvl w:ilvl="0" w:tplc="D340B618">
      <w:start w:val="1"/>
      <w:numFmt w:val="decimal"/>
      <w:lvlText w:val="(%1)"/>
      <w:lvlJc w:val="left"/>
      <w:pPr>
        <w:ind w:left="1287" w:hanging="360"/>
      </w:pPr>
      <w:rPr>
        <w:rFonts w:hint="default"/>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1" w15:restartNumberingAfterBreak="0">
    <w:nsid w:val="12C94A4E"/>
    <w:multiLevelType w:val="hybridMultilevel"/>
    <w:tmpl w:val="2A820B32"/>
    <w:lvl w:ilvl="0" w:tplc="EB0AA616">
      <w:start w:val="1"/>
      <w:numFmt w:val="lowerLetter"/>
      <w:lvlText w:val="(%1)"/>
      <w:lvlJc w:val="left"/>
      <w:pPr>
        <w:ind w:left="927" w:hanging="360"/>
      </w:pPr>
      <w:rPr>
        <w:rFonts w:hint="default"/>
      </w:rPr>
    </w:lvl>
    <w:lvl w:ilvl="1" w:tplc="500A0019">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55E7516A"/>
    <w:multiLevelType w:val="hybridMultilevel"/>
    <w:tmpl w:val="40206DA8"/>
    <w:lvl w:ilvl="0" w:tplc="5860E882">
      <w:start w:val="9"/>
      <w:numFmt w:val="decimal"/>
      <w:lvlText w:val="(%1)"/>
      <w:lvlJc w:val="left"/>
      <w:pPr>
        <w:ind w:left="1647" w:hanging="360"/>
      </w:pPr>
      <w:rPr>
        <w:rFonts w:hint="default"/>
        <w:i/>
        <w:iCs w:val="0"/>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74860BDB"/>
    <w:multiLevelType w:val="hybridMultilevel"/>
    <w:tmpl w:val="64AA23CC"/>
    <w:lvl w:ilvl="0" w:tplc="FFFFFFFF">
      <w:start w:val="1"/>
      <w:numFmt w:val="decimal"/>
      <w:lvlText w:val="(%1)"/>
      <w:lvlJc w:val="left"/>
      <w:pPr>
        <w:ind w:left="1647" w:hanging="360"/>
      </w:pPr>
      <w:rPr>
        <w:rFonts w:hint="default"/>
      </w:rPr>
    </w:lvl>
    <w:lvl w:ilvl="1" w:tplc="FFFFFFFF" w:tentative="1">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num w:numId="1" w16cid:durableId="1461069656">
    <w:abstractNumId w:val="2"/>
  </w:num>
  <w:num w:numId="2" w16cid:durableId="1222861953">
    <w:abstractNumId w:val="1"/>
  </w:num>
  <w:num w:numId="3" w16cid:durableId="1531531558">
    <w:abstractNumId w:val="0"/>
  </w:num>
  <w:num w:numId="4" w16cid:durableId="1872373439">
    <w:abstractNumId w:val="4"/>
  </w:num>
  <w:num w:numId="5" w16cid:durableId="1770663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3E3B"/>
    <w:rsid w:val="00034662"/>
    <w:rsid w:val="000412CA"/>
    <w:rsid w:val="0007392B"/>
    <w:rsid w:val="0008046C"/>
    <w:rsid w:val="00087FBE"/>
    <w:rsid w:val="00091DAC"/>
    <w:rsid w:val="000A231D"/>
    <w:rsid w:val="000A2945"/>
    <w:rsid w:val="000A41A9"/>
    <w:rsid w:val="000A5C51"/>
    <w:rsid w:val="000A6835"/>
    <w:rsid w:val="000D0DF1"/>
    <w:rsid w:val="000D6DE1"/>
    <w:rsid w:val="000D79B5"/>
    <w:rsid w:val="000F7631"/>
    <w:rsid w:val="000F78E1"/>
    <w:rsid w:val="00101B63"/>
    <w:rsid w:val="00120B13"/>
    <w:rsid w:val="00127CB5"/>
    <w:rsid w:val="00136017"/>
    <w:rsid w:val="0013791C"/>
    <w:rsid w:val="0014610D"/>
    <w:rsid w:val="001469EC"/>
    <w:rsid w:val="00150EC4"/>
    <w:rsid w:val="001540F4"/>
    <w:rsid w:val="00160B36"/>
    <w:rsid w:val="00164B45"/>
    <w:rsid w:val="00167B75"/>
    <w:rsid w:val="00182C6A"/>
    <w:rsid w:val="00183BCB"/>
    <w:rsid w:val="00185868"/>
    <w:rsid w:val="00192213"/>
    <w:rsid w:val="001940A2"/>
    <w:rsid w:val="001A0039"/>
    <w:rsid w:val="001A21BB"/>
    <w:rsid w:val="001A35B9"/>
    <w:rsid w:val="001D4A4E"/>
    <w:rsid w:val="001E1E26"/>
    <w:rsid w:val="001F3674"/>
    <w:rsid w:val="001F4562"/>
    <w:rsid w:val="00225C21"/>
    <w:rsid w:val="00232631"/>
    <w:rsid w:val="00254863"/>
    <w:rsid w:val="00255632"/>
    <w:rsid w:val="00282CB6"/>
    <w:rsid w:val="00295443"/>
    <w:rsid w:val="002A0226"/>
    <w:rsid w:val="002A6EFF"/>
    <w:rsid w:val="002B4433"/>
    <w:rsid w:val="002C07A8"/>
    <w:rsid w:val="002D5314"/>
    <w:rsid w:val="002E3E0B"/>
    <w:rsid w:val="00311135"/>
    <w:rsid w:val="00311891"/>
    <w:rsid w:val="0031341F"/>
    <w:rsid w:val="003251CF"/>
    <w:rsid w:val="00326CB3"/>
    <w:rsid w:val="00344D11"/>
    <w:rsid w:val="003462F0"/>
    <w:rsid w:val="00357F04"/>
    <w:rsid w:val="00367644"/>
    <w:rsid w:val="00367A62"/>
    <w:rsid w:val="003825F2"/>
    <w:rsid w:val="003906BF"/>
    <w:rsid w:val="003C1969"/>
    <w:rsid w:val="003C47CD"/>
    <w:rsid w:val="003D2B71"/>
    <w:rsid w:val="003E1D33"/>
    <w:rsid w:val="003E235C"/>
    <w:rsid w:val="003F2F8B"/>
    <w:rsid w:val="003F6521"/>
    <w:rsid w:val="003F6F6D"/>
    <w:rsid w:val="00405E36"/>
    <w:rsid w:val="00421200"/>
    <w:rsid w:val="00430FA5"/>
    <w:rsid w:val="00435B80"/>
    <w:rsid w:val="004545CA"/>
    <w:rsid w:val="0046356A"/>
    <w:rsid w:val="00470124"/>
    <w:rsid w:val="00482732"/>
    <w:rsid w:val="00483337"/>
    <w:rsid w:val="00483BEB"/>
    <w:rsid w:val="00493D6B"/>
    <w:rsid w:val="004950CD"/>
    <w:rsid w:val="004A29B3"/>
    <w:rsid w:val="004A706B"/>
    <w:rsid w:val="004B709D"/>
    <w:rsid w:val="004D4752"/>
    <w:rsid w:val="004D76B6"/>
    <w:rsid w:val="004F7EB5"/>
    <w:rsid w:val="0050577B"/>
    <w:rsid w:val="00517D8B"/>
    <w:rsid w:val="005224F7"/>
    <w:rsid w:val="00531CCC"/>
    <w:rsid w:val="00532E46"/>
    <w:rsid w:val="00541225"/>
    <w:rsid w:val="005443E6"/>
    <w:rsid w:val="00564F22"/>
    <w:rsid w:val="005756AB"/>
    <w:rsid w:val="005771D3"/>
    <w:rsid w:val="00581E90"/>
    <w:rsid w:val="005829DE"/>
    <w:rsid w:val="005853BE"/>
    <w:rsid w:val="005A22BD"/>
    <w:rsid w:val="005A5A88"/>
    <w:rsid w:val="005B3E7F"/>
    <w:rsid w:val="005D1002"/>
    <w:rsid w:val="005D202B"/>
    <w:rsid w:val="005E230C"/>
    <w:rsid w:val="005E60EA"/>
    <w:rsid w:val="005F4167"/>
    <w:rsid w:val="006131BB"/>
    <w:rsid w:val="0061511A"/>
    <w:rsid w:val="006214A7"/>
    <w:rsid w:val="00633A4D"/>
    <w:rsid w:val="00633AC3"/>
    <w:rsid w:val="006347D8"/>
    <w:rsid w:val="0064219B"/>
    <w:rsid w:val="00662124"/>
    <w:rsid w:val="006671CB"/>
    <w:rsid w:val="00670AB9"/>
    <w:rsid w:val="00670D61"/>
    <w:rsid w:val="00674629"/>
    <w:rsid w:val="00680D49"/>
    <w:rsid w:val="00683D10"/>
    <w:rsid w:val="00684534"/>
    <w:rsid w:val="006B0E54"/>
    <w:rsid w:val="006C3A59"/>
    <w:rsid w:val="006C5D76"/>
    <w:rsid w:val="006D2C02"/>
    <w:rsid w:val="006E3199"/>
    <w:rsid w:val="006F2DF8"/>
    <w:rsid w:val="00701833"/>
    <w:rsid w:val="00701BE5"/>
    <w:rsid w:val="007027F3"/>
    <w:rsid w:val="0071720C"/>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A418C"/>
    <w:rsid w:val="007A7CF5"/>
    <w:rsid w:val="007B30FD"/>
    <w:rsid w:val="007B534D"/>
    <w:rsid w:val="007B7C2D"/>
    <w:rsid w:val="007C5AFE"/>
    <w:rsid w:val="007F1E6F"/>
    <w:rsid w:val="007F2DE8"/>
    <w:rsid w:val="007F45D6"/>
    <w:rsid w:val="007F5952"/>
    <w:rsid w:val="007F6FCF"/>
    <w:rsid w:val="00804A47"/>
    <w:rsid w:val="008064F7"/>
    <w:rsid w:val="0082449C"/>
    <w:rsid w:val="00824518"/>
    <w:rsid w:val="00841254"/>
    <w:rsid w:val="008459F4"/>
    <w:rsid w:val="008627B7"/>
    <w:rsid w:val="008715B4"/>
    <w:rsid w:val="00873C31"/>
    <w:rsid w:val="00874C69"/>
    <w:rsid w:val="00880124"/>
    <w:rsid w:val="008811CC"/>
    <w:rsid w:val="00882C69"/>
    <w:rsid w:val="008A2A0E"/>
    <w:rsid w:val="008B1150"/>
    <w:rsid w:val="008B2384"/>
    <w:rsid w:val="008B5257"/>
    <w:rsid w:val="008D0B71"/>
    <w:rsid w:val="008D490A"/>
    <w:rsid w:val="008E2B43"/>
    <w:rsid w:val="008E2F03"/>
    <w:rsid w:val="0090679D"/>
    <w:rsid w:val="009269BD"/>
    <w:rsid w:val="00926AE7"/>
    <w:rsid w:val="00927FE1"/>
    <w:rsid w:val="009338FE"/>
    <w:rsid w:val="00935DE3"/>
    <w:rsid w:val="00940BED"/>
    <w:rsid w:val="009453EB"/>
    <w:rsid w:val="0095098A"/>
    <w:rsid w:val="00953C0C"/>
    <w:rsid w:val="00972AF2"/>
    <w:rsid w:val="0098307A"/>
    <w:rsid w:val="009831CA"/>
    <w:rsid w:val="00983C1B"/>
    <w:rsid w:val="0099044A"/>
    <w:rsid w:val="00992335"/>
    <w:rsid w:val="00992E56"/>
    <w:rsid w:val="00993254"/>
    <w:rsid w:val="00995C9C"/>
    <w:rsid w:val="009B3015"/>
    <w:rsid w:val="009D0B4A"/>
    <w:rsid w:val="009D12D2"/>
    <w:rsid w:val="009E1DA3"/>
    <w:rsid w:val="009E65DF"/>
    <w:rsid w:val="009F1436"/>
    <w:rsid w:val="009F281F"/>
    <w:rsid w:val="009F3C3B"/>
    <w:rsid w:val="009F55B6"/>
    <w:rsid w:val="009F5B03"/>
    <w:rsid w:val="00A259CD"/>
    <w:rsid w:val="00A37077"/>
    <w:rsid w:val="00A46B30"/>
    <w:rsid w:val="00A57E18"/>
    <w:rsid w:val="00A93E97"/>
    <w:rsid w:val="00AA3FEA"/>
    <w:rsid w:val="00AA4661"/>
    <w:rsid w:val="00AB5ED0"/>
    <w:rsid w:val="00AD1F7B"/>
    <w:rsid w:val="00AD3387"/>
    <w:rsid w:val="00AE3A75"/>
    <w:rsid w:val="00AE7032"/>
    <w:rsid w:val="00B03F17"/>
    <w:rsid w:val="00B06DB9"/>
    <w:rsid w:val="00B21939"/>
    <w:rsid w:val="00B23298"/>
    <w:rsid w:val="00B35730"/>
    <w:rsid w:val="00B607C3"/>
    <w:rsid w:val="00B66109"/>
    <w:rsid w:val="00B6685B"/>
    <w:rsid w:val="00B747A7"/>
    <w:rsid w:val="00B80D93"/>
    <w:rsid w:val="00B812D4"/>
    <w:rsid w:val="00BA239B"/>
    <w:rsid w:val="00BB1EDB"/>
    <w:rsid w:val="00BB45DE"/>
    <w:rsid w:val="00BC51EC"/>
    <w:rsid w:val="00BD049B"/>
    <w:rsid w:val="00BD621B"/>
    <w:rsid w:val="00BF185F"/>
    <w:rsid w:val="00BF67D2"/>
    <w:rsid w:val="00C0184D"/>
    <w:rsid w:val="00C03FFA"/>
    <w:rsid w:val="00C13CB6"/>
    <w:rsid w:val="00C15910"/>
    <w:rsid w:val="00C20367"/>
    <w:rsid w:val="00C21A70"/>
    <w:rsid w:val="00C22C7A"/>
    <w:rsid w:val="00C268F3"/>
    <w:rsid w:val="00C315B5"/>
    <w:rsid w:val="00C320BE"/>
    <w:rsid w:val="00C36440"/>
    <w:rsid w:val="00C42E31"/>
    <w:rsid w:val="00C42F40"/>
    <w:rsid w:val="00C46602"/>
    <w:rsid w:val="00C47EEE"/>
    <w:rsid w:val="00C57A87"/>
    <w:rsid w:val="00C649C9"/>
    <w:rsid w:val="00C7269C"/>
    <w:rsid w:val="00C734D8"/>
    <w:rsid w:val="00C75B8E"/>
    <w:rsid w:val="00C979B6"/>
    <w:rsid w:val="00CD1A35"/>
    <w:rsid w:val="00CD6757"/>
    <w:rsid w:val="00CE4799"/>
    <w:rsid w:val="00CF2B30"/>
    <w:rsid w:val="00CF555B"/>
    <w:rsid w:val="00D0287F"/>
    <w:rsid w:val="00D12DCF"/>
    <w:rsid w:val="00D23FD7"/>
    <w:rsid w:val="00D269B9"/>
    <w:rsid w:val="00D26CBD"/>
    <w:rsid w:val="00D3130D"/>
    <w:rsid w:val="00D353DA"/>
    <w:rsid w:val="00D573A3"/>
    <w:rsid w:val="00D7498B"/>
    <w:rsid w:val="00D926FD"/>
    <w:rsid w:val="00DA338A"/>
    <w:rsid w:val="00DA734F"/>
    <w:rsid w:val="00DD26CC"/>
    <w:rsid w:val="00DD4A17"/>
    <w:rsid w:val="00DE749B"/>
    <w:rsid w:val="00DF14EB"/>
    <w:rsid w:val="00E01D34"/>
    <w:rsid w:val="00E07502"/>
    <w:rsid w:val="00E1177A"/>
    <w:rsid w:val="00E16C57"/>
    <w:rsid w:val="00E2038A"/>
    <w:rsid w:val="00E23EFD"/>
    <w:rsid w:val="00E315BB"/>
    <w:rsid w:val="00E37F0E"/>
    <w:rsid w:val="00E73C7E"/>
    <w:rsid w:val="00E762E1"/>
    <w:rsid w:val="00E81568"/>
    <w:rsid w:val="00EA687F"/>
    <w:rsid w:val="00ED78F1"/>
    <w:rsid w:val="00EE471F"/>
    <w:rsid w:val="00EE616A"/>
    <w:rsid w:val="00EF01A1"/>
    <w:rsid w:val="00F00984"/>
    <w:rsid w:val="00F101A3"/>
    <w:rsid w:val="00F12662"/>
    <w:rsid w:val="00F14612"/>
    <w:rsid w:val="00F154D6"/>
    <w:rsid w:val="00F175CE"/>
    <w:rsid w:val="00F21BAF"/>
    <w:rsid w:val="00F22272"/>
    <w:rsid w:val="00F30A7C"/>
    <w:rsid w:val="00F44805"/>
    <w:rsid w:val="00F449CA"/>
    <w:rsid w:val="00F46E22"/>
    <w:rsid w:val="00F56942"/>
    <w:rsid w:val="00F56D26"/>
    <w:rsid w:val="00F57AFE"/>
    <w:rsid w:val="00F658A6"/>
    <w:rsid w:val="00F76855"/>
    <w:rsid w:val="00F80010"/>
    <w:rsid w:val="00F85866"/>
    <w:rsid w:val="00F86B2C"/>
    <w:rsid w:val="00F9344F"/>
    <w:rsid w:val="00FA4893"/>
    <w:rsid w:val="00FA7CBB"/>
    <w:rsid w:val="00FC3145"/>
    <w:rsid w:val="00FC7D6D"/>
    <w:rsid w:val="00FD247D"/>
    <w:rsid w:val="00FD4ABD"/>
    <w:rsid w:val="00FE04F7"/>
    <w:rsid w:val="00FE2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semiHidden/>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 w:type="paragraph" w:styleId="Footer">
    <w:name w:val="footer"/>
    <w:basedOn w:val="Normal"/>
    <w:link w:val="FooterChar"/>
    <w:uiPriority w:val="99"/>
    <w:semiHidden/>
    <w:unhideWhenUsed/>
    <w:rsid w:val="00AD1F7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1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1B692-C359-4386-B892-9FC14E75E06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2CBD1D73-F445-45F4-898D-371C67FECD6C}">
  <ds:schemaRefs>
    <ds:schemaRef ds:uri="http://schemas.microsoft.com/sharepoint/v3/contenttype/forms"/>
  </ds:schemaRefs>
</ds:datastoreItem>
</file>

<file path=customXml/itemProps3.xml><?xml version="1.0" encoding="utf-8"?>
<ds:datastoreItem xmlns:ds="http://schemas.openxmlformats.org/officeDocument/2006/customXml" ds:itemID="{FC02BD4E-2F4D-4466-BA75-C115FE576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B13C5B-6048-43CC-9F31-CC491B6E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724</Words>
  <Characters>4127</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Camyl Moreno Pantojas</cp:lastModifiedBy>
  <cp:revision>2</cp:revision>
  <cp:lastPrinted>2025-05-13T18:42:00Z</cp:lastPrinted>
  <dcterms:created xsi:type="dcterms:W3CDTF">2026-01-23T17:43:00Z</dcterms:created>
  <dcterms:modified xsi:type="dcterms:W3CDTF">2026-01-23T17:43:00Z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