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D932" w14:textId="397386FC" w:rsidR="00FF6BD2" w:rsidRDefault="00C10981" w:rsidP="00166B14">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166B14" w:rsidRDefault="00F37FA3" w:rsidP="00166B14">
      <w:pPr>
        <w:suppressLineNumbers/>
        <w:jc w:val="center"/>
        <w:rPr>
          <w:rFonts w:ascii="Book Antiqua" w:hAnsi="Book Antiqua"/>
          <w:szCs w:val="18"/>
          <w:lang w:val="es-ES_tradnl"/>
        </w:rPr>
      </w:pPr>
    </w:p>
    <w:p w14:paraId="73E1CBB2" w14:textId="3709DC9B" w:rsidR="00F37FA3" w:rsidRDefault="00C10981" w:rsidP="00166B14">
      <w:pPr>
        <w:pStyle w:val="Title2"/>
        <w:suppressLineNumbers/>
        <w:tabs>
          <w:tab w:val="clear" w:pos="7776"/>
          <w:tab w:val="clear" w:pos="7848"/>
          <w:tab w:val="left" w:pos="7560"/>
        </w:tabs>
        <w:rPr>
          <w:rFonts w:ascii="Book Antiqua" w:hAnsi="Book Antiqua"/>
          <w:lang w:val="es-ES_tradnl"/>
        </w:rPr>
      </w:pPr>
      <w:r>
        <w:rPr>
          <w:rFonts w:ascii="Book Antiqua" w:hAnsi="Book Antiqua"/>
          <w:lang w:val="es-ES_tradnl"/>
        </w:rPr>
        <w:t>20</w:t>
      </w:r>
      <w:r w:rsidR="00E93A87">
        <w:rPr>
          <w:rFonts w:ascii="Book Antiqua" w:hAnsi="Book Antiqua"/>
          <w:vertAlign w:val="superscript"/>
          <w:lang w:val="es-ES_tradnl"/>
        </w:rPr>
        <w:t>ma</w:t>
      </w:r>
      <w:r w:rsidR="00F37FA3">
        <w:rPr>
          <w:rFonts w:ascii="Book Antiqua" w:hAnsi="Book Antiqua"/>
          <w:lang w:val="es-ES_tradnl"/>
        </w:rPr>
        <w:t xml:space="preserve"> Asamblea</w:t>
      </w:r>
      <w:r w:rsidR="00166B14">
        <w:rPr>
          <w:rFonts w:ascii="Book Antiqua" w:hAnsi="Book Antiqua"/>
          <w:lang w:val="es-ES_tradnl"/>
        </w:rPr>
        <w:tab/>
      </w:r>
      <w:r w:rsidR="00E93A87">
        <w:rPr>
          <w:rFonts w:ascii="Book Antiqua" w:hAnsi="Book Antiqua"/>
          <w:lang w:val="es-ES_tradnl"/>
        </w:rPr>
        <w:t>2</w:t>
      </w:r>
      <w:r w:rsidR="00E93A87">
        <w:rPr>
          <w:rFonts w:ascii="Book Antiqua" w:hAnsi="Book Antiqua"/>
          <w:vertAlign w:val="superscript"/>
          <w:lang w:val="es-ES_tradnl"/>
        </w:rPr>
        <w:t>da</w:t>
      </w:r>
      <w:r w:rsidR="00F37FA3">
        <w:rPr>
          <w:rFonts w:ascii="Book Antiqua" w:hAnsi="Book Antiqua"/>
          <w:lang w:val="es-ES_tradnl"/>
        </w:rPr>
        <w:t xml:space="preserve"> Sesión</w:t>
      </w:r>
    </w:p>
    <w:p w14:paraId="4FDDC2A5" w14:textId="6E1B59F5" w:rsidR="00F37FA3" w:rsidRDefault="00166B14" w:rsidP="00166B14">
      <w:pPr>
        <w:pStyle w:val="Title2"/>
        <w:suppressLineNumbers/>
        <w:rPr>
          <w:rFonts w:ascii="Book Antiqua" w:hAnsi="Book Antiqua"/>
          <w:lang w:val="es-ES_tradnl"/>
        </w:rPr>
      </w:pPr>
      <w:r>
        <w:rPr>
          <w:rFonts w:ascii="Book Antiqua" w:hAnsi="Book Antiqua"/>
          <w:lang w:val="es-ES_tradnl"/>
        </w:rPr>
        <w:t xml:space="preserve">         </w:t>
      </w:r>
      <w:r w:rsidR="00F37FA3">
        <w:rPr>
          <w:rFonts w:ascii="Book Antiqua" w:hAnsi="Book Antiqua"/>
          <w:lang w:val="es-ES_tradnl"/>
        </w:rPr>
        <w:t>Legislativa</w:t>
      </w:r>
      <w:r w:rsidR="00F37FA3">
        <w:rPr>
          <w:rFonts w:ascii="Book Antiqua" w:hAnsi="Book Antiqua"/>
          <w:lang w:val="es-ES_tradnl"/>
        </w:rPr>
        <w:tab/>
      </w:r>
      <w:r>
        <w:rPr>
          <w:rFonts w:ascii="Book Antiqua" w:hAnsi="Book Antiqua"/>
          <w:lang w:val="es-ES_tradnl"/>
        </w:rPr>
        <w:t xml:space="preserve">  </w:t>
      </w:r>
      <w:r w:rsidR="00F37FA3">
        <w:rPr>
          <w:rFonts w:ascii="Book Antiqua" w:hAnsi="Book Antiqua"/>
          <w:lang w:val="es-ES_tradnl"/>
        </w:rPr>
        <w:tab/>
        <w:t>Ordinaria</w:t>
      </w:r>
    </w:p>
    <w:p w14:paraId="396F010D" w14:textId="77777777" w:rsidR="00F37FA3" w:rsidRDefault="00F37FA3" w:rsidP="00166B14">
      <w:pPr>
        <w:suppressLineNumbers/>
        <w:rPr>
          <w:lang w:val="es-ES_tradnl"/>
        </w:rPr>
      </w:pPr>
    </w:p>
    <w:p w14:paraId="6D56037B" w14:textId="17D07C99" w:rsidR="00F37FA3" w:rsidRDefault="00F37FA3" w:rsidP="00166B1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354E7C6" w14:textId="77777777" w:rsidR="00166B14" w:rsidRPr="00166B14" w:rsidRDefault="00166B14" w:rsidP="00166B14">
      <w:pPr>
        <w:suppressLineNumbers/>
        <w:jc w:val="center"/>
        <w:rPr>
          <w:rFonts w:ascii="Book Antiqua" w:hAnsi="Book Antiqua"/>
          <w:b/>
          <w:szCs w:val="24"/>
          <w:lang w:val="es-ES_tradnl"/>
        </w:rPr>
      </w:pPr>
    </w:p>
    <w:p w14:paraId="3AB3F078" w14:textId="58C575E8" w:rsidR="00F37FA3" w:rsidRDefault="00027EFA" w:rsidP="00166B14">
      <w:pPr>
        <w:suppressLineNumbers/>
        <w:jc w:val="center"/>
        <w:rPr>
          <w:rFonts w:ascii="Book Antiqua" w:hAnsi="Book Antiqua"/>
          <w:b/>
          <w:sz w:val="52"/>
          <w:lang w:val="es-ES_tradnl"/>
        </w:rPr>
      </w:pPr>
      <w:r>
        <w:rPr>
          <w:rFonts w:ascii="Book Antiqua" w:hAnsi="Book Antiqua"/>
          <w:b/>
          <w:sz w:val="52"/>
          <w:lang w:val="es-ES_tradnl"/>
        </w:rPr>
        <w:t>R</w:t>
      </w:r>
      <w:r w:rsidR="00166B14">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de la C.</w:t>
      </w:r>
      <w:r w:rsidR="00FF4825">
        <w:rPr>
          <w:rFonts w:ascii="Book Antiqua" w:hAnsi="Book Antiqua"/>
          <w:b/>
          <w:sz w:val="52"/>
          <w:lang w:val="es-ES_tradnl"/>
        </w:rPr>
        <w:t xml:space="preserve"> 237</w:t>
      </w:r>
    </w:p>
    <w:p w14:paraId="2E0DAD0F" w14:textId="77777777" w:rsidR="00166B14" w:rsidRPr="00166B14" w:rsidRDefault="00166B14" w:rsidP="00166B14">
      <w:pPr>
        <w:suppressLineNumbers/>
        <w:jc w:val="center"/>
        <w:rPr>
          <w:rFonts w:ascii="Book Antiqua" w:hAnsi="Book Antiqua"/>
          <w:b/>
          <w:szCs w:val="24"/>
          <w:lang w:val="es-ES_tradnl"/>
        </w:rPr>
      </w:pPr>
    </w:p>
    <w:p w14:paraId="135933B8" w14:textId="622E0678" w:rsidR="00F37FA3" w:rsidRDefault="00F37FA3" w:rsidP="00166B14">
      <w:pPr>
        <w:suppressLineNumbers/>
        <w:jc w:val="center"/>
        <w:rPr>
          <w:rFonts w:ascii="Book Antiqua" w:hAnsi="Book Antiqua"/>
          <w:lang w:val="es-ES_tradnl"/>
        </w:rPr>
      </w:pPr>
      <w:r>
        <w:rPr>
          <w:rFonts w:ascii="Book Antiqua" w:hAnsi="Book Antiqua"/>
          <w:lang w:val="es-ES_tradnl"/>
        </w:rPr>
        <w:t xml:space="preserve"> </w:t>
      </w:r>
      <w:r w:rsidR="00FF4825">
        <w:rPr>
          <w:rFonts w:ascii="Book Antiqua" w:hAnsi="Book Antiqua"/>
          <w:lang w:val="es-ES_tradnl"/>
        </w:rPr>
        <w:t>29</w:t>
      </w:r>
      <w:r w:rsidR="00B66CCD">
        <w:rPr>
          <w:rFonts w:ascii="Book Antiqua" w:hAnsi="Book Antiqua"/>
          <w:lang w:val="es-ES_tradnl"/>
        </w:rPr>
        <w:t xml:space="preserve"> </w:t>
      </w:r>
      <w:r>
        <w:rPr>
          <w:rFonts w:ascii="Book Antiqua" w:hAnsi="Book Antiqua"/>
          <w:lang w:val="es-ES_tradnl"/>
        </w:rPr>
        <w:t xml:space="preserve">DE </w:t>
      </w:r>
      <w:r w:rsidR="008312E7">
        <w:rPr>
          <w:rFonts w:ascii="Book Antiqua" w:hAnsi="Book Antiqua"/>
          <w:lang w:val="es-ES_tradnl"/>
        </w:rPr>
        <w:t>OCTUBRE</w:t>
      </w:r>
      <w:r>
        <w:rPr>
          <w:rFonts w:ascii="Book Antiqua" w:hAnsi="Book Antiqua"/>
          <w:lang w:val="es-ES_tradnl"/>
        </w:rPr>
        <w:t xml:space="preserve"> DE 202</w:t>
      </w:r>
      <w:r w:rsidR="00C10981">
        <w:rPr>
          <w:rFonts w:ascii="Book Antiqua" w:hAnsi="Book Antiqua"/>
          <w:lang w:val="es-ES_tradnl"/>
        </w:rPr>
        <w:t>5</w:t>
      </w:r>
    </w:p>
    <w:p w14:paraId="00BA3E54" w14:textId="77777777" w:rsidR="00166B14" w:rsidRDefault="00166B14" w:rsidP="00166B14">
      <w:pPr>
        <w:suppressLineNumbers/>
        <w:jc w:val="center"/>
        <w:rPr>
          <w:rFonts w:ascii="Book Antiqua" w:hAnsi="Book Antiqua"/>
          <w:lang w:val="es-ES_tradnl"/>
        </w:rPr>
      </w:pPr>
    </w:p>
    <w:p w14:paraId="7B055DA7" w14:textId="30DE390C" w:rsidR="00F37FA3" w:rsidRDefault="00F37FA3" w:rsidP="00166B14">
      <w:pPr>
        <w:suppressLineNumbers/>
        <w:jc w:val="center"/>
        <w:rPr>
          <w:rFonts w:ascii="Book Antiqua" w:hAnsi="Book Antiqua"/>
          <w:i/>
          <w:iCs/>
          <w:lang w:val="es-ES_tradnl"/>
        </w:rPr>
      </w:pPr>
      <w:r>
        <w:rPr>
          <w:rFonts w:ascii="Book Antiqua" w:hAnsi="Book Antiqua"/>
          <w:lang w:val="es-ES_tradnl"/>
        </w:rPr>
        <w:t>Presentad</w:t>
      </w:r>
      <w:r w:rsidR="000E2BD0">
        <w:rPr>
          <w:rFonts w:ascii="Book Antiqua" w:hAnsi="Book Antiqua"/>
          <w:lang w:val="es-ES_tradnl"/>
        </w:rPr>
        <w:t>a</w:t>
      </w:r>
      <w:r>
        <w:rPr>
          <w:rFonts w:ascii="Book Antiqua" w:hAnsi="Book Antiqua"/>
          <w:lang w:val="es-ES_tradnl"/>
        </w:rPr>
        <w:t xml:space="preserve"> por el </w:t>
      </w:r>
      <w:r w:rsidRPr="00055122">
        <w:rPr>
          <w:rFonts w:ascii="Book Antiqua" w:hAnsi="Book Antiqua"/>
          <w:lang w:val="es-ES_tradnl"/>
        </w:rPr>
        <w:t xml:space="preserve">representante </w:t>
      </w:r>
      <w:r w:rsidR="008312E7">
        <w:rPr>
          <w:rFonts w:ascii="Book Antiqua" w:hAnsi="Book Antiqua"/>
          <w:i/>
          <w:iCs/>
          <w:lang w:val="es-ES_tradnl"/>
        </w:rPr>
        <w:t>Pérez Cordero</w:t>
      </w:r>
    </w:p>
    <w:p w14:paraId="3E08575A" w14:textId="77777777" w:rsidR="00166B14" w:rsidRDefault="00166B14" w:rsidP="00166B14">
      <w:pPr>
        <w:suppressLineNumbers/>
        <w:jc w:val="center"/>
        <w:rPr>
          <w:rFonts w:ascii="Book Antiqua" w:hAnsi="Book Antiqua"/>
          <w:lang w:val="es-ES_tradnl"/>
        </w:rPr>
      </w:pPr>
    </w:p>
    <w:p w14:paraId="22FDE843" w14:textId="5291CB02" w:rsidR="000D0AF3" w:rsidRPr="003B0E45" w:rsidRDefault="00F37FA3" w:rsidP="00166B14">
      <w:pPr>
        <w:suppressLineNumbers/>
        <w:jc w:val="center"/>
        <w:rPr>
          <w:rFonts w:ascii="Book Antiqua" w:hAnsi="Book Antiqua"/>
          <w:color w:val="000000" w:themeColor="text1"/>
          <w:lang w:val="es-ES_tradnl"/>
        </w:rPr>
      </w:pPr>
      <w:r>
        <w:rPr>
          <w:rFonts w:ascii="Book Antiqua" w:hAnsi="Book Antiqua"/>
          <w:lang w:val="es-ES_tradnl"/>
        </w:rPr>
        <w:t>Referid</w:t>
      </w:r>
      <w:r w:rsidR="000E2BD0">
        <w:rPr>
          <w:rFonts w:ascii="Book Antiqua" w:hAnsi="Book Antiqua"/>
          <w:lang w:val="es-ES_tradnl"/>
        </w:rPr>
        <w:t>a</w:t>
      </w:r>
      <w:r>
        <w:rPr>
          <w:rFonts w:ascii="Book Antiqua" w:hAnsi="Book Antiqua"/>
          <w:lang w:val="es-ES_tradnl"/>
        </w:rPr>
        <w:t xml:space="preserve"> a </w:t>
      </w:r>
      <w:r w:rsidR="000D0AF3">
        <w:rPr>
          <w:rFonts w:ascii="Book Antiqua" w:hAnsi="Book Antiqua"/>
          <w:lang w:val="es-ES_tradnl"/>
        </w:rPr>
        <w:t xml:space="preserve">la Comisión </w:t>
      </w:r>
      <w:r w:rsidR="000E2BD0">
        <w:rPr>
          <w:rFonts w:ascii="Book Antiqua" w:hAnsi="Book Antiqua"/>
          <w:color w:val="000000" w:themeColor="text1"/>
          <w:lang w:val="es-ES_tradnl"/>
        </w:rPr>
        <w:t>de</w:t>
      </w:r>
      <w:r w:rsidR="00D81DA3">
        <w:rPr>
          <w:rFonts w:ascii="Book Antiqua" w:hAnsi="Book Antiqua"/>
          <w:color w:val="000000" w:themeColor="text1"/>
          <w:lang w:val="es-ES_tradnl"/>
        </w:rPr>
        <w:t xml:space="preserve"> Salud</w:t>
      </w:r>
    </w:p>
    <w:p w14:paraId="2852E4E0" w14:textId="77777777" w:rsidR="00F37FA3" w:rsidRDefault="00F37FA3" w:rsidP="00166B14">
      <w:pPr>
        <w:suppressLineNumbers/>
        <w:jc w:val="both"/>
        <w:rPr>
          <w:rFonts w:ascii="Book Antiqua" w:hAnsi="Book Antiqua"/>
          <w:lang w:val="es-ES_tradnl"/>
        </w:rPr>
      </w:pPr>
    </w:p>
    <w:p w14:paraId="564E31E0" w14:textId="62F24F10" w:rsidR="00F37FA3" w:rsidRDefault="000E2BD0" w:rsidP="00166B14">
      <w:pPr>
        <w:suppressLineNumbers/>
        <w:jc w:val="center"/>
        <w:rPr>
          <w:rFonts w:ascii="Book Antiqua" w:hAnsi="Book Antiqua"/>
          <w:b/>
          <w:sz w:val="28"/>
          <w:lang w:val="es-ES_tradnl"/>
        </w:rPr>
      </w:pPr>
      <w:r>
        <w:rPr>
          <w:rFonts w:ascii="Book Antiqua" w:hAnsi="Book Antiqua"/>
          <w:b/>
          <w:sz w:val="28"/>
          <w:lang w:val="es-ES_tradnl"/>
        </w:rPr>
        <w:t>RESOLUCIÓN CONJUNTA</w:t>
      </w:r>
    </w:p>
    <w:p w14:paraId="7CAF17D0" w14:textId="77777777" w:rsidR="00F37FA3" w:rsidRDefault="00F37FA3" w:rsidP="00166B14">
      <w:pPr>
        <w:suppressLineNumbers/>
        <w:jc w:val="both"/>
        <w:rPr>
          <w:rFonts w:ascii="Book Antiqua" w:hAnsi="Book Antiqua"/>
          <w:lang w:val="es-ES_tradnl"/>
        </w:rPr>
      </w:pPr>
    </w:p>
    <w:p w14:paraId="57B3457D" w14:textId="184A6DB6" w:rsidR="00F37FA3" w:rsidRDefault="00F37FA3" w:rsidP="00166B14">
      <w:pPr>
        <w:suppressLineNumbers/>
        <w:ind w:left="720" w:hanging="720"/>
        <w:jc w:val="both"/>
        <w:rPr>
          <w:rFonts w:ascii="Book Antiqua" w:hAnsi="Book Antiqua"/>
          <w:bCs/>
          <w:lang w:val="es-PR"/>
        </w:rPr>
      </w:pPr>
      <w:r>
        <w:rPr>
          <w:rFonts w:ascii="Book Antiqua" w:hAnsi="Book Antiqua"/>
          <w:lang w:val="es-ES_tradnl"/>
        </w:rPr>
        <w:t>Para</w:t>
      </w:r>
      <w:r w:rsidR="00E93A87">
        <w:rPr>
          <w:rFonts w:ascii="Book Antiqua" w:hAnsi="Book Antiqua"/>
          <w:lang w:val="es-ES_tradnl"/>
        </w:rPr>
        <w:t xml:space="preserve"> </w:t>
      </w:r>
      <w:r w:rsidR="00027EFA">
        <w:rPr>
          <w:rFonts w:ascii="Book Antiqua" w:hAnsi="Book Antiqua"/>
          <w:bCs/>
          <w:lang w:val="es-PR"/>
        </w:rPr>
        <w:t xml:space="preserve">ordenar </w:t>
      </w:r>
      <w:r w:rsidR="00B25541" w:rsidRPr="00B25541">
        <w:rPr>
          <w:rFonts w:ascii="Book Antiqua" w:hAnsi="Book Antiqua"/>
          <w:iCs/>
          <w:lang w:val="es-ES"/>
        </w:rPr>
        <w:t xml:space="preserve">a la Administración de Servicios de Salud Mental y Contra la Adicción (ASSMCA) y al Departamento de Corrección y Rehabilitación (DCR) a desarrollar y adoptar un protocolo de psiquiatría forense para la evaluación, manejo y tratamiento de menores de edad bajo la jurisdicción del Tribunal General de Justicia que sean procesados como adultos </w:t>
      </w:r>
      <w:r w:rsidR="00B25541">
        <w:rPr>
          <w:rFonts w:ascii="Book Antiqua" w:hAnsi="Book Antiqua"/>
          <w:iCs/>
          <w:lang w:val="es-ES"/>
        </w:rPr>
        <w:t>cuando sean de aplicación</w:t>
      </w:r>
      <w:r w:rsidR="00B25541" w:rsidRPr="00B25541">
        <w:rPr>
          <w:rFonts w:ascii="Book Antiqua" w:hAnsi="Book Antiqua"/>
          <w:iCs/>
          <w:lang w:val="es-ES"/>
        </w:rPr>
        <w:t xml:space="preserve"> las Reglas 240 y 241 de Procedimiento Criminal</w:t>
      </w:r>
      <w:r w:rsidRPr="00F37FA3">
        <w:rPr>
          <w:rFonts w:ascii="Book Antiqua" w:hAnsi="Book Antiqua"/>
          <w:bCs/>
          <w:lang w:val="es-PR"/>
        </w:rPr>
        <w:t>; y para otros fines relacionados.</w:t>
      </w:r>
    </w:p>
    <w:p w14:paraId="1999B84D" w14:textId="77777777" w:rsidR="009A24ED" w:rsidRPr="00276A72" w:rsidRDefault="009A24ED" w:rsidP="00166B14">
      <w:pPr>
        <w:suppressLineNumbers/>
        <w:ind w:left="360" w:hanging="360"/>
        <w:jc w:val="both"/>
        <w:rPr>
          <w:rFonts w:ascii="Book Antiqua" w:hAnsi="Book Antiqua"/>
          <w:bCs/>
          <w:lang w:val="es-PR"/>
        </w:rPr>
      </w:pPr>
    </w:p>
    <w:p w14:paraId="34E8DB11" w14:textId="1DB18171" w:rsidR="00FE0639" w:rsidRPr="00374E5B" w:rsidRDefault="00F37FA3" w:rsidP="00166B14">
      <w:pPr>
        <w:suppressLineNumbers/>
        <w:jc w:val="center"/>
        <w:rPr>
          <w:rFonts w:ascii="Book Antiqua" w:hAnsi="Book Antiqua"/>
          <w:lang w:val="es-ES_tradnl"/>
        </w:rPr>
      </w:pPr>
      <w:r>
        <w:rPr>
          <w:rFonts w:ascii="Book Antiqua" w:hAnsi="Book Antiqua"/>
          <w:lang w:val="es-ES_tradnl"/>
        </w:rPr>
        <w:t>EXPOSICIÓN DE MOTIVOS</w:t>
      </w:r>
    </w:p>
    <w:p w14:paraId="7946C8C1" w14:textId="77777777" w:rsidR="009A24ED" w:rsidRDefault="009A24ED" w:rsidP="00166B14">
      <w:pPr>
        <w:suppressLineNumbers/>
        <w:ind w:firstLine="360"/>
        <w:jc w:val="both"/>
        <w:rPr>
          <w:rFonts w:ascii="Book Antiqua" w:hAnsi="Book Antiqua"/>
          <w:bCs/>
          <w:color w:val="000000" w:themeColor="text1"/>
          <w:lang w:val="es-ES"/>
        </w:rPr>
      </w:pPr>
    </w:p>
    <w:p w14:paraId="5F785561" w14:textId="375F644F"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 xml:space="preserve">La salud mental constituye un componente esencial de la justicia </w:t>
      </w:r>
      <w:r w:rsidR="00B25541">
        <w:rPr>
          <w:rFonts w:ascii="Book Antiqua" w:hAnsi="Book Antiqua"/>
          <w:bCs/>
          <w:color w:val="000000" w:themeColor="text1"/>
          <w:lang w:val="es-ES"/>
        </w:rPr>
        <w:t>criminal</w:t>
      </w:r>
      <w:r w:rsidRPr="00176F44">
        <w:rPr>
          <w:rFonts w:ascii="Book Antiqua" w:hAnsi="Book Antiqua"/>
          <w:bCs/>
          <w:color w:val="000000" w:themeColor="text1"/>
          <w:lang w:val="es-ES"/>
        </w:rPr>
        <w:t xml:space="preserve"> y la rehabilitación social, particularmente cuando se trata de menores de edad bajo la jurisdicción del Tribunal General de Justicia</w:t>
      </w:r>
      <w:r>
        <w:rPr>
          <w:rFonts w:ascii="Book Antiqua" w:hAnsi="Book Antiqua"/>
          <w:bCs/>
          <w:color w:val="000000" w:themeColor="text1"/>
          <w:lang w:val="es-ES"/>
        </w:rPr>
        <w:t xml:space="preserve"> de Puerto Rico</w:t>
      </w:r>
      <w:r w:rsidRPr="00176F44">
        <w:rPr>
          <w:rFonts w:ascii="Book Antiqua" w:hAnsi="Book Antiqua"/>
          <w:bCs/>
          <w:color w:val="000000" w:themeColor="text1"/>
          <w:lang w:val="es-ES"/>
        </w:rPr>
        <w:t xml:space="preserve">. En los últimos años, </w:t>
      </w:r>
      <w:r>
        <w:rPr>
          <w:rFonts w:ascii="Book Antiqua" w:hAnsi="Book Antiqua"/>
          <w:bCs/>
          <w:color w:val="000000" w:themeColor="text1"/>
          <w:lang w:val="es-ES"/>
        </w:rPr>
        <w:t>han surgido</w:t>
      </w:r>
      <w:r w:rsidRPr="00176F44">
        <w:rPr>
          <w:rFonts w:ascii="Book Antiqua" w:hAnsi="Book Antiqua"/>
          <w:bCs/>
          <w:color w:val="000000" w:themeColor="text1"/>
          <w:lang w:val="es-ES"/>
        </w:rPr>
        <w:t xml:space="preserve"> casos en que ciertos menores </w:t>
      </w:r>
      <w:r>
        <w:rPr>
          <w:rFonts w:ascii="Book Antiqua" w:hAnsi="Book Antiqua"/>
          <w:bCs/>
          <w:color w:val="000000" w:themeColor="text1"/>
          <w:lang w:val="es-ES"/>
        </w:rPr>
        <w:t>han sido</w:t>
      </w:r>
      <w:r w:rsidRPr="00176F44">
        <w:rPr>
          <w:rFonts w:ascii="Book Antiqua" w:hAnsi="Book Antiqua"/>
          <w:bCs/>
          <w:color w:val="000000" w:themeColor="text1"/>
          <w:lang w:val="es-ES"/>
        </w:rPr>
        <w:t xml:space="preserve"> referidos para ser procesados como adultos. Sin embargo, al momento, e</w:t>
      </w:r>
      <w:r>
        <w:rPr>
          <w:rFonts w:ascii="Book Antiqua" w:hAnsi="Book Antiqua"/>
          <w:bCs/>
          <w:color w:val="000000" w:themeColor="text1"/>
          <w:lang w:val="es-ES"/>
        </w:rPr>
        <w:t xml:space="preserve">n </w:t>
      </w:r>
      <w:r w:rsidRPr="00176F44">
        <w:rPr>
          <w:rFonts w:ascii="Book Antiqua" w:hAnsi="Book Antiqua"/>
          <w:bCs/>
          <w:color w:val="000000" w:themeColor="text1"/>
          <w:lang w:val="es-ES"/>
        </w:rPr>
        <w:t xml:space="preserve">Puerto Rico no </w:t>
      </w:r>
      <w:r>
        <w:rPr>
          <w:rFonts w:ascii="Book Antiqua" w:hAnsi="Book Antiqua"/>
          <w:bCs/>
          <w:color w:val="000000" w:themeColor="text1"/>
          <w:lang w:val="es-ES"/>
        </w:rPr>
        <w:t xml:space="preserve">se </w:t>
      </w:r>
      <w:r w:rsidRPr="00176F44">
        <w:rPr>
          <w:rFonts w:ascii="Book Antiqua" w:hAnsi="Book Antiqua"/>
          <w:bCs/>
          <w:color w:val="000000" w:themeColor="text1"/>
          <w:lang w:val="es-ES"/>
        </w:rPr>
        <w:t xml:space="preserve">cuenta con un protocolo clínico ni administrativo para atender a dichos menores cuando son referidos para evaluación psiquiátrica forense bajo las Reglas 240 y 241 de Procedimiento Criminal. Esta ausencia de normativa ha creado un vacío institucional que afecta la prestación de servicios </w:t>
      </w:r>
      <w:r w:rsidR="00B25541">
        <w:rPr>
          <w:rFonts w:ascii="Book Antiqua" w:hAnsi="Book Antiqua"/>
          <w:bCs/>
          <w:color w:val="000000" w:themeColor="text1"/>
          <w:lang w:val="es-ES"/>
        </w:rPr>
        <w:t xml:space="preserve">mentales </w:t>
      </w:r>
      <w:r w:rsidRPr="00176F44">
        <w:rPr>
          <w:rFonts w:ascii="Book Antiqua" w:hAnsi="Book Antiqua"/>
          <w:bCs/>
          <w:color w:val="000000" w:themeColor="text1"/>
          <w:lang w:val="es-ES"/>
        </w:rPr>
        <w:t>adecuados a esta población vulnerable, comprometiendo tanto sus derechos procesales</w:t>
      </w:r>
      <w:r w:rsidR="00B25541">
        <w:rPr>
          <w:rFonts w:ascii="Book Antiqua" w:hAnsi="Book Antiqua"/>
          <w:bCs/>
          <w:color w:val="000000" w:themeColor="text1"/>
          <w:lang w:val="es-ES"/>
        </w:rPr>
        <w:t xml:space="preserve"> y </w:t>
      </w:r>
      <w:r>
        <w:rPr>
          <w:rFonts w:ascii="Book Antiqua" w:hAnsi="Book Antiqua"/>
          <w:bCs/>
          <w:color w:val="000000" w:themeColor="text1"/>
          <w:lang w:val="es-ES"/>
        </w:rPr>
        <w:t>fundamentales, así</w:t>
      </w:r>
      <w:r w:rsidR="00B25541">
        <w:rPr>
          <w:rFonts w:ascii="Book Antiqua" w:hAnsi="Book Antiqua"/>
          <w:bCs/>
          <w:color w:val="000000" w:themeColor="text1"/>
          <w:lang w:val="es-ES"/>
        </w:rPr>
        <w:t xml:space="preserve"> como</w:t>
      </w:r>
      <w:r>
        <w:rPr>
          <w:rFonts w:ascii="Book Antiqua" w:hAnsi="Book Antiqua"/>
          <w:bCs/>
          <w:color w:val="000000" w:themeColor="text1"/>
          <w:lang w:val="es-ES"/>
        </w:rPr>
        <w:t xml:space="preserve"> </w:t>
      </w:r>
      <w:r w:rsidR="00B25541">
        <w:rPr>
          <w:rFonts w:ascii="Book Antiqua" w:hAnsi="Book Antiqua"/>
          <w:bCs/>
          <w:color w:val="000000" w:themeColor="text1"/>
          <w:lang w:val="es-ES"/>
        </w:rPr>
        <w:t>el debido</w:t>
      </w:r>
      <w:r>
        <w:rPr>
          <w:rFonts w:ascii="Book Antiqua" w:hAnsi="Book Antiqua"/>
          <w:bCs/>
          <w:color w:val="000000" w:themeColor="text1"/>
          <w:lang w:val="es-ES"/>
        </w:rPr>
        <w:t xml:space="preserve"> </w:t>
      </w:r>
      <w:r w:rsidRPr="00176F44">
        <w:rPr>
          <w:rFonts w:ascii="Book Antiqua" w:hAnsi="Book Antiqua"/>
          <w:bCs/>
          <w:color w:val="000000" w:themeColor="text1"/>
          <w:lang w:val="es-ES"/>
        </w:rPr>
        <w:t>funcionamiento de</w:t>
      </w:r>
      <w:r w:rsidR="00B25541">
        <w:rPr>
          <w:rFonts w:ascii="Book Antiqua" w:hAnsi="Book Antiqua"/>
          <w:bCs/>
          <w:color w:val="000000" w:themeColor="text1"/>
          <w:lang w:val="es-ES"/>
        </w:rPr>
        <w:t xml:space="preserve"> nuestro </w:t>
      </w:r>
      <w:r w:rsidRPr="00176F44">
        <w:rPr>
          <w:rFonts w:ascii="Book Antiqua" w:hAnsi="Book Antiqua"/>
          <w:bCs/>
          <w:color w:val="000000" w:themeColor="text1"/>
          <w:lang w:val="es-ES"/>
        </w:rPr>
        <w:t>sistema judicial.</w:t>
      </w:r>
    </w:p>
    <w:p w14:paraId="6655247A" w14:textId="77777777" w:rsidR="00176F44" w:rsidRPr="00176F44" w:rsidRDefault="00176F44" w:rsidP="00166B14">
      <w:pPr>
        <w:suppressLineNumbers/>
        <w:ind w:firstLine="360"/>
        <w:jc w:val="both"/>
        <w:rPr>
          <w:rFonts w:ascii="Book Antiqua" w:hAnsi="Book Antiqua"/>
          <w:bCs/>
          <w:color w:val="000000" w:themeColor="text1"/>
          <w:lang w:val="es-ES"/>
        </w:rPr>
      </w:pPr>
    </w:p>
    <w:p w14:paraId="26704AF9" w14:textId="4949D570"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La Administración de Servicios de Salud Mental y Contra la Adicción (ASSMCA) es la agencia responsable de administrar los servicios de salud mental en Puerto Rico</w:t>
      </w:r>
      <w:r>
        <w:rPr>
          <w:rFonts w:ascii="Book Antiqua" w:hAnsi="Book Antiqua"/>
          <w:bCs/>
          <w:color w:val="000000" w:themeColor="text1"/>
          <w:lang w:val="es-ES"/>
        </w:rPr>
        <w:t xml:space="preserve">, la cual está </w:t>
      </w:r>
      <w:r w:rsidRPr="00176F44">
        <w:rPr>
          <w:rFonts w:ascii="Book Antiqua" w:hAnsi="Book Antiqua"/>
          <w:bCs/>
          <w:color w:val="000000" w:themeColor="text1"/>
          <w:lang w:val="es-ES"/>
        </w:rPr>
        <w:t xml:space="preserve">facultada por ley para desarrollar protocolos clínicos y administrativos que </w:t>
      </w:r>
      <w:r w:rsidRPr="00176F44">
        <w:rPr>
          <w:rFonts w:ascii="Book Antiqua" w:hAnsi="Book Antiqua"/>
          <w:bCs/>
          <w:color w:val="000000" w:themeColor="text1"/>
          <w:lang w:val="es-ES"/>
        </w:rPr>
        <w:lastRenderedPageBreak/>
        <w:t>garanticen la prestación adecuada de dichos servicios. Conforme a la Ley 67-1993, según enmendada, conocida como la “Ley de la Administración de Servicios de Salud Mental y Contra la Adicción”, y la Ley 408-2000, según enmendada, conocida como la “Ley de Salud Mental de Puerto Rico”</w:t>
      </w:r>
      <w:r w:rsidR="005D7AF0">
        <w:rPr>
          <w:rFonts w:ascii="Book Antiqua" w:hAnsi="Book Antiqua"/>
          <w:bCs/>
          <w:color w:val="000000" w:themeColor="text1"/>
          <w:lang w:val="es-ES"/>
        </w:rPr>
        <w:t xml:space="preserve"> (</w:t>
      </w:r>
      <w:r w:rsidR="00E93A87">
        <w:rPr>
          <w:rFonts w:ascii="Book Antiqua" w:hAnsi="Book Antiqua"/>
          <w:bCs/>
          <w:color w:val="000000" w:themeColor="text1"/>
          <w:lang w:val="es-ES"/>
        </w:rPr>
        <w:t xml:space="preserve">en adelante, </w:t>
      </w:r>
      <w:r w:rsidR="005D7AF0">
        <w:rPr>
          <w:rFonts w:ascii="Book Antiqua" w:hAnsi="Book Antiqua"/>
          <w:bCs/>
          <w:color w:val="000000" w:themeColor="text1"/>
          <w:lang w:val="es-ES"/>
        </w:rPr>
        <w:t>Ley 408-2000)</w:t>
      </w:r>
      <w:r w:rsidRPr="00176F44">
        <w:rPr>
          <w:rFonts w:ascii="Book Antiqua" w:hAnsi="Book Antiqua"/>
          <w:bCs/>
          <w:color w:val="000000" w:themeColor="text1"/>
          <w:lang w:val="es-ES"/>
        </w:rPr>
        <w:t>, ASSMCA tiene el deber de garantizar que las personas con trastornos mentales reciban atención médica y psicológica conforme a los más altos estándares éticos y clínicos.</w:t>
      </w:r>
      <w:r>
        <w:rPr>
          <w:rStyle w:val="FootnoteReference"/>
          <w:rFonts w:ascii="Book Antiqua" w:hAnsi="Book Antiqua"/>
          <w:bCs/>
          <w:color w:val="000000" w:themeColor="text1"/>
          <w:lang w:val="es-ES"/>
        </w:rPr>
        <w:footnoteReference w:id="2"/>
      </w:r>
      <w:r w:rsidRPr="00176F44">
        <w:rPr>
          <w:rFonts w:ascii="Book Antiqua" w:hAnsi="Book Antiqua"/>
          <w:bCs/>
          <w:color w:val="000000" w:themeColor="text1"/>
          <w:lang w:val="es-ES"/>
        </w:rPr>
        <w:t xml:space="preserve"> Dicha agencia tiene bajo su cargo los dos hospitales de psiquiatría forense de</w:t>
      </w:r>
      <w:r>
        <w:rPr>
          <w:rFonts w:ascii="Book Antiqua" w:hAnsi="Book Antiqua"/>
          <w:bCs/>
          <w:color w:val="000000" w:themeColor="text1"/>
          <w:lang w:val="es-ES"/>
        </w:rPr>
        <w:t xml:space="preserve"> la Isla</w:t>
      </w:r>
      <w:r w:rsidRPr="00176F44">
        <w:rPr>
          <w:rFonts w:ascii="Book Antiqua" w:hAnsi="Book Antiqua"/>
          <w:bCs/>
          <w:color w:val="000000" w:themeColor="text1"/>
          <w:lang w:val="es-ES"/>
        </w:rPr>
        <w:t>: el Hospital de Psiquiatría Forense de Río Piedras y el Hospital de Psiquiatría Forense de Ponce.</w:t>
      </w:r>
    </w:p>
    <w:p w14:paraId="32429B6B" w14:textId="77777777" w:rsidR="00176F44" w:rsidRPr="00176F44" w:rsidRDefault="00176F44" w:rsidP="00166B14">
      <w:pPr>
        <w:suppressLineNumbers/>
        <w:ind w:firstLine="360"/>
        <w:jc w:val="both"/>
        <w:rPr>
          <w:rFonts w:ascii="Book Antiqua" w:hAnsi="Book Antiqua"/>
          <w:bCs/>
          <w:color w:val="000000" w:themeColor="text1"/>
          <w:lang w:val="es-ES"/>
        </w:rPr>
      </w:pPr>
    </w:p>
    <w:p w14:paraId="3CF8F90A" w14:textId="7F2D789E"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 xml:space="preserve">Ambos hospitales ofrecen servicios de evaluación médico-legal a personas mayores de </w:t>
      </w:r>
      <w:r w:rsidR="00B25541">
        <w:rPr>
          <w:rFonts w:ascii="Book Antiqua" w:hAnsi="Book Antiqua"/>
          <w:bCs/>
          <w:color w:val="000000" w:themeColor="text1"/>
          <w:lang w:val="es-ES"/>
        </w:rPr>
        <w:t>dieciocho (</w:t>
      </w:r>
      <w:r w:rsidRPr="00176F44">
        <w:rPr>
          <w:rFonts w:ascii="Book Antiqua" w:hAnsi="Book Antiqua"/>
          <w:bCs/>
          <w:color w:val="000000" w:themeColor="text1"/>
          <w:lang w:val="es-ES"/>
        </w:rPr>
        <w:t>18</w:t>
      </w:r>
      <w:r w:rsidR="00B25541">
        <w:rPr>
          <w:rFonts w:ascii="Book Antiqua" w:hAnsi="Book Antiqua"/>
          <w:bCs/>
          <w:color w:val="000000" w:themeColor="text1"/>
          <w:lang w:val="es-ES"/>
        </w:rPr>
        <w:t>)</w:t>
      </w:r>
      <w:r w:rsidRPr="00176F44">
        <w:rPr>
          <w:rFonts w:ascii="Book Antiqua" w:hAnsi="Book Antiqua"/>
          <w:bCs/>
          <w:color w:val="000000" w:themeColor="text1"/>
          <w:lang w:val="es-ES"/>
        </w:rPr>
        <w:t xml:space="preserve"> años que han sido intervenidas por el sistema de justicia </w:t>
      </w:r>
      <w:r>
        <w:rPr>
          <w:rFonts w:ascii="Book Antiqua" w:hAnsi="Book Antiqua"/>
          <w:bCs/>
          <w:color w:val="000000" w:themeColor="text1"/>
          <w:lang w:val="es-ES"/>
        </w:rPr>
        <w:t>criminal</w:t>
      </w:r>
      <w:r w:rsidRPr="00176F44">
        <w:rPr>
          <w:rFonts w:ascii="Book Antiqua" w:hAnsi="Book Antiqua"/>
          <w:bCs/>
          <w:color w:val="000000" w:themeColor="text1"/>
          <w:lang w:val="es-ES"/>
        </w:rPr>
        <w:t xml:space="preserve">, para determinar su capacidad mental en los procesos judiciales, conforme a las Reglas 240 y 241 de Procedimiento Criminal. La Regla 240 dispone que, ante una duda razonable sobre la capacidad mental de una persona acusada o denunciada para comprender el proceso judicial o colaborar con su defensa, el tribunal podrá ordenar una evaluación pericial y, de ser necesario, su reclusión en una institución adecuada para recibir tratamiento. La Regla 241, por su parte, establece </w:t>
      </w:r>
      <w:r>
        <w:rPr>
          <w:rFonts w:ascii="Book Antiqua" w:hAnsi="Book Antiqua"/>
          <w:bCs/>
          <w:color w:val="000000" w:themeColor="text1"/>
          <w:lang w:val="es-ES"/>
        </w:rPr>
        <w:t xml:space="preserve">el procedimiento para la imposición de medidas de seguridad cuando la persona imputada fuera absuelta, declarada inimputable o se determinara su no procesabilidad permanente o que se encuentre no causa en vista preliminar por razón de incapacidad mental </w:t>
      </w:r>
      <w:r w:rsidR="00B25541">
        <w:rPr>
          <w:rFonts w:ascii="Book Antiqua" w:hAnsi="Book Antiqua"/>
          <w:bCs/>
          <w:color w:val="000000" w:themeColor="text1"/>
          <w:lang w:val="es-ES"/>
        </w:rPr>
        <w:t>y/</w:t>
      </w:r>
      <w:r>
        <w:rPr>
          <w:rFonts w:ascii="Book Antiqua" w:hAnsi="Book Antiqua"/>
          <w:bCs/>
          <w:color w:val="000000" w:themeColor="text1"/>
          <w:lang w:val="es-ES"/>
        </w:rPr>
        <w:t>o funcional</w:t>
      </w:r>
      <w:r w:rsidRPr="00176F44">
        <w:rPr>
          <w:rFonts w:ascii="Book Antiqua" w:hAnsi="Book Antiqua"/>
          <w:bCs/>
          <w:color w:val="000000" w:themeColor="text1"/>
          <w:lang w:val="es-ES"/>
        </w:rPr>
        <w:t xml:space="preserve">. Sin embargo, </w:t>
      </w:r>
      <w:r w:rsidR="005D7AF0">
        <w:rPr>
          <w:rFonts w:ascii="Book Antiqua" w:hAnsi="Book Antiqua"/>
          <w:bCs/>
          <w:color w:val="000000" w:themeColor="text1"/>
          <w:lang w:val="es-ES"/>
        </w:rPr>
        <w:t xml:space="preserve">ambos </w:t>
      </w:r>
      <w:r>
        <w:rPr>
          <w:rFonts w:ascii="Book Antiqua" w:hAnsi="Book Antiqua"/>
          <w:bCs/>
          <w:color w:val="000000" w:themeColor="text1"/>
          <w:lang w:val="es-ES"/>
        </w:rPr>
        <w:t>mecanismos</w:t>
      </w:r>
      <w:r w:rsidRPr="00176F44">
        <w:rPr>
          <w:rFonts w:ascii="Book Antiqua" w:hAnsi="Book Antiqua"/>
          <w:bCs/>
          <w:color w:val="000000" w:themeColor="text1"/>
          <w:lang w:val="es-ES"/>
        </w:rPr>
        <w:t xml:space="preserve"> procesales fueron diseñados con la población adulta en mente, sin prever la realidad de los menores referidos para ser juzgados como adultos.</w:t>
      </w:r>
      <w:r w:rsidR="005D7AF0">
        <w:rPr>
          <w:rFonts w:ascii="Book Antiqua" w:hAnsi="Book Antiqua"/>
          <w:bCs/>
          <w:color w:val="000000" w:themeColor="text1"/>
          <w:lang w:val="es-ES"/>
        </w:rPr>
        <w:t xml:space="preserve"> Asimismo, si bien la Ley 408-2000 establece un protocolo de evaluación de menores en instituciones proveedoras de servicio de salud mental, ello </w:t>
      </w:r>
      <w:r w:rsidR="009E7AC6">
        <w:rPr>
          <w:rFonts w:ascii="Book Antiqua" w:hAnsi="Book Antiqua"/>
          <w:bCs/>
          <w:color w:val="000000" w:themeColor="text1"/>
          <w:lang w:val="es-ES"/>
        </w:rPr>
        <w:t>aplica a los menores</w:t>
      </w:r>
      <w:r w:rsidR="005D7AF0">
        <w:rPr>
          <w:rFonts w:ascii="Book Antiqua" w:hAnsi="Book Antiqua"/>
          <w:bCs/>
          <w:color w:val="000000" w:themeColor="text1"/>
          <w:lang w:val="es-ES"/>
        </w:rPr>
        <w:t xml:space="preserve"> bajo jurisdicción del Sistema de Justicia Juvenil.</w:t>
      </w:r>
    </w:p>
    <w:p w14:paraId="3317E48A" w14:textId="77777777" w:rsidR="00176F44" w:rsidRPr="00176F44" w:rsidRDefault="00176F44" w:rsidP="00166B14">
      <w:pPr>
        <w:suppressLineNumbers/>
        <w:ind w:firstLine="360"/>
        <w:jc w:val="both"/>
        <w:rPr>
          <w:rFonts w:ascii="Book Antiqua" w:hAnsi="Book Antiqua"/>
          <w:bCs/>
          <w:color w:val="000000" w:themeColor="text1"/>
          <w:lang w:val="es-ES"/>
        </w:rPr>
      </w:pPr>
    </w:p>
    <w:p w14:paraId="3676D285" w14:textId="7333121E"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 xml:space="preserve">Ante este escenario, es imperativo establecer un protocolo interagencial </w:t>
      </w:r>
      <w:r w:rsidR="009F10EC">
        <w:rPr>
          <w:rFonts w:ascii="Book Antiqua" w:hAnsi="Book Antiqua"/>
          <w:bCs/>
          <w:color w:val="000000" w:themeColor="text1"/>
          <w:lang w:val="es-ES"/>
        </w:rPr>
        <w:t xml:space="preserve">entre </w:t>
      </w:r>
      <w:r w:rsidRPr="00176F44">
        <w:rPr>
          <w:rFonts w:ascii="Book Antiqua" w:hAnsi="Book Antiqua"/>
          <w:bCs/>
          <w:color w:val="000000" w:themeColor="text1"/>
          <w:lang w:val="es-ES"/>
        </w:rPr>
        <w:t xml:space="preserve">ASSMCA y el </w:t>
      </w:r>
      <w:r w:rsidR="00BE7017" w:rsidRPr="00176F44">
        <w:rPr>
          <w:rFonts w:ascii="Book Antiqua" w:hAnsi="Book Antiqua"/>
          <w:bCs/>
          <w:color w:val="000000" w:themeColor="text1"/>
          <w:lang w:val="es-ES"/>
        </w:rPr>
        <w:t>Departamento de Corrección y Rehabilitación</w:t>
      </w:r>
      <w:r w:rsidR="00BE7017">
        <w:rPr>
          <w:rFonts w:ascii="Book Antiqua" w:hAnsi="Book Antiqua"/>
          <w:bCs/>
          <w:color w:val="000000" w:themeColor="text1"/>
          <w:lang w:val="es-ES"/>
        </w:rPr>
        <w:t xml:space="preserve"> (DCR)</w:t>
      </w:r>
      <w:r w:rsidRPr="00176F44">
        <w:rPr>
          <w:rFonts w:ascii="Book Antiqua" w:hAnsi="Book Antiqua"/>
          <w:bCs/>
          <w:color w:val="000000" w:themeColor="text1"/>
          <w:lang w:val="es-ES"/>
        </w:rPr>
        <w:t xml:space="preserve"> para garantizar que los menores de edad procesados bajo la jurisdicción del Tribunal General de Justicia reciban evaluaciones, tratamiento y manejo clínico conforme a sus necesidades específicas de desarrollo y salud mental. </w:t>
      </w:r>
      <w:r w:rsidR="00622E1A">
        <w:rPr>
          <w:rFonts w:ascii="Book Antiqua" w:hAnsi="Book Antiqua"/>
          <w:bCs/>
          <w:color w:val="000000" w:themeColor="text1"/>
          <w:lang w:val="es-ES"/>
        </w:rPr>
        <w:t xml:space="preserve">De </w:t>
      </w:r>
      <w:r w:rsidRPr="00176F44">
        <w:rPr>
          <w:rFonts w:ascii="Book Antiqua" w:hAnsi="Book Antiqua"/>
          <w:bCs/>
          <w:color w:val="000000" w:themeColor="text1"/>
          <w:lang w:val="es-ES"/>
        </w:rPr>
        <w:t xml:space="preserve">acuerdo con el Plan de Reorganización Núm. 2-2011, según enmendado, conocido como “Plan de Reorganización del </w:t>
      </w:r>
      <w:r w:rsidRPr="00C112B7">
        <w:rPr>
          <w:rFonts w:ascii="Book Antiqua" w:hAnsi="Book Antiqua"/>
          <w:bCs/>
          <w:color w:val="000000" w:themeColor="text1"/>
          <w:lang w:val="es-ES"/>
        </w:rPr>
        <w:t>Departamento de Corrección y Rehabilitación de 2011”</w:t>
      </w:r>
      <w:r w:rsidR="00BE7017" w:rsidRPr="00C112B7">
        <w:rPr>
          <w:rFonts w:ascii="Book Antiqua" w:hAnsi="Book Antiqua"/>
          <w:bCs/>
          <w:color w:val="000000" w:themeColor="text1"/>
          <w:lang w:val="es-ES"/>
        </w:rPr>
        <w:t xml:space="preserve">, </w:t>
      </w:r>
      <w:r w:rsidR="00622E1A" w:rsidRPr="00C112B7">
        <w:rPr>
          <w:rFonts w:ascii="Book Antiqua" w:hAnsi="Book Antiqua"/>
          <w:bCs/>
          <w:color w:val="000000" w:themeColor="text1"/>
          <w:lang w:val="es-ES"/>
        </w:rPr>
        <w:t>el DCR tiene la</w:t>
      </w:r>
      <w:r w:rsidR="00B25541" w:rsidRPr="00C112B7">
        <w:rPr>
          <w:rFonts w:ascii="Book Antiqua" w:hAnsi="Book Antiqua"/>
          <w:bCs/>
          <w:color w:val="000000" w:themeColor="text1"/>
          <w:lang w:val="es-ES"/>
        </w:rPr>
        <w:t xml:space="preserve"> </w:t>
      </w:r>
      <w:r w:rsidRPr="00C112B7">
        <w:rPr>
          <w:rFonts w:ascii="Book Antiqua" w:hAnsi="Book Antiqua"/>
          <w:bCs/>
          <w:color w:val="000000" w:themeColor="text1"/>
          <w:lang w:val="es-ES"/>
        </w:rPr>
        <w:t xml:space="preserve">facultad y </w:t>
      </w:r>
      <w:r w:rsidR="00BE7017" w:rsidRPr="00C112B7">
        <w:rPr>
          <w:rFonts w:ascii="Book Antiqua" w:hAnsi="Book Antiqua"/>
          <w:bCs/>
          <w:color w:val="000000" w:themeColor="text1"/>
          <w:lang w:val="es-ES"/>
        </w:rPr>
        <w:t>el</w:t>
      </w:r>
      <w:r w:rsidRPr="00C112B7">
        <w:rPr>
          <w:rFonts w:ascii="Book Antiqua" w:hAnsi="Book Antiqua"/>
          <w:bCs/>
          <w:color w:val="000000" w:themeColor="text1"/>
          <w:lang w:val="es-ES"/>
        </w:rPr>
        <w:t xml:space="preserve"> deber de</w:t>
      </w:r>
      <w:r w:rsidR="002E1B03" w:rsidRPr="00C112B7">
        <w:rPr>
          <w:rFonts w:ascii="Book Antiqua" w:hAnsi="Book Antiqua"/>
          <w:bCs/>
          <w:color w:val="000000" w:themeColor="text1"/>
          <w:lang w:val="es-ES"/>
        </w:rPr>
        <w:t xml:space="preserve"> establecer </w:t>
      </w:r>
      <w:r w:rsidR="00DB7190" w:rsidRPr="00C112B7">
        <w:rPr>
          <w:rFonts w:ascii="Book Antiqua" w:hAnsi="Book Antiqua"/>
          <w:bCs/>
          <w:color w:val="000000" w:themeColor="text1"/>
          <w:lang w:val="es-ES"/>
        </w:rPr>
        <w:t>y expandir los programas de salud mental</w:t>
      </w:r>
      <w:r w:rsidR="00366706" w:rsidRPr="00C112B7">
        <w:rPr>
          <w:rFonts w:ascii="Book Antiqua" w:hAnsi="Book Antiqua"/>
          <w:bCs/>
          <w:color w:val="000000" w:themeColor="text1"/>
          <w:lang w:val="es-ES"/>
        </w:rPr>
        <w:t xml:space="preserve"> disponibles para la población penal</w:t>
      </w:r>
      <w:r w:rsidR="008C3070" w:rsidRPr="00C112B7">
        <w:rPr>
          <w:rFonts w:ascii="Book Antiqua" w:hAnsi="Book Antiqua"/>
          <w:bCs/>
          <w:color w:val="000000" w:themeColor="text1"/>
          <w:lang w:val="es-ES"/>
        </w:rPr>
        <w:t>,</w:t>
      </w:r>
      <w:r w:rsidRPr="00176F44">
        <w:rPr>
          <w:rFonts w:ascii="Book Antiqua" w:hAnsi="Book Antiqua"/>
          <w:bCs/>
          <w:color w:val="000000" w:themeColor="text1"/>
          <w:lang w:val="es-ES"/>
        </w:rPr>
        <w:t xml:space="preserve"> proveer servicios médico-asistenciales, psiquiátricos y psicológicos adecuados a la población correccional, incluyendo</w:t>
      </w:r>
      <w:r w:rsidR="00A636AF">
        <w:rPr>
          <w:rFonts w:ascii="Book Antiqua" w:hAnsi="Book Antiqua"/>
          <w:bCs/>
          <w:color w:val="000000" w:themeColor="text1"/>
          <w:lang w:val="es-ES"/>
        </w:rPr>
        <w:t xml:space="preserve"> para</w:t>
      </w:r>
      <w:r w:rsidRPr="00176F44">
        <w:rPr>
          <w:rFonts w:ascii="Book Antiqua" w:hAnsi="Book Antiqua"/>
          <w:bCs/>
          <w:color w:val="000000" w:themeColor="text1"/>
          <w:lang w:val="es-ES"/>
        </w:rPr>
        <w:t xml:space="preserve"> la prevención, diagnóstico y tratamiento</w:t>
      </w:r>
      <w:r w:rsidR="00A636AF">
        <w:rPr>
          <w:rFonts w:ascii="Book Antiqua" w:hAnsi="Book Antiqua"/>
          <w:bCs/>
          <w:color w:val="000000" w:themeColor="text1"/>
          <w:lang w:val="es-ES"/>
        </w:rPr>
        <w:t xml:space="preserve"> de los mismos</w:t>
      </w:r>
      <w:r w:rsidRPr="00176F44">
        <w:rPr>
          <w:rFonts w:ascii="Book Antiqua" w:hAnsi="Book Antiqua"/>
          <w:bCs/>
          <w:color w:val="000000" w:themeColor="text1"/>
          <w:lang w:val="es-ES"/>
        </w:rPr>
        <w:t>.</w:t>
      </w:r>
      <w:r w:rsidR="005D1C3C">
        <w:rPr>
          <w:rStyle w:val="FootnoteReference"/>
          <w:rFonts w:ascii="Book Antiqua" w:hAnsi="Book Antiqua"/>
          <w:bCs/>
          <w:color w:val="000000" w:themeColor="text1"/>
          <w:lang w:val="es-ES"/>
        </w:rPr>
        <w:footnoteReference w:id="3"/>
      </w:r>
    </w:p>
    <w:p w14:paraId="48BEA806" w14:textId="77777777" w:rsidR="00176F44" w:rsidRPr="00176F44" w:rsidRDefault="00176F44" w:rsidP="00166B14">
      <w:pPr>
        <w:suppressLineNumbers/>
        <w:ind w:firstLine="360"/>
        <w:jc w:val="both"/>
        <w:rPr>
          <w:rFonts w:ascii="Book Antiqua" w:hAnsi="Book Antiqua"/>
          <w:bCs/>
          <w:color w:val="000000" w:themeColor="text1"/>
          <w:lang w:val="es-ES"/>
        </w:rPr>
      </w:pPr>
    </w:p>
    <w:p w14:paraId="077702A6" w14:textId="482E1991"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 xml:space="preserve">Resulta indispensable que ambas agencias colaboren en el diseño y adopción de un protocolo especializado de psiquiatría forense que establezca directrices claras sobre la evaluación, tratamiento y manejo institucional de los menores de edad procesados como </w:t>
      </w:r>
      <w:r w:rsidRPr="00176F44">
        <w:rPr>
          <w:rFonts w:ascii="Book Antiqua" w:hAnsi="Book Antiqua"/>
          <w:bCs/>
          <w:color w:val="000000" w:themeColor="text1"/>
          <w:lang w:val="es-ES"/>
        </w:rPr>
        <w:lastRenderedPageBreak/>
        <w:t>adultos</w:t>
      </w:r>
      <w:r w:rsidR="00B25541">
        <w:rPr>
          <w:rFonts w:ascii="Book Antiqua" w:hAnsi="Book Antiqua"/>
          <w:bCs/>
          <w:color w:val="000000" w:themeColor="text1"/>
          <w:lang w:val="es-ES"/>
        </w:rPr>
        <w:t>, en cuanto apliquen</w:t>
      </w:r>
      <w:r w:rsidRPr="00176F44">
        <w:rPr>
          <w:rFonts w:ascii="Book Antiqua" w:hAnsi="Book Antiqua"/>
          <w:bCs/>
          <w:color w:val="000000" w:themeColor="text1"/>
          <w:lang w:val="es-ES"/>
        </w:rPr>
        <w:t xml:space="preserve"> las Reglas 240 y 241 de Procedimiento Criminal. Este protocolo debe incorporar principios de justicia juvenil respeto a los derechos humanos, confidencialidad médica y trato digno, reconociendo la diferencia entre la madurez emocional y cognitiva de un menor y la de una persona adulta.</w:t>
      </w:r>
    </w:p>
    <w:p w14:paraId="20D0085F" w14:textId="77777777" w:rsidR="00176F44" w:rsidRPr="00176F44" w:rsidRDefault="00176F44" w:rsidP="00166B14">
      <w:pPr>
        <w:suppressLineNumbers/>
        <w:ind w:firstLine="360"/>
        <w:jc w:val="both"/>
        <w:rPr>
          <w:rFonts w:ascii="Book Antiqua" w:hAnsi="Book Antiqua"/>
          <w:bCs/>
          <w:color w:val="000000" w:themeColor="text1"/>
          <w:lang w:val="es-ES"/>
        </w:rPr>
      </w:pPr>
    </w:p>
    <w:p w14:paraId="61F4700B" w14:textId="68DE236B" w:rsidR="00176F44" w:rsidRDefault="00176F44" w:rsidP="00166B14">
      <w:pPr>
        <w:suppressLineNumbers/>
        <w:ind w:firstLine="360"/>
        <w:jc w:val="both"/>
        <w:rPr>
          <w:rFonts w:ascii="Book Antiqua" w:hAnsi="Book Antiqua"/>
          <w:bCs/>
          <w:color w:val="000000" w:themeColor="text1"/>
          <w:lang w:val="es-ES"/>
        </w:rPr>
      </w:pPr>
      <w:r w:rsidRPr="00176F44">
        <w:rPr>
          <w:rFonts w:ascii="Book Antiqua" w:hAnsi="Book Antiqua"/>
          <w:bCs/>
          <w:color w:val="000000" w:themeColor="text1"/>
          <w:lang w:val="es-ES"/>
        </w:rPr>
        <w:t xml:space="preserve">Por tanto, mediante </w:t>
      </w:r>
      <w:r w:rsidR="00B25541">
        <w:rPr>
          <w:rFonts w:ascii="Book Antiqua" w:hAnsi="Book Antiqua"/>
          <w:bCs/>
          <w:color w:val="000000" w:themeColor="text1"/>
          <w:lang w:val="es-ES"/>
        </w:rPr>
        <w:t>la presente</w:t>
      </w:r>
      <w:r w:rsidRPr="00176F44">
        <w:rPr>
          <w:rFonts w:ascii="Book Antiqua" w:hAnsi="Book Antiqua"/>
          <w:bCs/>
          <w:color w:val="000000" w:themeColor="text1"/>
          <w:lang w:val="es-ES"/>
        </w:rPr>
        <w:t xml:space="preserve"> Resolución Conjunta, se ordena a la </w:t>
      </w:r>
      <w:r w:rsidR="00F221B1">
        <w:rPr>
          <w:rFonts w:ascii="Book Antiqua" w:hAnsi="Book Antiqua"/>
          <w:bCs/>
          <w:color w:val="000000" w:themeColor="text1"/>
          <w:lang w:val="es-ES"/>
        </w:rPr>
        <w:t xml:space="preserve">ASSMCA </w:t>
      </w:r>
      <w:r w:rsidRPr="00176F44">
        <w:rPr>
          <w:rFonts w:ascii="Book Antiqua" w:hAnsi="Book Antiqua"/>
          <w:bCs/>
          <w:color w:val="000000" w:themeColor="text1"/>
          <w:lang w:val="es-ES"/>
        </w:rPr>
        <w:t xml:space="preserve">y al </w:t>
      </w:r>
      <w:r w:rsidR="00F221B1">
        <w:rPr>
          <w:rFonts w:ascii="Book Antiqua" w:hAnsi="Book Antiqua"/>
          <w:bCs/>
          <w:color w:val="000000" w:themeColor="text1"/>
          <w:lang w:val="es-ES"/>
        </w:rPr>
        <w:t>DCR</w:t>
      </w:r>
      <w:r w:rsidRPr="00176F44">
        <w:rPr>
          <w:rFonts w:ascii="Book Antiqua" w:hAnsi="Book Antiqua"/>
          <w:bCs/>
          <w:color w:val="000000" w:themeColor="text1"/>
          <w:lang w:val="es-ES"/>
        </w:rPr>
        <w:t xml:space="preserve"> a establecer, en coordinación con el Poder Judicial, un protocolo de psiquiatría forense para atender adecuadamente los casos de menores bajo las Reglas 240 y 241 de Procedimiento Criminal, garantizando así un trato justo, humano y conforme a la Constitución y las leyes </w:t>
      </w:r>
      <w:r w:rsidR="00B25541">
        <w:rPr>
          <w:rFonts w:ascii="Book Antiqua" w:hAnsi="Book Antiqua"/>
          <w:bCs/>
          <w:color w:val="000000" w:themeColor="text1"/>
          <w:lang w:val="es-ES"/>
        </w:rPr>
        <w:t>de</w:t>
      </w:r>
      <w:r w:rsidRPr="00176F44">
        <w:rPr>
          <w:rFonts w:ascii="Book Antiqua" w:hAnsi="Book Antiqua"/>
          <w:bCs/>
          <w:color w:val="000000" w:themeColor="text1"/>
          <w:lang w:val="es-ES"/>
        </w:rPr>
        <w:t xml:space="preserve"> Puerto Rico.</w:t>
      </w:r>
    </w:p>
    <w:p w14:paraId="52B25C1C" w14:textId="77777777" w:rsidR="009A24ED" w:rsidRPr="009A24ED" w:rsidRDefault="009A24ED" w:rsidP="00166B14">
      <w:pPr>
        <w:suppressLineNumbers/>
        <w:rPr>
          <w:rFonts w:ascii="Book Antiqua" w:hAnsi="Book Antiqua"/>
          <w:iCs/>
          <w:lang w:val="es-ES"/>
        </w:rPr>
      </w:pPr>
    </w:p>
    <w:p w14:paraId="1FF8D435" w14:textId="634B0B37" w:rsidR="00C01308" w:rsidRPr="00B3135F" w:rsidRDefault="00F37FA3" w:rsidP="00166B14">
      <w:pPr>
        <w:suppressLineNumbers/>
        <w:spacing w:line="480" w:lineRule="auto"/>
        <w:rPr>
          <w:rFonts w:ascii="Book Antiqua" w:hAnsi="Book Antiqua"/>
          <w:i/>
          <w:lang w:val="es-ES"/>
        </w:rPr>
      </w:pPr>
      <w:r w:rsidRPr="00B3135F">
        <w:rPr>
          <w:rFonts w:ascii="Book Antiqua" w:hAnsi="Book Antiqua"/>
          <w:i/>
          <w:lang w:val="es-ES"/>
        </w:rPr>
        <w:t>DECRÉTASE POR LA ASAMBLEA LEGISLATIVA DE PUERTO RICO:</w:t>
      </w:r>
    </w:p>
    <w:p w14:paraId="4AAB7AE9" w14:textId="52BE7C60" w:rsidR="0078562E" w:rsidRPr="002D4895" w:rsidRDefault="00F37FA3" w:rsidP="002D4895">
      <w:pPr>
        <w:spacing w:line="480" w:lineRule="auto"/>
        <w:ind w:firstLine="720"/>
        <w:jc w:val="both"/>
        <w:rPr>
          <w:rFonts w:ascii="Book Antiqua" w:hAnsi="Book Antiqua"/>
          <w:iCs/>
          <w:lang w:val="es-ES"/>
        </w:rPr>
      </w:pPr>
      <w:r w:rsidRPr="00B3135F">
        <w:rPr>
          <w:rFonts w:ascii="Book Antiqua" w:hAnsi="Book Antiqua"/>
          <w:iCs/>
          <w:lang w:val="es-ES"/>
        </w:rPr>
        <w:t>Artículo 1</w:t>
      </w:r>
      <w:r w:rsidR="00A80F3F" w:rsidRPr="00B3135F">
        <w:rPr>
          <w:rFonts w:ascii="Book Antiqua" w:hAnsi="Book Antiqua"/>
          <w:iCs/>
          <w:lang w:val="es-ES"/>
        </w:rPr>
        <w:t>.</w:t>
      </w:r>
      <w:r w:rsidR="008E070E" w:rsidRPr="00B3135F">
        <w:rPr>
          <w:rFonts w:ascii="Book Antiqua" w:hAnsi="Book Antiqua"/>
          <w:iCs/>
          <w:lang w:val="es-ES"/>
        </w:rPr>
        <w:t>-</w:t>
      </w:r>
      <w:r w:rsidR="00A80F3F" w:rsidRPr="00B3135F">
        <w:rPr>
          <w:rFonts w:ascii="Book Antiqua" w:hAnsi="Book Antiqua"/>
          <w:i/>
          <w:lang w:val="es-ES"/>
        </w:rPr>
        <w:t xml:space="preserve"> </w:t>
      </w:r>
      <w:r w:rsidR="002D4895" w:rsidRPr="002D4895">
        <w:rPr>
          <w:rFonts w:ascii="Book Antiqua" w:hAnsi="Book Antiqua"/>
          <w:iCs/>
          <w:lang w:val="es-ES"/>
        </w:rPr>
        <w:t>Orden</w:t>
      </w:r>
      <w:r w:rsidR="00B25541">
        <w:rPr>
          <w:rFonts w:ascii="Book Antiqua" w:hAnsi="Book Antiqua"/>
          <w:iCs/>
          <w:lang w:val="es-ES"/>
        </w:rPr>
        <w:t>.</w:t>
      </w:r>
    </w:p>
    <w:p w14:paraId="5B1C2744" w14:textId="183F3064" w:rsidR="00B25541" w:rsidRDefault="00B25541" w:rsidP="00B86548">
      <w:pPr>
        <w:pStyle w:val="default"/>
        <w:spacing w:line="480" w:lineRule="auto"/>
        <w:ind w:firstLine="720"/>
        <w:jc w:val="both"/>
        <w:rPr>
          <w:rFonts w:ascii="Book Antiqua" w:hAnsi="Book Antiqua"/>
          <w:iCs/>
          <w:color w:val="auto"/>
          <w:szCs w:val="20"/>
          <w:lang w:val="es-ES"/>
        </w:rPr>
      </w:pPr>
      <w:r w:rsidRPr="00B25541">
        <w:rPr>
          <w:rFonts w:ascii="Book Antiqua" w:hAnsi="Book Antiqua"/>
          <w:iCs/>
          <w:color w:val="auto"/>
          <w:szCs w:val="20"/>
          <w:lang w:val="es-ES"/>
        </w:rPr>
        <w:t>Se ordena a la Administración de Servicios de Salud Mental y Contra la Adicción (ASSMCA) y al Departamento de Corrección y Rehabilitación (DCR) a desarrollar y adoptar un protocolo de psiquiatría forense para la evaluación, manejo y tratamiento de menores de edad bajo la jurisdicción del Tribunal General de Justicia</w:t>
      </w:r>
      <w:r w:rsidR="00777B95">
        <w:rPr>
          <w:rFonts w:ascii="Book Antiqua" w:hAnsi="Book Antiqua"/>
          <w:iCs/>
          <w:color w:val="auto"/>
          <w:szCs w:val="20"/>
          <w:lang w:val="es-ES"/>
        </w:rPr>
        <w:t>,</w:t>
      </w:r>
      <w:r w:rsidRPr="00B25541">
        <w:rPr>
          <w:rFonts w:ascii="Book Antiqua" w:hAnsi="Book Antiqua"/>
          <w:iCs/>
          <w:color w:val="auto"/>
          <w:szCs w:val="20"/>
          <w:lang w:val="es-ES"/>
        </w:rPr>
        <w:t xml:space="preserve"> que sean procesados como adultos</w:t>
      </w:r>
      <w:r w:rsidR="00F221B1">
        <w:rPr>
          <w:rFonts w:ascii="Book Antiqua" w:hAnsi="Book Antiqua"/>
          <w:iCs/>
          <w:color w:val="auto"/>
          <w:szCs w:val="20"/>
          <w:lang w:val="es-ES"/>
        </w:rPr>
        <w:t>,</w:t>
      </w:r>
      <w:r w:rsidRPr="00B25541">
        <w:rPr>
          <w:rFonts w:ascii="Book Antiqua" w:hAnsi="Book Antiqua"/>
          <w:iCs/>
          <w:color w:val="auto"/>
          <w:szCs w:val="20"/>
          <w:lang w:val="es-ES"/>
        </w:rPr>
        <w:t xml:space="preserve"> </w:t>
      </w:r>
      <w:r w:rsidR="00F221B1">
        <w:rPr>
          <w:rFonts w:ascii="Book Antiqua" w:hAnsi="Book Antiqua"/>
          <w:iCs/>
          <w:color w:val="auto"/>
          <w:szCs w:val="20"/>
          <w:lang w:val="es-ES"/>
        </w:rPr>
        <w:t>cuando apliquen</w:t>
      </w:r>
      <w:r w:rsidRPr="00B25541">
        <w:rPr>
          <w:rFonts w:ascii="Book Antiqua" w:hAnsi="Book Antiqua"/>
          <w:iCs/>
          <w:color w:val="auto"/>
          <w:szCs w:val="20"/>
          <w:lang w:val="es-ES"/>
        </w:rPr>
        <w:t xml:space="preserve"> las Reglas 240 y 241 de Procedimiento Criminal.</w:t>
      </w:r>
    </w:p>
    <w:p w14:paraId="1B24890C" w14:textId="6D6F0D0D" w:rsidR="00B25541" w:rsidRPr="00FF4825" w:rsidRDefault="00B25541" w:rsidP="00B25541">
      <w:pPr>
        <w:pStyle w:val="default"/>
        <w:spacing w:line="480" w:lineRule="auto"/>
        <w:ind w:firstLine="720"/>
        <w:jc w:val="both"/>
        <w:rPr>
          <w:rFonts w:ascii="Book Antiqua" w:hAnsi="Book Antiqua"/>
          <w:iCs/>
          <w:color w:val="auto"/>
          <w:szCs w:val="20"/>
          <w:lang w:val="es-ES"/>
        </w:rPr>
      </w:pPr>
      <w:r w:rsidRPr="00FF4825">
        <w:rPr>
          <w:rFonts w:ascii="Book Antiqua" w:hAnsi="Book Antiqua"/>
          <w:iCs/>
          <w:color w:val="auto"/>
          <w:szCs w:val="20"/>
          <w:lang w:val="es-ES"/>
        </w:rPr>
        <w:t>Artículo 2.- Protocolo para menores de edad</w:t>
      </w:r>
    </w:p>
    <w:p w14:paraId="130C9EEC" w14:textId="7483B079" w:rsidR="00B25541" w:rsidRPr="00FF4825" w:rsidRDefault="00B25541" w:rsidP="00B25541">
      <w:pPr>
        <w:pStyle w:val="default"/>
        <w:spacing w:line="480" w:lineRule="auto"/>
        <w:ind w:firstLine="720"/>
        <w:jc w:val="both"/>
        <w:rPr>
          <w:rFonts w:ascii="Book Antiqua" w:hAnsi="Book Antiqua"/>
          <w:iCs/>
          <w:color w:val="auto"/>
          <w:szCs w:val="20"/>
          <w:lang w:val="es-ES"/>
        </w:rPr>
      </w:pPr>
      <w:r w:rsidRPr="00FF4825">
        <w:rPr>
          <w:rFonts w:ascii="Book Antiqua" w:hAnsi="Book Antiqua"/>
          <w:iCs/>
          <w:color w:val="auto"/>
          <w:szCs w:val="20"/>
          <w:lang w:val="es-ES"/>
        </w:rPr>
        <w:t>El protocolo deberá incluir disposiciones específicas que atiendan las necesidades clínicas, psicológicas y de desarrollo de los menores de edad</w:t>
      </w:r>
      <w:r w:rsidR="001425C8" w:rsidRPr="00FF4825">
        <w:rPr>
          <w:rFonts w:ascii="Book Antiqua" w:hAnsi="Book Antiqua"/>
          <w:iCs/>
          <w:color w:val="auto"/>
          <w:szCs w:val="20"/>
          <w:lang w:val="es-ES"/>
        </w:rPr>
        <w:t xml:space="preserve"> según los estándares modernos de la ciencia psiquiátrica</w:t>
      </w:r>
      <w:r w:rsidR="00CF7B8A" w:rsidRPr="00FF4825">
        <w:rPr>
          <w:rFonts w:ascii="Book Antiqua" w:hAnsi="Book Antiqua"/>
          <w:iCs/>
          <w:color w:val="auto"/>
          <w:szCs w:val="20"/>
          <w:lang w:val="es-ES"/>
        </w:rPr>
        <w:t>;</w:t>
      </w:r>
      <w:r w:rsidRPr="00FF4825">
        <w:rPr>
          <w:rFonts w:ascii="Book Antiqua" w:hAnsi="Book Antiqua"/>
          <w:iCs/>
          <w:color w:val="auto"/>
          <w:szCs w:val="20"/>
          <w:lang w:val="es-ES"/>
        </w:rPr>
        <w:t xml:space="preserve"> considerando su nivel de madurez, capacidad cognitiva y emocional, así como la protección de sus derechos constitucionales y </w:t>
      </w:r>
      <w:r w:rsidR="001425C8" w:rsidRPr="00FF4825">
        <w:rPr>
          <w:rFonts w:ascii="Book Antiqua" w:hAnsi="Book Antiqua"/>
          <w:iCs/>
          <w:color w:val="auto"/>
          <w:szCs w:val="20"/>
          <w:lang w:val="es-ES"/>
        </w:rPr>
        <w:t>procesales</w:t>
      </w:r>
      <w:r w:rsidRPr="00FF4825">
        <w:rPr>
          <w:rFonts w:ascii="Book Antiqua" w:hAnsi="Book Antiqua"/>
          <w:iCs/>
          <w:color w:val="auto"/>
          <w:szCs w:val="20"/>
          <w:lang w:val="es-ES"/>
        </w:rPr>
        <w:t>.</w:t>
      </w:r>
    </w:p>
    <w:p w14:paraId="0E1CAAE7" w14:textId="1FB74E79" w:rsidR="00B25541" w:rsidRPr="00166B14" w:rsidRDefault="00B25541" w:rsidP="00B25541">
      <w:pPr>
        <w:pStyle w:val="default"/>
        <w:spacing w:line="480" w:lineRule="auto"/>
        <w:ind w:firstLine="720"/>
        <w:jc w:val="both"/>
        <w:rPr>
          <w:rFonts w:ascii="Book Antiqua" w:hAnsi="Book Antiqua"/>
          <w:iCs/>
          <w:color w:val="auto"/>
          <w:szCs w:val="20"/>
          <w:lang w:val="es-ES"/>
        </w:rPr>
      </w:pPr>
      <w:r w:rsidRPr="00166B14">
        <w:rPr>
          <w:rFonts w:ascii="Book Antiqua" w:hAnsi="Book Antiqua"/>
          <w:iCs/>
          <w:color w:val="auto"/>
          <w:szCs w:val="20"/>
          <w:lang w:val="es-ES"/>
        </w:rPr>
        <w:t>Artículo 3.- Contenido del Protocolo</w:t>
      </w:r>
    </w:p>
    <w:p w14:paraId="66397F27" w14:textId="40295E8A" w:rsidR="00B25541" w:rsidRPr="00FF4825" w:rsidRDefault="00B25541" w:rsidP="00B25541">
      <w:pPr>
        <w:pStyle w:val="default"/>
        <w:spacing w:line="480" w:lineRule="auto"/>
        <w:ind w:firstLine="720"/>
        <w:jc w:val="both"/>
        <w:rPr>
          <w:rFonts w:ascii="Book Antiqua" w:hAnsi="Book Antiqua"/>
          <w:iCs/>
          <w:color w:val="auto"/>
          <w:szCs w:val="20"/>
          <w:lang w:val="es-ES"/>
        </w:rPr>
      </w:pPr>
      <w:r w:rsidRPr="00FF4825">
        <w:rPr>
          <w:rFonts w:ascii="Book Antiqua" w:hAnsi="Book Antiqua"/>
          <w:iCs/>
          <w:color w:val="auto"/>
          <w:szCs w:val="20"/>
          <w:lang w:val="es-ES"/>
        </w:rPr>
        <w:t>El protocolo deberá establecer, entre otros aspectos:</w:t>
      </w:r>
    </w:p>
    <w:p w14:paraId="03FCCB86" w14:textId="7B2715E4" w:rsidR="00B25541" w:rsidRPr="00FF4825" w:rsidRDefault="00B25541" w:rsidP="00B25541">
      <w:pPr>
        <w:pStyle w:val="default"/>
        <w:numPr>
          <w:ilvl w:val="0"/>
          <w:numId w:val="6"/>
        </w:numPr>
        <w:spacing w:line="480" w:lineRule="auto"/>
        <w:jc w:val="both"/>
        <w:rPr>
          <w:rFonts w:ascii="Book Antiqua" w:hAnsi="Book Antiqua"/>
          <w:iCs/>
          <w:color w:val="auto"/>
          <w:szCs w:val="20"/>
          <w:lang w:val="es-ES"/>
        </w:rPr>
      </w:pPr>
      <w:r w:rsidRPr="00FF4825">
        <w:rPr>
          <w:rFonts w:ascii="Book Antiqua" w:hAnsi="Book Antiqua"/>
          <w:iCs/>
          <w:color w:val="auto"/>
          <w:szCs w:val="20"/>
          <w:lang w:val="es-ES"/>
        </w:rPr>
        <w:lastRenderedPageBreak/>
        <w:t>Los criterios clínicos y legales aplicables a la evaluación psiquiátrica de menores bajo las Reglas 240 y 241</w:t>
      </w:r>
      <w:r w:rsidR="001425C8" w:rsidRPr="00FF4825">
        <w:rPr>
          <w:rFonts w:ascii="Book Antiqua" w:hAnsi="Book Antiqua"/>
          <w:iCs/>
          <w:color w:val="auto"/>
          <w:szCs w:val="20"/>
          <w:lang w:val="es-ES"/>
        </w:rPr>
        <w:t xml:space="preserve"> de Procedimiento Criminal.</w:t>
      </w:r>
    </w:p>
    <w:p w14:paraId="60471C30" w14:textId="54AF2832" w:rsidR="00B25541" w:rsidRPr="00FF4825" w:rsidRDefault="00B25541" w:rsidP="00B25541">
      <w:pPr>
        <w:pStyle w:val="default"/>
        <w:numPr>
          <w:ilvl w:val="0"/>
          <w:numId w:val="6"/>
        </w:numPr>
        <w:spacing w:line="480" w:lineRule="auto"/>
        <w:jc w:val="both"/>
        <w:rPr>
          <w:rFonts w:ascii="Book Antiqua" w:hAnsi="Book Antiqua"/>
          <w:iCs/>
          <w:color w:val="auto"/>
          <w:szCs w:val="20"/>
          <w:lang w:val="es-ES"/>
        </w:rPr>
      </w:pPr>
      <w:r w:rsidRPr="00FF4825">
        <w:rPr>
          <w:rFonts w:ascii="Book Antiqua" w:hAnsi="Book Antiqua"/>
          <w:iCs/>
          <w:color w:val="auto"/>
          <w:szCs w:val="20"/>
          <w:lang w:val="es-ES"/>
        </w:rPr>
        <w:t xml:space="preserve">Los procedimientos de coordinación entre </w:t>
      </w:r>
      <w:r w:rsidR="00F221B1" w:rsidRPr="00F221B1">
        <w:rPr>
          <w:rFonts w:ascii="Book Antiqua" w:hAnsi="Book Antiqua"/>
          <w:iCs/>
          <w:color w:val="auto"/>
          <w:szCs w:val="20"/>
          <w:lang w:val="es-PR"/>
        </w:rPr>
        <w:t>la</w:t>
      </w:r>
      <w:r w:rsidR="00F221B1">
        <w:rPr>
          <w:rFonts w:ascii="Book Antiqua" w:hAnsi="Book Antiqua"/>
          <w:iCs/>
          <w:color w:val="auto"/>
          <w:szCs w:val="20"/>
          <w:lang w:val="es-PR"/>
        </w:rPr>
        <w:t xml:space="preserve"> </w:t>
      </w:r>
      <w:r w:rsidRPr="00FF4825">
        <w:rPr>
          <w:rFonts w:ascii="Book Antiqua" w:hAnsi="Book Antiqua"/>
          <w:iCs/>
          <w:color w:val="auto"/>
          <w:szCs w:val="20"/>
          <w:lang w:val="es-ES"/>
        </w:rPr>
        <w:t xml:space="preserve">ASSMCA, DCR y </w:t>
      </w:r>
      <w:r w:rsidR="00F221B1" w:rsidRPr="00F221B1">
        <w:rPr>
          <w:rFonts w:ascii="Book Antiqua" w:hAnsi="Book Antiqua"/>
          <w:iCs/>
          <w:color w:val="auto"/>
          <w:szCs w:val="20"/>
          <w:lang w:val="es-PR"/>
        </w:rPr>
        <w:t xml:space="preserve">la </w:t>
      </w:r>
      <w:r w:rsidR="00F221B1">
        <w:rPr>
          <w:rFonts w:ascii="Book Antiqua" w:hAnsi="Book Antiqua"/>
          <w:iCs/>
          <w:color w:val="auto"/>
          <w:szCs w:val="20"/>
          <w:lang w:val="es-PR"/>
        </w:rPr>
        <w:t>Rama Judicial</w:t>
      </w:r>
      <w:r w:rsidRPr="00FF4825">
        <w:rPr>
          <w:rFonts w:ascii="Book Antiqua" w:hAnsi="Book Antiqua"/>
          <w:iCs/>
          <w:color w:val="auto"/>
          <w:szCs w:val="20"/>
          <w:lang w:val="es-ES"/>
        </w:rPr>
        <w:t xml:space="preserve"> para la evaluación y tratamiento</w:t>
      </w:r>
      <w:r w:rsidR="001425C8" w:rsidRPr="00FF4825">
        <w:rPr>
          <w:rFonts w:ascii="Book Antiqua" w:hAnsi="Book Antiqua"/>
          <w:iCs/>
          <w:color w:val="auto"/>
          <w:szCs w:val="20"/>
          <w:lang w:val="es-ES"/>
        </w:rPr>
        <w:t xml:space="preserve"> de los menores de edad bajo su jurisdicción.</w:t>
      </w:r>
    </w:p>
    <w:p w14:paraId="7013FA14" w14:textId="7DAA156C" w:rsidR="00B25541" w:rsidRPr="00FF4825" w:rsidRDefault="00B25541" w:rsidP="00B25541">
      <w:pPr>
        <w:pStyle w:val="default"/>
        <w:numPr>
          <w:ilvl w:val="0"/>
          <w:numId w:val="6"/>
        </w:numPr>
        <w:spacing w:line="480" w:lineRule="auto"/>
        <w:jc w:val="both"/>
        <w:rPr>
          <w:rFonts w:ascii="Book Antiqua" w:hAnsi="Book Antiqua"/>
          <w:iCs/>
          <w:color w:val="auto"/>
          <w:szCs w:val="20"/>
          <w:lang w:val="es-ES"/>
        </w:rPr>
      </w:pPr>
      <w:r w:rsidRPr="00FF4825">
        <w:rPr>
          <w:rFonts w:ascii="Book Antiqua" w:hAnsi="Book Antiqua"/>
          <w:iCs/>
          <w:color w:val="auto"/>
          <w:szCs w:val="20"/>
          <w:lang w:val="es-ES"/>
        </w:rPr>
        <w:t xml:space="preserve">Los estándares éticos y de confidencialidad en el manejo de </w:t>
      </w:r>
      <w:r w:rsidR="00F221B1" w:rsidRPr="00F221B1">
        <w:rPr>
          <w:rFonts w:ascii="Book Antiqua" w:hAnsi="Book Antiqua"/>
          <w:iCs/>
          <w:color w:val="auto"/>
          <w:szCs w:val="20"/>
          <w:lang w:val="es-PR"/>
        </w:rPr>
        <w:t>la</w:t>
      </w:r>
      <w:r w:rsidR="00F221B1">
        <w:rPr>
          <w:rFonts w:ascii="Book Antiqua" w:hAnsi="Book Antiqua"/>
          <w:iCs/>
          <w:color w:val="auto"/>
          <w:szCs w:val="20"/>
          <w:lang w:val="es-PR"/>
        </w:rPr>
        <w:t xml:space="preserve"> </w:t>
      </w:r>
      <w:r w:rsidRPr="00FF4825">
        <w:rPr>
          <w:rFonts w:ascii="Book Antiqua" w:hAnsi="Book Antiqua"/>
          <w:iCs/>
          <w:color w:val="auto"/>
          <w:szCs w:val="20"/>
          <w:lang w:val="es-ES"/>
        </w:rPr>
        <w:t>información médica y legal.</w:t>
      </w:r>
    </w:p>
    <w:p w14:paraId="6B26AE14" w14:textId="734C0573" w:rsidR="00B25541" w:rsidRPr="00FF4825" w:rsidRDefault="00B25541" w:rsidP="00B25541">
      <w:pPr>
        <w:pStyle w:val="default"/>
        <w:numPr>
          <w:ilvl w:val="0"/>
          <w:numId w:val="6"/>
        </w:numPr>
        <w:spacing w:line="480" w:lineRule="auto"/>
        <w:jc w:val="both"/>
        <w:rPr>
          <w:rFonts w:ascii="Book Antiqua" w:hAnsi="Book Antiqua"/>
          <w:iCs/>
          <w:color w:val="auto"/>
          <w:szCs w:val="20"/>
          <w:lang w:val="es-ES"/>
        </w:rPr>
      </w:pPr>
      <w:r w:rsidRPr="00FF4825">
        <w:rPr>
          <w:rFonts w:ascii="Book Antiqua" w:hAnsi="Book Antiqua"/>
          <w:iCs/>
          <w:color w:val="auto"/>
          <w:szCs w:val="20"/>
          <w:lang w:val="es-ES"/>
        </w:rPr>
        <w:t xml:space="preserve">Mecanismos de capacitación al personal médico, forense y correccional sobre el manejo adecuado de </w:t>
      </w:r>
      <w:r w:rsidR="001425C8" w:rsidRPr="00FF4825">
        <w:rPr>
          <w:rFonts w:ascii="Book Antiqua" w:hAnsi="Book Antiqua"/>
          <w:iCs/>
          <w:color w:val="auto"/>
          <w:szCs w:val="20"/>
          <w:lang w:val="es-ES"/>
        </w:rPr>
        <w:t>menores de edad.</w:t>
      </w:r>
    </w:p>
    <w:p w14:paraId="044D93A0" w14:textId="4D15DA7C" w:rsidR="00B25541" w:rsidRPr="00FF4825" w:rsidRDefault="00B25541" w:rsidP="00B25541">
      <w:pPr>
        <w:pStyle w:val="default"/>
        <w:spacing w:line="480" w:lineRule="auto"/>
        <w:ind w:firstLine="720"/>
        <w:jc w:val="both"/>
        <w:rPr>
          <w:rFonts w:ascii="Book Antiqua" w:hAnsi="Book Antiqua"/>
          <w:iCs/>
          <w:color w:val="auto"/>
          <w:szCs w:val="20"/>
          <w:lang w:val="es-ES"/>
        </w:rPr>
      </w:pPr>
      <w:r w:rsidRPr="00FF4825">
        <w:rPr>
          <w:rFonts w:ascii="Book Antiqua" w:hAnsi="Book Antiqua"/>
          <w:iCs/>
          <w:color w:val="auto"/>
          <w:szCs w:val="20"/>
          <w:lang w:val="es-ES"/>
        </w:rPr>
        <w:t>Artículo 4.- Informe de adopción e implementación</w:t>
      </w:r>
    </w:p>
    <w:p w14:paraId="03D6F022" w14:textId="493530DD" w:rsidR="00B25541" w:rsidRPr="00FF4825" w:rsidRDefault="00B25541" w:rsidP="00B25541">
      <w:pPr>
        <w:pStyle w:val="default"/>
        <w:spacing w:line="480" w:lineRule="auto"/>
        <w:ind w:firstLine="720"/>
        <w:jc w:val="both"/>
        <w:rPr>
          <w:rFonts w:ascii="Book Antiqua" w:hAnsi="Book Antiqua"/>
          <w:iCs/>
          <w:color w:val="auto"/>
          <w:szCs w:val="20"/>
          <w:lang w:val="es-ES"/>
        </w:rPr>
      </w:pPr>
      <w:r w:rsidRPr="00FF4825">
        <w:rPr>
          <w:rFonts w:ascii="Book Antiqua" w:hAnsi="Book Antiqua"/>
          <w:iCs/>
          <w:color w:val="auto"/>
          <w:szCs w:val="20"/>
          <w:lang w:val="es-ES"/>
        </w:rPr>
        <w:t>ASSMCA y el DCR deberán presentar a la Asamblea Legislativa un informe detallado sobre la adopción e implementación del protocolo dentro de un término no mayor de ciento ochenta (180) días a partir de la aprobación de esta Resolución Conjunta.</w:t>
      </w:r>
    </w:p>
    <w:p w14:paraId="695D355B" w14:textId="54E91F78" w:rsidR="00B86548" w:rsidRPr="00586007" w:rsidRDefault="00B86548" w:rsidP="00B86548">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sidR="00B25541">
        <w:rPr>
          <w:rFonts w:ascii="Book Antiqua" w:hAnsi="Book Antiqua"/>
          <w:bCs/>
          <w:lang w:val="es-ES"/>
        </w:rPr>
        <w:t>5</w:t>
      </w:r>
      <w:r w:rsidRPr="00586007">
        <w:rPr>
          <w:rFonts w:ascii="Book Antiqua" w:hAnsi="Book Antiqua"/>
          <w:bCs/>
          <w:lang w:val="es-ES"/>
        </w:rPr>
        <w:t>.-</w:t>
      </w:r>
      <w:r>
        <w:rPr>
          <w:rFonts w:ascii="Book Antiqua" w:hAnsi="Book Antiqua"/>
          <w:bCs/>
          <w:lang w:val="es-ES"/>
        </w:rPr>
        <w:t xml:space="preserve"> </w:t>
      </w:r>
      <w:r w:rsidRPr="00586007">
        <w:rPr>
          <w:rFonts w:ascii="Book Antiqua" w:hAnsi="Book Antiqua"/>
          <w:bCs/>
          <w:lang w:val="es-ES"/>
        </w:rPr>
        <w:t xml:space="preserve">Alcance e Interpretación con otras </w:t>
      </w:r>
      <w:r w:rsidR="00E33F72" w:rsidRPr="00586007">
        <w:rPr>
          <w:rFonts w:ascii="Book Antiqua" w:hAnsi="Book Antiqua"/>
          <w:bCs/>
          <w:lang w:val="es-ES"/>
        </w:rPr>
        <w:t>Le</w:t>
      </w:r>
      <w:r w:rsidR="00E33F72">
        <w:rPr>
          <w:rFonts w:ascii="Book Antiqua" w:hAnsi="Book Antiqua"/>
          <w:bCs/>
          <w:lang w:val="es-ES"/>
        </w:rPr>
        <w:t>y</w:t>
      </w:r>
      <w:r w:rsidR="00E33F72" w:rsidRPr="00586007">
        <w:rPr>
          <w:rFonts w:ascii="Book Antiqua" w:hAnsi="Book Antiqua"/>
          <w:bCs/>
          <w:lang w:val="es-ES"/>
        </w:rPr>
        <w:t>es</w:t>
      </w:r>
      <w:r>
        <w:rPr>
          <w:rFonts w:ascii="Book Antiqua" w:hAnsi="Book Antiqua"/>
          <w:bCs/>
          <w:lang w:val="es-ES"/>
        </w:rPr>
        <w:t>.</w:t>
      </w:r>
    </w:p>
    <w:p w14:paraId="37D4DF3E" w14:textId="77777777" w:rsidR="00B86548" w:rsidRPr="00586007" w:rsidRDefault="00B86548" w:rsidP="00B86548">
      <w:pPr>
        <w:pStyle w:val="default"/>
        <w:spacing w:line="480" w:lineRule="auto"/>
        <w:ind w:firstLine="720"/>
        <w:jc w:val="both"/>
        <w:rPr>
          <w:rFonts w:ascii="Book Antiqua" w:hAnsi="Book Antiqua"/>
          <w:bCs/>
          <w:lang w:val="es-ES"/>
        </w:rPr>
      </w:pPr>
      <w:r w:rsidRPr="00586007">
        <w:rPr>
          <w:rFonts w:ascii="Book Antiqua" w:hAnsi="Book Antiqua"/>
          <w:bCs/>
          <w:lang w:val="es-ES"/>
        </w:rPr>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p>
    <w:p w14:paraId="25C163C8" w14:textId="1A8E36C3" w:rsidR="00BE7017" w:rsidRPr="00586007" w:rsidRDefault="00B86548" w:rsidP="00BE7017">
      <w:pPr>
        <w:pStyle w:val="default"/>
        <w:spacing w:line="480" w:lineRule="auto"/>
        <w:ind w:firstLine="720"/>
        <w:jc w:val="both"/>
        <w:rPr>
          <w:rFonts w:ascii="Book Antiqua" w:hAnsi="Book Antiqua"/>
          <w:bCs/>
          <w:lang w:val="es-ES"/>
        </w:rPr>
      </w:pPr>
      <w:r w:rsidRPr="00586007">
        <w:rPr>
          <w:rFonts w:ascii="Book Antiqua" w:hAnsi="Book Antiqua"/>
          <w:bCs/>
          <w:lang w:val="es-ES"/>
        </w:rPr>
        <w:t>Cualquier orden administrativa, carta circular, memorando o documento interpretativo que sea inconsistente con las disposiciones de esta Ley o los reglamentos que se adopten al amparo de ésta, carecerá de validez y eficacia.</w:t>
      </w:r>
    </w:p>
    <w:p w14:paraId="1E92FD10" w14:textId="2327926F" w:rsidR="002D4895" w:rsidRDefault="00B86548" w:rsidP="002D4895">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sidR="00B25541">
        <w:rPr>
          <w:rFonts w:ascii="Book Antiqua" w:hAnsi="Book Antiqua"/>
          <w:bCs/>
          <w:lang w:val="es-ES"/>
        </w:rPr>
        <w:t>6</w:t>
      </w:r>
      <w:r w:rsidRPr="00586007">
        <w:rPr>
          <w:rFonts w:ascii="Book Antiqua" w:hAnsi="Book Antiqua"/>
          <w:bCs/>
          <w:lang w:val="es-ES"/>
        </w:rPr>
        <w:t>.-</w:t>
      </w:r>
      <w:r>
        <w:rPr>
          <w:rFonts w:ascii="Book Antiqua" w:hAnsi="Book Antiqua"/>
          <w:bCs/>
          <w:lang w:val="es-ES"/>
        </w:rPr>
        <w:t xml:space="preserve"> </w:t>
      </w:r>
      <w:r w:rsidR="002D4895">
        <w:rPr>
          <w:rFonts w:ascii="Book Antiqua" w:hAnsi="Book Antiqua"/>
          <w:bCs/>
          <w:lang w:val="es-ES"/>
        </w:rPr>
        <w:t>Vigencia</w:t>
      </w:r>
    </w:p>
    <w:p w14:paraId="53A290A8" w14:textId="058124D7" w:rsidR="00F37FA3" w:rsidRPr="002243D7" w:rsidRDefault="00B86548" w:rsidP="002243D7">
      <w:pPr>
        <w:pStyle w:val="default"/>
        <w:spacing w:line="480" w:lineRule="auto"/>
        <w:ind w:firstLine="720"/>
        <w:jc w:val="both"/>
        <w:rPr>
          <w:rFonts w:ascii="Book Antiqua" w:hAnsi="Book Antiqua"/>
          <w:bCs/>
          <w:lang w:val="es-ES"/>
        </w:rPr>
      </w:pPr>
      <w:r w:rsidRPr="00586007">
        <w:rPr>
          <w:rFonts w:ascii="Book Antiqua" w:hAnsi="Book Antiqua"/>
          <w:iCs/>
          <w:lang w:val="es-ES" w:eastAsia="es-PR"/>
        </w:rPr>
        <w:lastRenderedPageBreak/>
        <w:t xml:space="preserve">Esta Ley </w:t>
      </w:r>
      <w:r w:rsidR="00B25541">
        <w:rPr>
          <w:rFonts w:ascii="Book Antiqua" w:hAnsi="Book Antiqua"/>
          <w:iCs/>
          <w:lang w:val="es-ES" w:eastAsia="es-PR"/>
        </w:rPr>
        <w:t>comenzará a regir inmediatamente después</w:t>
      </w:r>
      <w:r w:rsidRPr="00586007">
        <w:rPr>
          <w:rFonts w:ascii="Book Antiqua" w:hAnsi="Book Antiqua"/>
          <w:iCs/>
          <w:lang w:val="es-ES" w:eastAsia="es-PR"/>
        </w:rPr>
        <w:t xml:space="preserve"> de su apr</w:t>
      </w:r>
      <w:r w:rsidRPr="006301FC">
        <w:rPr>
          <w:rFonts w:ascii="Book Antiqua" w:hAnsi="Book Antiqua"/>
          <w:iCs/>
          <w:lang w:val="es-PR" w:eastAsia="es-PR"/>
        </w:rPr>
        <w:t>obación</w:t>
      </w:r>
      <w:r w:rsidRPr="006301FC">
        <w:rPr>
          <w:rFonts w:ascii="Book Antiqua" w:hAnsi="Book Antiqua" w:cs="Times-Roman"/>
          <w:iCs/>
          <w:lang w:val="es-PR" w:eastAsia="es-PR"/>
        </w:rPr>
        <w:t>.</w:t>
      </w:r>
    </w:p>
    <w:sectPr w:rsidR="00F37FA3" w:rsidRPr="002243D7" w:rsidSect="00166B14">
      <w:headerReference w:type="default" r:id="rId9"/>
      <w:pgSz w:w="12240" w:h="15840" w:code="1"/>
      <w:pgMar w:top="1440" w:right="1440" w:bottom="1440"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E5A41" w14:textId="77777777" w:rsidR="006F37E7" w:rsidRDefault="006F37E7">
      <w:r>
        <w:separator/>
      </w:r>
    </w:p>
  </w:endnote>
  <w:endnote w:type="continuationSeparator" w:id="0">
    <w:p w14:paraId="08B843BC" w14:textId="77777777" w:rsidR="006F37E7" w:rsidRDefault="006F37E7">
      <w:r>
        <w:continuationSeparator/>
      </w:r>
    </w:p>
  </w:endnote>
  <w:endnote w:type="continuationNotice" w:id="1">
    <w:p w14:paraId="6C015BEA" w14:textId="77777777" w:rsidR="006F37E7" w:rsidRDefault="006F37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3D6DF" w14:textId="77777777" w:rsidR="006F37E7" w:rsidRDefault="006F37E7">
      <w:r>
        <w:separator/>
      </w:r>
    </w:p>
  </w:footnote>
  <w:footnote w:type="continuationSeparator" w:id="0">
    <w:p w14:paraId="0372E82F" w14:textId="77777777" w:rsidR="006F37E7" w:rsidRDefault="006F37E7">
      <w:r>
        <w:continuationSeparator/>
      </w:r>
    </w:p>
  </w:footnote>
  <w:footnote w:type="continuationNotice" w:id="1">
    <w:p w14:paraId="033892EE" w14:textId="77777777" w:rsidR="006F37E7" w:rsidRDefault="006F37E7"/>
  </w:footnote>
  <w:footnote w:id="2">
    <w:p w14:paraId="346B0767" w14:textId="2DB5FA27" w:rsidR="00176F44" w:rsidRPr="00176F44" w:rsidRDefault="00176F44">
      <w:pPr>
        <w:pStyle w:val="FootnoteText"/>
        <w:rPr>
          <w:lang w:val="es-PR"/>
        </w:rPr>
      </w:pPr>
      <w:r>
        <w:rPr>
          <w:rStyle w:val="FootnoteReference"/>
        </w:rPr>
        <w:footnoteRef/>
      </w:r>
      <w:r w:rsidR="00DE0A9B">
        <w:rPr>
          <w:lang w:val="es-PR"/>
        </w:rPr>
        <w:t>§§</w:t>
      </w:r>
      <w:r>
        <w:rPr>
          <w:lang w:val="es-PR"/>
        </w:rPr>
        <w:t xml:space="preserve"> 3 y 6 de la </w:t>
      </w:r>
      <w:r w:rsidRPr="00176F44">
        <w:rPr>
          <w:rFonts w:ascii="Book Antiqua" w:hAnsi="Book Antiqua"/>
          <w:bCs/>
          <w:color w:val="000000" w:themeColor="text1"/>
          <w:lang w:val="es-ES"/>
        </w:rPr>
        <w:t>Ley Núm. 67-1993, según enmendada</w:t>
      </w:r>
      <w:r>
        <w:rPr>
          <w:rFonts w:ascii="Book Antiqua" w:hAnsi="Book Antiqua"/>
          <w:bCs/>
          <w:color w:val="000000" w:themeColor="text1"/>
          <w:lang w:val="es-ES"/>
        </w:rPr>
        <w:t xml:space="preserve"> (3 LPRA §§ 402b y 402e).</w:t>
      </w:r>
    </w:p>
  </w:footnote>
  <w:footnote w:id="3">
    <w:p w14:paraId="33B5FF44" w14:textId="3EFB4334" w:rsidR="005D1C3C" w:rsidRPr="005D1C3C" w:rsidRDefault="005D1C3C">
      <w:pPr>
        <w:pStyle w:val="FootnoteText"/>
        <w:rPr>
          <w:lang w:val="es-PR"/>
        </w:rPr>
      </w:pPr>
      <w:r w:rsidRPr="00C112B7">
        <w:rPr>
          <w:rStyle w:val="FootnoteReference"/>
        </w:rPr>
        <w:footnoteRef/>
      </w:r>
      <w:r w:rsidRPr="00C112B7">
        <w:rPr>
          <w:lang w:val="es-PR"/>
        </w:rPr>
        <w:t xml:space="preserve"> </w:t>
      </w:r>
      <w:r w:rsidR="0059590D" w:rsidRPr="00C112B7">
        <w:rPr>
          <w:lang w:val="es-PR"/>
        </w:rPr>
        <w:t xml:space="preserve">Plan de Reorganización </w:t>
      </w:r>
      <w:r w:rsidR="00755557" w:rsidRPr="00C112B7">
        <w:rPr>
          <w:lang w:val="es-PR"/>
        </w:rPr>
        <w:t xml:space="preserve">Núm. </w:t>
      </w:r>
      <w:r w:rsidR="007A0079" w:rsidRPr="00C112B7">
        <w:rPr>
          <w:lang w:val="es-PR"/>
        </w:rPr>
        <w:t xml:space="preserve">2 de 21 de </w:t>
      </w:r>
      <w:r w:rsidR="00E42174">
        <w:rPr>
          <w:lang w:val="es-PR"/>
        </w:rPr>
        <w:t>N</w:t>
      </w:r>
      <w:r w:rsidR="007A0079" w:rsidRPr="00C112B7">
        <w:rPr>
          <w:lang w:val="es-PR"/>
        </w:rPr>
        <w:t>oviembre de 2011, según enmendado.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2183B4B"/>
    <w:multiLevelType w:val="hybridMultilevel"/>
    <w:tmpl w:val="D120369C"/>
    <w:lvl w:ilvl="0" w:tplc="F13C2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4"/>
  </w:num>
  <w:num w:numId="5" w16cid:durableId="1875924824">
    <w:abstractNumId w:val="5"/>
  </w:num>
  <w:num w:numId="6" w16cid:durableId="1959556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7EFA"/>
    <w:rsid w:val="00044369"/>
    <w:rsid w:val="00055122"/>
    <w:rsid w:val="00056024"/>
    <w:rsid w:val="000701C7"/>
    <w:rsid w:val="00070B30"/>
    <w:rsid w:val="000719A1"/>
    <w:rsid w:val="000859A8"/>
    <w:rsid w:val="00092E04"/>
    <w:rsid w:val="00095AE1"/>
    <w:rsid w:val="000A2D4F"/>
    <w:rsid w:val="000A6B6C"/>
    <w:rsid w:val="000B0DBB"/>
    <w:rsid w:val="000B3ACC"/>
    <w:rsid w:val="000D0AF3"/>
    <w:rsid w:val="000E2BD0"/>
    <w:rsid w:val="000F11D0"/>
    <w:rsid w:val="00111E71"/>
    <w:rsid w:val="0011266A"/>
    <w:rsid w:val="00124D6C"/>
    <w:rsid w:val="00127C6A"/>
    <w:rsid w:val="001363FE"/>
    <w:rsid w:val="001425C8"/>
    <w:rsid w:val="00142A28"/>
    <w:rsid w:val="00143C98"/>
    <w:rsid w:val="00166B14"/>
    <w:rsid w:val="0017132B"/>
    <w:rsid w:val="00172F98"/>
    <w:rsid w:val="001751E9"/>
    <w:rsid w:val="00176F44"/>
    <w:rsid w:val="00196F30"/>
    <w:rsid w:val="00197CF9"/>
    <w:rsid w:val="001A29A7"/>
    <w:rsid w:val="001E2EB4"/>
    <w:rsid w:val="001F46C8"/>
    <w:rsid w:val="001F4CA3"/>
    <w:rsid w:val="001F612A"/>
    <w:rsid w:val="00211396"/>
    <w:rsid w:val="002119D0"/>
    <w:rsid w:val="0022107D"/>
    <w:rsid w:val="002243D7"/>
    <w:rsid w:val="00226AE6"/>
    <w:rsid w:val="00245B34"/>
    <w:rsid w:val="00250433"/>
    <w:rsid w:val="002542DA"/>
    <w:rsid w:val="00263355"/>
    <w:rsid w:val="00273792"/>
    <w:rsid w:val="00276A72"/>
    <w:rsid w:val="002862C4"/>
    <w:rsid w:val="002B0160"/>
    <w:rsid w:val="002C24C7"/>
    <w:rsid w:val="002D4895"/>
    <w:rsid w:val="002D4AC8"/>
    <w:rsid w:val="002E1B03"/>
    <w:rsid w:val="002F132D"/>
    <w:rsid w:val="00320D78"/>
    <w:rsid w:val="00330596"/>
    <w:rsid w:val="00333D4B"/>
    <w:rsid w:val="0034419F"/>
    <w:rsid w:val="00366706"/>
    <w:rsid w:val="0037341F"/>
    <w:rsid w:val="00374E5B"/>
    <w:rsid w:val="00380FE5"/>
    <w:rsid w:val="003924DD"/>
    <w:rsid w:val="003942CB"/>
    <w:rsid w:val="00394FCB"/>
    <w:rsid w:val="003963F4"/>
    <w:rsid w:val="003B0E45"/>
    <w:rsid w:val="003B5254"/>
    <w:rsid w:val="003B75A6"/>
    <w:rsid w:val="003C078F"/>
    <w:rsid w:val="00401D3B"/>
    <w:rsid w:val="004061CA"/>
    <w:rsid w:val="00415689"/>
    <w:rsid w:val="00422EF1"/>
    <w:rsid w:val="004311FD"/>
    <w:rsid w:val="004440CB"/>
    <w:rsid w:val="004713D2"/>
    <w:rsid w:val="00475C18"/>
    <w:rsid w:val="00490994"/>
    <w:rsid w:val="004934B6"/>
    <w:rsid w:val="004C596F"/>
    <w:rsid w:val="004E07BF"/>
    <w:rsid w:val="004E7F17"/>
    <w:rsid w:val="004F24B5"/>
    <w:rsid w:val="0050355A"/>
    <w:rsid w:val="0051298F"/>
    <w:rsid w:val="00521639"/>
    <w:rsid w:val="00525FC9"/>
    <w:rsid w:val="00531E8C"/>
    <w:rsid w:val="00532BB7"/>
    <w:rsid w:val="005332E4"/>
    <w:rsid w:val="005335AB"/>
    <w:rsid w:val="0053550C"/>
    <w:rsid w:val="00555018"/>
    <w:rsid w:val="005723DC"/>
    <w:rsid w:val="00580149"/>
    <w:rsid w:val="005951E9"/>
    <w:rsid w:val="005952C5"/>
    <w:rsid w:val="0059590D"/>
    <w:rsid w:val="005A7C87"/>
    <w:rsid w:val="005B5814"/>
    <w:rsid w:val="005D1C3C"/>
    <w:rsid w:val="005D3FB0"/>
    <w:rsid w:val="005D7AF0"/>
    <w:rsid w:val="005E6347"/>
    <w:rsid w:val="00607819"/>
    <w:rsid w:val="006210DC"/>
    <w:rsid w:val="00622E1A"/>
    <w:rsid w:val="00640F76"/>
    <w:rsid w:val="0064349D"/>
    <w:rsid w:val="00653EED"/>
    <w:rsid w:val="00682185"/>
    <w:rsid w:val="00685549"/>
    <w:rsid w:val="006B7365"/>
    <w:rsid w:val="006C2D81"/>
    <w:rsid w:val="006C7DF8"/>
    <w:rsid w:val="006F37E7"/>
    <w:rsid w:val="006F482E"/>
    <w:rsid w:val="0070360B"/>
    <w:rsid w:val="007225E8"/>
    <w:rsid w:val="007326AA"/>
    <w:rsid w:val="00732911"/>
    <w:rsid w:val="00750FC8"/>
    <w:rsid w:val="007533D0"/>
    <w:rsid w:val="007534E3"/>
    <w:rsid w:val="00755069"/>
    <w:rsid w:val="00755557"/>
    <w:rsid w:val="007741FA"/>
    <w:rsid w:val="00777B95"/>
    <w:rsid w:val="0078562E"/>
    <w:rsid w:val="007A0079"/>
    <w:rsid w:val="007B0660"/>
    <w:rsid w:val="007B6CD5"/>
    <w:rsid w:val="007C3E7C"/>
    <w:rsid w:val="007D3903"/>
    <w:rsid w:val="007E3868"/>
    <w:rsid w:val="007F0717"/>
    <w:rsid w:val="00806DCA"/>
    <w:rsid w:val="008148ED"/>
    <w:rsid w:val="00816A42"/>
    <w:rsid w:val="00820C41"/>
    <w:rsid w:val="00827A64"/>
    <w:rsid w:val="00830840"/>
    <w:rsid w:val="008312E7"/>
    <w:rsid w:val="008368D5"/>
    <w:rsid w:val="00837498"/>
    <w:rsid w:val="00844C0B"/>
    <w:rsid w:val="00850256"/>
    <w:rsid w:val="008B26FC"/>
    <w:rsid w:val="008C3070"/>
    <w:rsid w:val="008D26CE"/>
    <w:rsid w:val="008D6CBE"/>
    <w:rsid w:val="008E070E"/>
    <w:rsid w:val="008E57E3"/>
    <w:rsid w:val="008E7C2B"/>
    <w:rsid w:val="009062A1"/>
    <w:rsid w:val="0092367C"/>
    <w:rsid w:val="00933F58"/>
    <w:rsid w:val="0093686F"/>
    <w:rsid w:val="00937017"/>
    <w:rsid w:val="00942FD4"/>
    <w:rsid w:val="00951997"/>
    <w:rsid w:val="00956B15"/>
    <w:rsid w:val="00966645"/>
    <w:rsid w:val="00972E49"/>
    <w:rsid w:val="0097600D"/>
    <w:rsid w:val="00977C9F"/>
    <w:rsid w:val="009851E9"/>
    <w:rsid w:val="00985BFA"/>
    <w:rsid w:val="00990352"/>
    <w:rsid w:val="00994105"/>
    <w:rsid w:val="009A24ED"/>
    <w:rsid w:val="009A50D6"/>
    <w:rsid w:val="009E7AC6"/>
    <w:rsid w:val="009F10EC"/>
    <w:rsid w:val="009F41F6"/>
    <w:rsid w:val="009F7E4F"/>
    <w:rsid w:val="00A03405"/>
    <w:rsid w:val="00A079C3"/>
    <w:rsid w:val="00A1528A"/>
    <w:rsid w:val="00A33918"/>
    <w:rsid w:val="00A60B60"/>
    <w:rsid w:val="00A636AF"/>
    <w:rsid w:val="00A66994"/>
    <w:rsid w:val="00A66C47"/>
    <w:rsid w:val="00A752CE"/>
    <w:rsid w:val="00A7629F"/>
    <w:rsid w:val="00A80F3F"/>
    <w:rsid w:val="00A867BD"/>
    <w:rsid w:val="00A90707"/>
    <w:rsid w:val="00AD2BD1"/>
    <w:rsid w:val="00AE3D98"/>
    <w:rsid w:val="00AE6935"/>
    <w:rsid w:val="00AF0CEE"/>
    <w:rsid w:val="00AF0F0D"/>
    <w:rsid w:val="00AF250A"/>
    <w:rsid w:val="00B1330D"/>
    <w:rsid w:val="00B25541"/>
    <w:rsid w:val="00B27944"/>
    <w:rsid w:val="00B3135F"/>
    <w:rsid w:val="00B33936"/>
    <w:rsid w:val="00B358DC"/>
    <w:rsid w:val="00B4605B"/>
    <w:rsid w:val="00B50D16"/>
    <w:rsid w:val="00B667AD"/>
    <w:rsid w:val="00B66CCD"/>
    <w:rsid w:val="00B84C38"/>
    <w:rsid w:val="00B86548"/>
    <w:rsid w:val="00B86C00"/>
    <w:rsid w:val="00B910F5"/>
    <w:rsid w:val="00B947F6"/>
    <w:rsid w:val="00BE1150"/>
    <w:rsid w:val="00BE3FED"/>
    <w:rsid w:val="00BE7017"/>
    <w:rsid w:val="00BE75D3"/>
    <w:rsid w:val="00BF16AA"/>
    <w:rsid w:val="00C01308"/>
    <w:rsid w:val="00C0396A"/>
    <w:rsid w:val="00C10981"/>
    <w:rsid w:val="00C112B7"/>
    <w:rsid w:val="00C354B8"/>
    <w:rsid w:val="00C4477E"/>
    <w:rsid w:val="00C45A92"/>
    <w:rsid w:val="00C52517"/>
    <w:rsid w:val="00C6090D"/>
    <w:rsid w:val="00C60921"/>
    <w:rsid w:val="00C62936"/>
    <w:rsid w:val="00C653F2"/>
    <w:rsid w:val="00C679E6"/>
    <w:rsid w:val="00C746D7"/>
    <w:rsid w:val="00C908F9"/>
    <w:rsid w:val="00C96A51"/>
    <w:rsid w:val="00C96B92"/>
    <w:rsid w:val="00CA0917"/>
    <w:rsid w:val="00CA1099"/>
    <w:rsid w:val="00CA4862"/>
    <w:rsid w:val="00CB733A"/>
    <w:rsid w:val="00CC2963"/>
    <w:rsid w:val="00CE0950"/>
    <w:rsid w:val="00CE72E3"/>
    <w:rsid w:val="00CF7B8A"/>
    <w:rsid w:val="00D0318C"/>
    <w:rsid w:val="00D17592"/>
    <w:rsid w:val="00D24FC3"/>
    <w:rsid w:val="00D25477"/>
    <w:rsid w:val="00D417C2"/>
    <w:rsid w:val="00D60936"/>
    <w:rsid w:val="00D709EB"/>
    <w:rsid w:val="00D74714"/>
    <w:rsid w:val="00D81DA3"/>
    <w:rsid w:val="00D82F3F"/>
    <w:rsid w:val="00D921C6"/>
    <w:rsid w:val="00D958C2"/>
    <w:rsid w:val="00DA463D"/>
    <w:rsid w:val="00DB7190"/>
    <w:rsid w:val="00DC51C9"/>
    <w:rsid w:val="00DE0A9B"/>
    <w:rsid w:val="00E04921"/>
    <w:rsid w:val="00E04AB5"/>
    <w:rsid w:val="00E265E6"/>
    <w:rsid w:val="00E33F72"/>
    <w:rsid w:val="00E42174"/>
    <w:rsid w:val="00E50EEA"/>
    <w:rsid w:val="00E52B47"/>
    <w:rsid w:val="00E52F58"/>
    <w:rsid w:val="00E66E91"/>
    <w:rsid w:val="00E724B8"/>
    <w:rsid w:val="00E90C1A"/>
    <w:rsid w:val="00E92C9B"/>
    <w:rsid w:val="00E93A87"/>
    <w:rsid w:val="00EA0F88"/>
    <w:rsid w:val="00EC26AA"/>
    <w:rsid w:val="00ED7A53"/>
    <w:rsid w:val="00EE0865"/>
    <w:rsid w:val="00EE1EE8"/>
    <w:rsid w:val="00EE4273"/>
    <w:rsid w:val="00F00795"/>
    <w:rsid w:val="00F02004"/>
    <w:rsid w:val="00F042CB"/>
    <w:rsid w:val="00F12D6F"/>
    <w:rsid w:val="00F15516"/>
    <w:rsid w:val="00F16F9A"/>
    <w:rsid w:val="00F221B1"/>
    <w:rsid w:val="00F37FA3"/>
    <w:rsid w:val="00F60A20"/>
    <w:rsid w:val="00F623D7"/>
    <w:rsid w:val="00F64F83"/>
    <w:rsid w:val="00F7213B"/>
    <w:rsid w:val="00F763FF"/>
    <w:rsid w:val="00F91B0B"/>
    <w:rsid w:val="00F97C3B"/>
    <w:rsid w:val="00FC0A95"/>
    <w:rsid w:val="00FC2B3B"/>
    <w:rsid w:val="00FC3D9C"/>
    <w:rsid w:val="00FE0639"/>
    <w:rsid w:val="00FF0153"/>
    <w:rsid w:val="00FF4825"/>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2A919622-C2CC-4C43-9F2D-8A0D78F7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8</TotalTime>
  <Pages>5</Pages>
  <Words>1205</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dc:description/>
  <cp:lastModifiedBy>Gladys J. Burgos Torres</cp:lastModifiedBy>
  <cp:revision>5</cp:revision>
  <cp:lastPrinted>2023-06-24T21:48:00Z</cp:lastPrinted>
  <dcterms:created xsi:type="dcterms:W3CDTF">2025-10-29T17:11:00Z</dcterms:created>
  <dcterms:modified xsi:type="dcterms:W3CDTF">2025-10-29T18:23:00Z</dcterms:modified>
</cp:coreProperties>
</file>