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rPr>
      </w:pPr>
      <w:r w:rsidRPr="001711E6">
        <w:rPr>
          <w:rFonts w:ascii="Book Antiqua" w:eastAsia="Book Antiqua" w:hAnsi="Book Antiqua" w:cs="Book Antiqua"/>
          <w:color w:val="000000" w:themeColor="text1"/>
          <w:sz w:val="28"/>
          <w:szCs w:val="28"/>
        </w:rPr>
        <w:tab/>
      </w:r>
      <w:r w:rsidR="00B45797" w:rsidRPr="006B6B87">
        <w:rPr>
          <w:rFonts w:ascii="Book Antiqua" w:eastAsia="Book Antiqua" w:hAnsi="Book Antiqua" w:cs="Book Antiqua"/>
          <w:color w:val="000000" w:themeColor="text1"/>
          <w:spacing w:val="12"/>
          <w:sz w:val="28"/>
          <w:szCs w:val="28"/>
        </w:rPr>
        <w:t>GOBIERNO</w:t>
      </w:r>
      <w:r w:rsidRPr="006B6B87">
        <w:rPr>
          <w:rFonts w:ascii="Book Antiqua" w:eastAsia="Book Antiqua" w:hAnsi="Book Antiqua" w:cs="Book Antiqua"/>
          <w:color w:val="000000" w:themeColor="text1"/>
          <w:spacing w:val="12"/>
          <w:sz w:val="28"/>
          <w:szCs w:val="28"/>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rPr>
      </w:pPr>
    </w:p>
    <w:p w14:paraId="026B7A4E" w14:textId="7D27361B" w:rsidR="00DF7D86" w:rsidRPr="001711E6" w:rsidRDefault="00B45797">
      <w:pPr>
        <w:tabs>
          <w:tab w:val="left" w:pos="720"/>
          <w:tab w:val="left" w:pos="75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20</w:t>
      </w:r>
      <w:r w:rsidRPr="001711E6">
        <w:rPr>
          <w:rFonts w:ascii="Book Antiqua" w:eastAsia="Book Antiqua" w:hAnsi="Book Antiqua" w:cs="Book Antiqua"/>
          <w:color w:val="000000" w:themeColor="text1"/>
          <w:vertAlign w:val="superscript"/>
        </w:rPr>
        <w:t>m</w:t>
      </w:r>
      <w:r w:rsidR="0038510E" w:rsidRPr="001711E6">
        <w:rPr>
          <w:rFonts w:ascii="Book Antiqua" w:eastAsia="Book Antiqua" w:hAnsi="Book Antiqua" w:cs="Book Antiqua"/>
          <w:color w:val="000000" w:themeColor="text1"/>
          <w:vertAlign w:val="superscript"/>
        </w:rPr>
        <w:t>a</w:t>
      </w:r>
      <w:r w:rsidR="00C54AD6" w:rsidRPr="001711E6">
        <w:rPr>
          <w:rFonts w:ascii="Book Antiqua" w:eastAsia="Book Antiqua" w:hAnsi="Book Antiqua" w:cs="Book Antiqua"/>
          <w:color w:val="000000" w:themeColor="text1"/>
        </w:rPr>
        <w:t xml:space="preserve"> </w:t>
      </w:r>
      <w:r w:rsidR="00C54AD6" w:rsidRPr="001711E6">
        <w:rPr>
          <w:rFonts w:ascii="Book Antiqua" w:eastAsia="Book Antiqua" w:hAnsi="Book Antiqua" w:cs="Book Antiqua"/>
          <w:color w:val="000000" w:themeColor="text1"/>
        </w:rPr>
        <w:tab/>
        <w:t>Asamblea</w:t>
      </w:r>
      <w:r w:rsidR="00C54AD6" w:rsidRPr="001711E6">
        <w:rPr>
          <w:rFonts w:ascii="Book Antiqua" w:eastAsia="Book Antiqua" w:hAnsi="Book Antiqua" w:cs="Book Antiqua"/>
          <w:color w:val="000000" w:themeColor="text1"/>
        </w:rPr>
        <w:tab/>
      </w:r>
      <w:r w:rsidR="00C919BB">
        <w:rPr>
          <w:rFonts w:ascii="Book Antiqua" w:eastAsia="Book Antiqua" w:hAnsi="Book Antiqua" w:cs="Book Antiqua"/>
          <w:color w:val="000000" w:themeColor="text1"/>
        </w:rPr>
        <w:t>3</w:t>
      </w:r>
      <w:r w:rsidR="00C919BB">
        <w:rPr>
          <w:rFonts w:ascii="Book Antiqua" w:eastAsia="Book Antiqua" w:hAnsi="Book Antiqua" w:cs="Book Antiqua"/>
          <w:color w:val="000000" w:themeColor="text1"/>
          <w:vertAlign w:val="superscript"/>
        </w:rPr>
        <w:t>ra</w:t>
      </w:r>
      <w:r w:rsidR="0038510E" w:rsidRPr="001711E6">
        <w:rPr>
          <w:rFonts w:ascii="Book Antiqua" w:eastAsia="Book Antiqua" w:hAnsi="Book Antiqua" w:cs="Book Antiqua"/>
          <w:color w:val="000000" w:themeColor="text1"/>
        </w:rPr>
        <w:t xml:space="preserve"> </w:t>
      </w:r>
      <w:r w:rsidR="0038510E" w:rsidRPr="001711E6">
        <w:rPr>
          <w:rFonts w:ascii="Book Antiqua" w:eastAsia="Book Antiqua" w:hAnsi="Book Antiqua" w:cs="Book Antiqua"/>
          <w:color w:val="000000" w:themeColor="text1"/>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ab/>
        <w:t>Legislativa</w:t>
      </w:r>
      <w:r w:rsidRPr="001711E6">
        <w:rPr>
          <w:rFonts w:ascii="Book Antiqua" w:eastAsia="Book Antiqua" w:hAnsi="Book Antiqua" w:cs="Book Antiqua"/>
          <w:color w:val="000000" w:themeColor="text1"/>
        </w:rPr>
        <w:tab/>
      </w:r>
      <w:r w:rsidRPr="001711E6">
        <w:rPr>
          <w:rFonts w:ascii="Book Antiqua" w:eastAsia="Book Antiqua" w:hAnsi="Book Antiqua" w:cs="Book Antiqua"/>
          <w:color w:val="000000" w:themeColor="text1"/>
        </w:rPr>
        <w:tab/>
      </w:r>
      <w:r w:rsidRPr="001711E6">
        <w:rPr>
          <w:rFonts w:ascii="Book Antiqua" w:eastAsia="Book Antiqua" w:hAnsi="Book Antiqua" w:cs="Book Antiqua"/>
          <w:color w:val="000000" w:themeColor="text1"/>
        </w:rPr>
        <w:tab/>
        <w:t>Ordinaria</w:t>
      </w:r>
    </w:p>
    <w:p w14:paraId="5F7390D7" w14:textId="77777777" w:rsidR="00F51F4A" w:rsidRPr="00F51F4A" w:rsidRDefault="00F51F4A">
      <w:pPr>
        <w:spacing w:line="360" w:lineRule="auto"/>
        <w:jc w:val="center"/>
        <w:rPr>
          <w:rFonts w:ascii="Book Antiqua" w:eastAsia="Book Antiqua" w:hAnsi="Book Antiqua" w:cs="Book Antiqua"/>
          <w:b/>
          <w:color w:val="000000" w:themeColor="text1"/>
          <w:spacing w:val="12"/>
          <w:sz w:val="20"/>
        </w:rPr>
      </w:pPr>
    </w:p>
    <w:p w14:paraId="4AE730EB" w14:textId="588E2022" w:rsidR="00DF7D86" w:rsidRPr="00251481" w:rsidRDefault="0038510E">
      <w:pPr>
        <w:spacing w:line="360" w:lineRule="auto"/>
        <w:jc w:val="center"/>
        <w:rPr>
          <w:rFonts w:ascii="Book Antiqua" w:eastAsia="Book Antiqua" w:hAnsi="Book Antiqua" w:cs="Book Antiqua"/>
          <w:b/>
          <w:color w:val="000000" w:themeColor="text1"/>
          <w:spacing w:val="12"/>
          <w:sz w:val="36"/>
          <w:szCs w:val="36"/>
        </w:rPr>
      </w:pPr>
      <w:r w:rsidRPr="00251481">
        <w:rPr>
          <w:rFonts w:ascii="Book Antiqua" w:eastAsia="Book Antiqua" w:hAnsi="Book Antiqua" w:cs="Book Antiqua"/>
          <w:b/>
          <w:color w:val="000000" w:themeColor="text1"/>
          <w:spacing w:val="12"/>
          <w:sz w:val="36"/>
          <w:szCs w:val="36"/>
        </w:rPr>
        <w:t>CÁMARA DE REPRESENTANTES</w:t>
      </w:r>
    </w:p>
    <w:p w14:paraId="224C8555" w14:textId="0F0FA67A" w:rsidR="00DF7D86" w:rsidRDefault="00611979">
      <w:pPr>
        <w:spacing w:line="360" w:lineRule="auto"/>
        <w:jc w:val="center"/>
        <w:rPr>
          <w:rFonts w:ascii="Book Antiqua" w:eastAsia="Book Antiqua" w:hAnsi="Book Antiqua" w:cs="Book Antiqua"/>
          <w:b/>
          <w:color w:val="000000" w:themeColor="text1"/>
          <w:sz w:val="52"/>
          <w:szCs w:val="52"/>
        </w:rPr>
      </w:pPr>
      <w:r w:rsidRPr="001711E6">
        <w:rPr>
          <w:rFonts w:ascii="Book Antiqua" w:eastAsia="Book Antiqua" w:hAnsi="Book Antiqua" w:cs="Book Antiqua"/>
          <w:b/>
          <w:color w:val="000000" w:themeColor="text1"/>
          <w:sz w:val="52"/>
          <w:szCs w:val="52"/>
        </w:rPr>
        <w:t xml:space="preserve">P. de la C. </w:t>
      </w:r>
      <w:r w:rsidR="00806822">
        <w:rPr>
          <w:rFonts w:ascii="Book Antiqua" w:eastAsia="Book Antiqua" w:hAnsi="Book Antiqua" w:cs="Book Antiqua"/>
          <w:b/>
          <w:color w:val="000000" w:themeColor="text1"/>
          <w:sz w:val="52"/>
          <w:szCs w:val="52"/>
        </w:rPr>
        <w:t>962</w:t>
      </w:r>
    </w:p>
    <w:p w14:paraId="6CA3DF2C" w14:textId="33055A4F"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rPr>
      </w:pPr>
      <w:r w:rsidRPr="00251481">
        <w:rPr>
          <w:rFonts w:ascii="Book Antiqua" w:eastAsia="Book Antiqua" w:hAnsi="Book Antiqua" w:cs="Book Antiqua"/>
          <w:b/>
          <w:color w:val="000000" w:themeColor="text1"/>
          <w:spacing w:val="12"/>
          <w:sz w:val="28"/>
          <w:szCs w:val="28"/>
        </w:rPr>
        <w:t xml:space="preserve">INFORME </w:t>
      </w:r>
      <w:r w:rsidR="008F0CD1">
        <w:rPr>
          <w:rFonts w:ascii="Book Antiqua" w:eastAsia="Book Antiqua" w:hAnsi="Book Antiqua" w:cs="Book Antiqua"/>
          <w:b/>
          <w:color w:val="000000" w:themeColor="text1"/>
          <w:spacing w:val="12"/>
          <w:sz w:val="28"/>
          <w:szCs w:val="28"/>
        </w:rPr>
        <w:t>NEGA</w:t>
      </w:r>
      <w:r w:rsidRPr="00251481">
        <w:rPr>
          <w:rFonts w:ascii="Book Antiqua" w:eastAsia="Book Antiqua" w:hAnsi="Book Antiqua" w:cs="Book Antiqua"/>
          <w:b/>
          <w:color w:val="000000" w:themeColor="text1"/>
          <w:spacing w:val="12"/>
          <w:sz w:val="28"/>
          <w:szCs w:val="28"/>
        </w:rPr>
        <w:t>TIVO</w:t>
      </w:r>
    </w:p>
    <w:p w14:paraId="65B59E42" w14:textId="608D61F4" w:rsidR="00DF7D86" w:rsidRDefault="00B33253" w:rsidP="00120C7F">
      <w:pPr>
        <w:spacing w:after="160" w:line="360" w:lineRule="auto"/>
        <w:jc w:val="center"/>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25 </w:t>
      </w:r>
      <w:r w:rsidR="0038510E" w:rsidRPr="001711E6">
        <w:rPr>
          <w:rFonts w:ascii="Book Antiqua" w:eastAsia="Book Antiqua" w:hAnsi="Book Antiqua" w:cs="Book Antiqua"/>
          <w:color w:val="000000" w:themeColor="text1"/>
        </w:rPr>
        <w:t xml:space="preserve">de </w:t>
      </w:r>
      <w:r w:rsidR="0087688A">
        <w:rPr>
          <w:rFonts w:ascii="Book Antiqua" w:eastAsia="Book Antiqua" w:hAnsi="Book Antiqua" w:cs="Book Antiqua"/>
          <w:color w:val="000000" w:themeColor="text1"/>
        </w:rPr>
        <w:t>junio</w:t>
      </w:r>
      <w:r w:rsidR="00C54AD6" w:rsidRPr="001711E6">
        <w:rPr>
          <w:rFonts w:ascii="Book Antiqua" w:eastAsia="Book Antiqua" w:hAnsi="Book Antiqua" w:cs="Book Antiqua"/>
          <w:color w:val="000000" w:themeColor="text1"/>
        </w:rPr>
        <w:t xml:space="preserve"> de 202</w:t>
      </w:r>
      <w:r w:rsidR="0087688A">
        <w:rPr>
          <w:rFonts w:ascii="Book Antiqua" w:eastAsia="Book Antiqua" w:hAnsi="Book Antiqua" w:cs="Book Antiqua"/>
          <w:color w:val="000000" w:themeColor="text1"/>
        </w:rPr>
        <w:t>6</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rPr>
      </w:pPr>
      <w:r w:rsidRPr="00251481">
        <w:rPr>
          <w:rFonts w:ascii="Book Antiqua" w:eastAsia="Book Antiqua" w:hAnsi="Book Antiqua" w:cs="Book Antiqua"/>
          <w:b/>
          <w:color w:val="000000" w:themeColor="text1"/>
          <w:spacing w:val="12"/>
        </w:rPr>
        <w:t>A LA CÁMARA DE REPRESENTANTES DE PUERTO RICO</w:t>
      </w:r>
    </w:p>
    <w:p w14:paraId="48CACF04" w14:textId="4A913CC1" w:rsidR="00DF7D86" w:rsidRPr="005A6966" w:rsidRDefault="00436471" w:rsidP="004F3EF4">
      <w:pPr>
        <w:spacing w:after="360" w:line="288" w:lineRule="auto"/>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La </w:t>
      </w:r>
      <w:r w:rsidR="0038510E" w:rsidRPr="005A6966">
        <w:rPr>
          <w:rFonts w:ascii="Book Antiqua" w:eastAsia="Book Antiqua" w:hAnsi="Book Antiqua" w:cs="Book Antiqua"/>
          <w:color w:val="000000" w:themeColor="text1"/>
          <w:szCs w:val="24"/>
        </w:rPr>
        <w:t xml:space="preserve">Comisión </w:t>
      </w:r>
      <w:r w:rsidR="00B45797" w:rsidRPr="005A6966">
        <w:rPr>
          <w:rFonts w:ascii="Book Antiqua" w:eastAsia="Book Antiqua" w:hAnsi="Book Antiqua" w:cs="Book Antiqua"/>
          <w:color w:val="000000" w:themeColor="text1"/>
          <w:szCs w:val="24"/>
        </w:rPr>
        <w:t xml:space="preserve">de </w:t>
      </w:r>
      <w:r w:rsidR="00B6485C" w:rsidRPr="005A6966">
        <w:rPr>
          <w:rFonts w:ascii="Book Antiqua" w:eastAsia="Book Antiqua" w:hAnsi="Book Antiqua" w:cs="Book Antiqua"/>
          <w:color w:val="000000" w:themeColor="text1"/>
          <w:szCs w:val="24"/>
        </w:rPr>
        <w:t>Seguridad Pública</w:t>
      </w:r>
      <w:r w:rsidR="001015D5"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de la Cámara de Representantes, previo estudio y c</w:t>
      </w:r>
      <w:r w:rsidR="00611979" w:rsidRPr="005A6966">
        <w:rPr>
          <w:rFonts w:ascii="Book Antiqua" w:eastAsia="Book Antiqua" w:hAnsi="Book Antiqua" w:cs="Book Antiqua"/>
          <w:color w:val="000000" w:themeColor="text1"/>
          <w:szCs w:val="24"/>
        </w:rPr>
        <w:t xml:space="preserve">onsideración del P. de la C. </w:t>
      </w:r>
      <w:r w:rsidR="00806822">
        <w:rPr>
          <w:rFonts w:ascii="Book Antiqua" w:eastAsia="Book Antiqua" w:hAnsi="Book Antiqua" w:cs="Book Antiqua"/>
          <w:color w:val="000000" w:themeColor="text1"/>
          <w:szCs w:val="24"/>
        </w:rPr>
        <w:t>962</w:t>
      </w:r>
      <w:r w:rsidR="00900740" w:rsidRPr="005A6966">
        <w:rPr>
          <w:rFonts w:ascii="Book Antiqua" w:eastAsia="Book Antiqua" w:hAnsi="Book Antiqua" w:cs="Book Antiqua"/>
          <w:color w:val="000000" w:themeColor="text1"/>
          <w:szCs w:val="24"/>
        </w:rPr>
        <w:t>,</w:t>
      </w:r>
      <w:r w:rsidR="0038510E" w:rsidRPr="005A6966">
        <w:rPr>
          <w:rFonts w:ascii="Book Antiqua" w:eastAsia="Book Antiqua" w:hAnsi="Book Antiqua" w:cs="Book Antiqua"/>
          <w:color w:val="000000" w:themeColor="text1"/>
          <w:szCs w:val="24"/>
        </w:rPr>
        <w:t xml:space="preserve"> </w:t>
      </w:r>
      <w:r w:rsidR="008F0CD1">
        <w:rPr>
          <w:rFonts w:ascii="Book Antiqua" w:eastAsia="Book Antiqua" w:hAnsi="Book Antiqua" w:cs="Book Antiqua"/>
          <w:color w:val="000000" w:themeColor="text1"/>
          <w:szCs w:val="24"/>
        </w:rPr>
        <w:t xml:space="preserve">no </w:t>
      </w:r>
      <w:r w:rsidR="00D93990" w:rsidRPr="005A6966">
        <w:rPr>
          <w:rFonts w:ascii="Book Antiqua" w:eastAsia="Book Antiqua" w:hAnsi="Book Antiqua" w:cs="Book Antiqua"/>
          <w:color w:val="000000" w:themeColor="text1"/>
          <w:szCs w:val="24"/>
        </w:rPr>
        <w:t>recom</w:t>
      </w:r>
      <w:r w:rsidRPr="005A6966">
        <w:rPr>
          <w:rFonts w:ascii="Book Antiqua" w:eastAsia="Book Antiqua" w:hAnsi="Book Antiqua" w:cs="Book Antiqua"/>
          <w:color w:val="000000" w:themeColor="text1"/>
          <w:szCs w:val="24"/>
        </w:rPr>
        <w:t>i</w:t>
      </w:r>
      <w:r w:rsidR="00D93990" w:rsidRPr="005A6966">
        <w:rPr>
          <w:rFonts w:ascii="Book Antiqua" w:eastAsia="Book Antiqua" w:hAnsi="Book Antiqua" w:cs="Book Antiqua"/>
          <w:color w:val="000000" w:themeColor="text1"/>
          <w:szCs w:val="24"/>
        </w:rPr>
        <w:t xml:space="preserve">enda </w:t>
      </w:r>
      <w:r w:rsidR="008F0CD1">
        <w:rPr>
          <w:rFonts w:ascii="Book Antiqua" w:eastAsia="Book Antiqua" w:hAnsi="Book Antiqua" w:cs="Book Antiqua"/>
          <w:color w:val="000000" w:themeColor="text1"/>
          <w:szCs w:val="24"/>
        </w:rPr>
        <w:t>la</w:t>
      </w:r>
      <w:r w:rsidR="00D93990" w:rsidRPr="005A6966">
        <w:rPr>
          <w:rFonts w:ascii="Book Antiqua" w:eastAsia="Book Antiqua" w:hAnsi="Book Antiqua" w:cs="Book Antiqua"/>
          <w:color w:val="000000" w:themeColor="text1"/>
          <w:szCs w:val="24"/>
        </w:rPr>
        <w:t xml:space="preserve"> </w:t>
      </w:r>
      <w:r w:rsidR="007B257D" w:rsidRPr="005A6966">
        <w:rPr>
          <w:rFonts w:ascii="Book Antiqua" w:eastAsia="Book Antiqua" w:hAnsi="Book Antiqua" w:cs="Book Antiqua"/>
          <w:color w:val="000000" w:themeColor="text1"/>
          <w:szCs w:val="24"/>
        </w:rPr>
        <w:t>aprobación</w:t>
      </w:r>
      <w:r w:rsidR="00BC5441">
        <w:rPr>
          <w:rFonts w:ascii="Book Antiqua" w:eastAsia="Book Antiqua" w:hAnsi="Book Antiqua" w:cs="Book Antiqua"/>
          <w:color w:val="000000" w:themeColor="text1"/>
          <w:szCs w:val="24"/>
        </w:rPr>
        <w:t xml:space="preserve"> de la medida</w:t>
      </w:r>
      <w:r w:rsidR="00021915">
        <w:rPr>
          <w:rFonts w:ascii="Book Antiqua" w:eastAsia="Book Antiqua" w:hAnsi="Book Antiqua" w:cs="Book Antiqua"/>
          <w:color w:val="000000" w:themeColor="text1"/>
          <w:szCs w:val="24"/>
        </w:rPr>
        <w:t>.</w:t>
      </w:r>
      <w:r w:rsidR="00B55DDB"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 xml:space="preserve"> </w:t>
      </w:r>
    </w:p>
    <w:p w14:paraId="1C560ACC" w14:textId="691A9A65" w:rsidR="00C54AD6" w:rsidRPr="005A6966" w:rsidRDefault="003B38A4" w:rsidP="002A065A">
      <w:pPr>
        <w:spacing w:after="240"/>
        <w:jc w:val="center"/>
        <w:rPr>
          <w:rFonts w:ascii="Book Antiqua" w:eastAsia="Book Antiqua" w:hAnsi="Book Antiqua" w:cs="Book Antiqua"/>
          <w:color w:val="000000" w:themeColor="text1"/>
          <w:szCs w:val="24"/>
        </w:rPr>
      </w:pPr>
      <w:r w:rsidRPr="005A6966">
        <w:rPr>
          <w:rFonts w:ascii="Book Antiqua" w:eastAsia="Book Antiqua" w:hAnsi="Book Antiqua" w:cs="Book Antiqua"/>
          <w:b/>
          <w:bCs/>
          <w:color w:val="000000" w:themeColor="text1"/>
          <w:spacing w:val="12"/>
          <w:szCs w:val="24"/>
        </w:rPr>
        <w:t>ALCANCE DE LA MEDIDA</w:t>
      </w:r>
    </w:p>
    <w:p w14:paraId="75E02CE1" w14:textId="35ED2F71" w:rsidR="00AF10DE" w:rsidRPr="005A6966" w:rsidRDefault="003B38A4" w:rsidP="00FB00C8">
      <w:pPr>
        <w:spacing w:after="240"/>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El </w:t>
      </w:r>
      <w:r w:rsidR="00FC1C6B" w:rsidRPr="005A6966">
        <w:rPr>
          <w:rFonts w:ascii="Book Antiqua" w:eastAsia="Book Antiqua" w:hAnsi="Book Antiqua" w:cs="Book Antiqua"/>
          <w:color w:val="000000" w:themeColor="text1"/>
          <w:szCs w:val="24"/>
        </w:rPr>
        <w:t xml:space="preserve">P. de la C. </w:t>
      </w:r>
      <w:r w:rsidR="00806822">
        <w:rPr>
          <w:rFonts w:ascii="Book Antiqua" w:eastAsia="Book Antiqua" w:hAnsi="Book Antiqua" w:cs="Book Antiqua"/>
          <w:color w:val="000000" w:themeColor="text1"/>
          <w:szCs w:val="24"/>
        </w:rPr>
        <w:t>962</w:t>
      </w:r>
      <w:r w:rsidR="008D32D5" w:rsidRPr="005A6966">
        <w:rPr>
          <w:rFonts w:ascii="Book Antiqua" w:eastAsia="Book Antiqua" w:hAnsi="Book Antiqua" w:cs="Book Antiqua"/>
          <w:color w:val="000000" w:themeColor="text1"/>
          <w:szCs w:val="24"/>
        </w:rPr>
        <w:t xml:space="preserve"> </w:t>
      </w:r>
      <w:r w:rsidR="00FD4DBB" w:rsidRPr="005A6966">
        <w:rPr>
          <w:rFonts w:ascii="Book Antiqua" w:eastAsia="Book Antiqua" w:hAnsi="Book Antiqua" w:cs="Book Antiqua"/>
          <w:color w:val="000000" w:themeColor="text1"/>
          <w:szCs w:val="24"/>
        </w:rPr>
        <w:t xml:space="preserve">propone </w:t>
      </w:r>
      <w:r w:rsidR="001E0BCA" w:rsidRPr="001E0BCA">
        <w:rPr>
          <w:rFonts w:ascii="Book Antiqua" w:hAnsi="Book Antiqua"/>
          <w:lang w:val="es-ES"/>
        </w:rPr>
        <w:t xml:space="preserve">crear la “Ley para la Implementación de Sistemas de Alerta de Emergencias en las Dependencias Gubernamentales de Puerto Rico”, a los fines de establecer la instalación obligatoria de dos sistemas de alarma diferenciados y auditivos/visuales, uno destinado a alertar ante eventos sísmicos y otro ante situaciones de tirador activo o amenazas de violencia armada; disponer sobre la coordinación </w:t>
      </w:r>
      <w:proofErr w:type="spellStart"/>
      <w:r w:rsidR="001E0BCA" w:rsidRPr="001E0BCA">
        <w:rPr>
          <w:rFonts w:ascii="Book Antiqua" w:hAnsi="Book Antiqua"/>
          <w:lang w:val="es-ES"/>
        </w:rPr>
        <w:t>interagencial</w:t>
      </w:r>
      <w:proofErr w:type="spellEnd"/>
      <w:r w:rsidR="001E0BCA" w:rsidRPr="001E0BCA">
        <w:rPr>
          <w:rFonts w:ascii="Book Antiqua" w:hAnsi="Book Antiqua"/>
          <w:lang w:val="es-ES"/>
        </w:rPr>
        <w:t xml:space="preserve"> entre el Departamento de Seguridad Pública (DSP), la Oficina de Gerencia y Presupuesto (OGP), la Oficina de Seguridad de la Asamblea Legislativa y la Oficina de Gerencia de la Fortaleza; establecer protocolos de respuesta y simulacros periódicos; y para otros fines relacionados</w:t>
      </w:r>
      <w:r w:rsidR="00A2640F" w:rsidRPr="005B0A01">
        <w:rPr>
          <w:rFonts w:ascii="Book Antiqua" w:eastAsia="Book Antiqua" w:hAnsi="Book Antiqua" w:cs="Book Antiqua"/>
          <w:color w:val="000000" w:themeColor="text1"/>
          <w:szCs w:val="24"/>
        </w:rPr>
        <w:t>.</w:t>
      </w:r>
    </w:p>
    <w:p w14:paraId="4595A8FA" w14:textId="6DF8B72C"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t>ANÁLISIS DE LA MEDIDA</w:t>
      </w:r>
    </w:p>
    <w:p w14:paraId="14B4DCCC" w14:textId="2E944CB6" w:rsidR="006E352C" w:rsidRDefault="001176A7" w:rsidP="00F216F3">
      <w:pPr>
        <w:spacing w:after="240"/>
        <w:ind w:firstLine="720"/>
        <w:jc w:val="both"/>
        <w:rPr>
          <w:rFonts w:ascii="Book Antiqua" w:hAnsi="Book Antiqua"/>
        </w:rPr>
      </w:pPr>
      <w:r w:rsidRPr="004300A0">
        <w:rPr>
          <w:rFonts w:ascii="Book Antiqua" w:hAnsi="Book Antiqua"/>
        </w:rPr>
        <w:t xml:space="preserve">Para evaluar con rigor técnico el impacto de la medida, esta Comisión solicitó </w:t>
      </w:r>
      <w:r w:rsidR="006E352C">
        <w:rPr>
          <w:rFonts w:ascii="Book Antiqua" w:hAnsi="Book Antiqua"/>
        </w:rPr>
        <w:t>los comentarios de las siguientes agencias</w:t>
      </w:r>
      <w:r w:rsidR="00FD36D6">
        <w:rPr>
          <w:rFonts w:ascii="Book Antiqua" w:hAnsi="Book Antiqua"/>
        </w:rPr>
        <w:t xml:space="preserve"> o entidades</w:t>
      </w:r>
      <w:r w:rsidR="006E352C">
        <w:rPr>
          <w:rFonts w:ascii="Book Antiqua" w:hAnsi="Book Antiqua"/>
        </w:rPr>
        <w:t xml:space="preserve">: </w:t>
      </w:r>
      <w:r w:rsidR="00FA6688">
        <w:rPr>
          <w:rFonts w:ascii="Book Antiqua" w:hAnsi="Book Antiqua"/>
        </w:rPr>
        <w:t xml:space="preserve">Oficina de Gerencia y Presupuesto, Policía de Puerto Rico, </w:t>
      </w:r>
      <w:r w:rsidR="0060746E">
        <w:rPr>
          <w:rFonts w:ascii="Book Antiqua" w:hAnsi="Book Antiqua"/>
        </w:rPr>
        <w:t>Departamento de Seguridad Pública</w:t>
      </w:r>
      <w:r w:rsidR="00B4630A">
        <w:rPr>
          <w:rFonts w:ascii="Book Antiqua" w:hAnsi="Book Antiqua"/>
        </w:rPr>
        <w:t xml:space="preserve"> y</w:t>
      </w:r>
      <w:r w:rsidR="00FD36D6">
        <w:rPr>
          <w:rFonts w:ascii="Book Antiqua" w:hAnsi="Book Antiqua"/>
        </w:rPr>
        <w:t xml:space="preserve"> </w:t>
      </w:r>
      <w:r w:rsidR="00540355">
        <w:rPr>
          <w:rFonts w:ascii="Book Antiqua" w:hAnsi="Book Antiqua"/>
        </w:rPr>
        <w:t>la Oficina de Presupuesto de la Asamblea Legislativa (</w:t>
      </w:r>
      <w:r w:rsidR="00FD36D6">
        <w:rPr>
          <w:rFonts w:ascii="Book Antiqua" w:hAnsi="Book Antiqua"/>
        </w:rPr>
        <w:t>OPAL</w:t>
      </w:r>
      <w:r w:rsidR="00540355">
        <w:rPr>
          <w:rFonts w:ascii="Book Antiqua" w:hAnsi="Book Antiqua"/>
        </w:rPr>
        <w:t>)</w:t>
      </w:r>
      <w:r w:rsidR="00B4630A">
        <w:rPr>
          <w:rFonts w:ascii="Book Antiqua" w:hAnsi="Book Antiqua"/>
        </w:rPr>
        <w:t>. Al momento de realizar este Informe, solo se habían recibido los comentarios de la P</w:t>
      </w:r>
      <w:r w:rsidR="0067149A">
        <w:rPr>
          <w:rFonts w:ascii="Book Antiqua" w:hAnsi="Book Antiqua"/>
        </w:rPr>
        <w:t>olicía de Puerto Rico y el Informe de la OPAL.</w:t>
      </w:r>
    </w:p>
    <w:p w14:paraId="3B3453B7" w14:textId="2542BBAA" w:rsidR="004300A0" w:rsidRDefault="0067149A" w:rsidP="00F216F3">
      <w:pPr>
        <w:spacing w:after="240"/>
        <w:ind w:firstLine="720"/>
        <w:jc w:val="both"/>
        <w:rPr>
          <w:rFonts w:ascii="Book Antiqua" w:hAnsi="Book Antiqua"/>
        </w:rPr>
      </w:pPr>
      <w:r>
        <w:rPr>
          <w:rFonts w:ascii="Book Antiqua" w:hAnsi="Book Antiqua"/>
        </w:rPr>
        <w:t xml:space="preserve">Esta Comisión </w:t>
      </w:r>
      <w:r w:rsidR="001176A7" w:rsidRPr="004300A0">
        <w:rPr>
          <w:rFonts w:ascii="Book Antiqua" w:hAnsi="Book Antiqua"/>
        </w:rPr>
        <w:t xml:space="preserve">analizó minuciosamente las posturas de </w:t>
      </w:r>
      <w:r>
        <w:rPr>
          <w:rFonts w:ascii="Book Antiqua" w:hAnsi="Book Antiqua"/>
        </w:rPr>
        <w:t>dichas</w:t>
      </w:r>
      <w:r w:rsidR="001176A7" w:rsidRPr="004300A0">
        <w:rPr>
          <w:rFonts w:ascii="Book Antiqua" w:hAnsi="Book Antiqua"/>
        </w:rPr>
        <w:t xml:space="preserve"> agencias </w:t>
      </w:r>
      <w:r w:rsidR="00500B4F">
        <w:rPr>
          <w:rFonts w:ascii="Book Antiqua" w:hAnsi="Book Antiqua"/>
        </w:rPr>
        <w:t xml:space="preserve">o entidades </w:t>
      </w:r>
      <w:r w:rsidR="001176A7" w:rsidRPr="004300A0">
        <w:rPr>
          <w:rFonts w:ascii="Book Antiqua" w:hAnsi="Book Antiqua"/>
        </w:rPr>
        <w:t>gubernamentales</w:t>
      </w:r>
      <w:r w:rsidR="00500B4F">
        <w:rPr>
          <w:rFonts w:ascii="Book Antiqua" w:hAnsi="Book Antiqua"/>
        </w:rPr>
        <w:t>, las cuales resumimos a continuación</w:t>
      </w:r>
      <w:r w:rsidR="001176A7" w:rsidRPr="004300A0">
        <w:rPr>
          <w:rFonts w:ascii="Book Antiqua" w:hAnsi="Book Antiqua"/>
        </w:rPr>
        <w:t xml:space="preserve">: </w:t>
      </w:r>
    </w:p>
    <w:p w14:paraId="6952979C" w14:textId="77777777" w:rsidR="009F1F81" w:rsidRDefault="001176A7" w:rsidP="00CB0C1D">
      <w:pPr>
        <w:spacing w:after="240"/>
        <w:jc w:val="both"/>
        <w:rPr>
          <w:rFonts w:ascii="Book Antiqua" w:hAnsi="Book Antiqua"/>
        </w:rPr>
      </w:pPr>
      <w:r w:rsidRPr="00815802">
        <w:rPr>
          <w:rFonts w:ascii="Book Antiqua" w:hAnsi="Book Antiqua"/>
          <w:b/>
          <w:bCs/>
        </w:rPr>
        <w:lastRenderedPageBreak/>
        <w:t>Policía de Puerto Rico (PPR)</w:t>
      </w:r>
      <w:r w:rsidRPr="004300A0">
        <w:rPr>
          <w:rFonts w:ascii="Book Antiqua" w:hAnsi="Book Antiqua"/>
        </w:rPr>
        <w:t xml:space="preserve">: </w:t>
      </w:r>
    </w:p>
    <w:p w14:paraId="4DAAA4ED" w14:textId="77777777" w:rsidR="00B65F11" w:rsidRDefault="00A30B42" w:rsidP="00882707">
      <w:pPr>
        <w:spacing w:after="240"/>
        <w:ind w:firstLine="720"/>
        <w:jc w:val="both"/>
        <w:rPr>
          <w:rFonts w:ascii="Book Antiqua" w:hAnsi="Book Antiqua"/>
        </w:rPr>
      </w:pPr>
      <w:r w:rsidRPr="00A30B42">
        <w:rPr>
          <w:rFonts w:ascii="Book Antiqua" w:hAnsi="Book Antiqua"/>
        </w:rPr>
        <w:t>L</w:t>
      </w:r>
      <w:r w:rsidR="009710A1" w:rsidRPr="00A30B42">
        <w:rPr>
          <w:rFonts w:ascii="Book Antiqua" w:hAnsi="Book Antiqua"/>
        </w:rPr>
        <w:t xml:space="preserve">a Policía de Puerto Rico, por conducto del Superintendente Joseph González, </w:t>
      </w:r>
      <w:r w:rsidR="00AD7ED0">
        <w:rPr>
          <w:rFonts w:ascii="Book Antiqua" w:hAnsi="Book Antiqua"/>
        </w:rPr>
        <w:t>quien reconoci</w:t>
      </w:r>
      <w:r w:rsidR="00AD7ED0" w:rsidRPr="00AD7ED0">
        <w:rPr>
          <w:rFonts w:ascii="Book Antiqua" w:hAnsi="Book Antiqua"/>
        </w:rPr>
        <w:t xml:space="preserve">ó que la seguridad y la protección de la vida de los servidores públicos y de la ciudadanía constituyen parte esencial de su misión institucional bajo el ordenamiento jurídico vigente, por lo cual validaron el fin preventivo que persigue el proyecto. No obstante, la agencia advirtió con gran preocupación que la implementación de estos nuevos sistemas de alarma podría entrar en conflicto directo o generar una duplicidad innecesaria con los sistemas tecnológicos, protocolos operacionales y simulacros de emergencia que ya se encuentran establecidos y ejecutándose actualmente en los planteles. </w:t>
      </w:r>
    </w:p>
    <w:p w14:paraId="7B829726" w14:textId="77777777" w:rsidR="00B65F11" w:rsidRDefault="00AD7ED0" w:rsidP="00882707">
      <w:pPr>
        <w:spacing w:after="240"/>
        <w:ind w:firstLine="720"/>
        <w:jc w:val="both"/>
        <w:rPr>
          <w:rFonts w:ascii="Book Antiqua" w:hAnsi="Book Antiqua"/>
        </w:rPr>
      </w:pPr>
      <w:r w:rsidRPr="00AD7ED0">
        <w:rPr>
          <w:rFonts w:ascii="Book Antiqua" w:hAnsi="Book Antiqua"/>
        </w:rPr>
        <w:t xml:space="preserve">Por tal razón, indicaron que resulta indispensable un riguroso proceso de evaluación técnica y armonización que garantice la compatibilidad efectiva con las estructuras vigentes y evite confusiones durante una crisis. Asimismo, la Policía de Puerto Rico señaló que la medida representa un impacto presupuestario sumamente significativo para sus arcas, dado que les impone la obligación de instalar, mantener y certificar estos costosos sistemas en la totalidad de sus dependencias sin proveer una asignación presupuestaria específica. </w:t>
      </w:r>
    </w:p>
    <w:p w14:paraId="72AFF163" w14:textId="01FE1A2D" w:rsidR="00D3315F" w:rsidRPr="008C27D9" w:rsidRDefault="00AD7ED0" w:rsidP="00882707">
      <w:pPr>
        <w:spacing w:after="240"/>
        <w:ind w:firstLine="720"/>
        <w:jc w:val="both"/>
        <w:rPr>
          <w:rFonts w:ascii="Book Antiqua" w:hAnsi="Book Antiqua"/>
        </w:rPr>
      </w:pPr>
      <w:r w:rsidRPr="00AD7ED0">
        <w:rPr>
          <w:rFonts w:ascii="Book Antiqua" w:hAnsi="Book Antiqua"/>
        </w:rPr>
        <w:t xml:space="preserve">La </w:t>
      </w:r>
      <w:r w:rsidR="009D18A2">
        <w:rPr>
          <w:rFonts w:ascii="Book Antiqua" w:hAnsi="Book Antiqua"/>
        </w:rPr>
        <w:t>PPR</w:t>
      </w:r>
      <w:r w:rsidRPr="00AD7ED0">
        <w:rPr>
          <w:rFonts w:ascii="Book Antiqua" w:hAnsi="Book Antiqua"/>
        </w:rPr>
        <w:t xml:space="preserve"> argumentó que la falta de fondos identificados haría que el cumplimiento estricto de la ley resulte oneroso y operacionalmente inviable para la agencia. Finalmente, expresaron su profunda reserva ante el hecho de que el proyecto establezca multas masivas y sanciones administrativas sustanciales por concepto de incumplimiento, aun cuando las dependencias públicas fallen en cumplir debido a limitaciones económicas severas y ajenas a su control administrativo, lo que terminaría afectando adversamente su capacidad funcional y operacional diaria. Por todo esto, concluyeron que cualquier esfuerzo legislativo en esta dirección debe contemplar obligatoriamente la asignación real de recursos y un plan de implementación escalonado y realista</w:t>
      </w:r>
      <w:r w:rsidR="00D3315F" w:rsidRPr="00D75CF9">
        <w:rPr>
          <w:rFonts w:ascii="Book Antiqua" w:hAnsi="Book Antiqua"/>
        </w:rPr>
        <w:t xml:space="preserve">. </w:t>
      </w:r>
    </w:p>
    <w:p w14:paraId="7127F3D7" w14:textId="3701D1E3" w:rsidR="009F1F81" w:rsidRDefault="00882707" w:rsidP="00F133F7">
      <w:pPr>
        <w:spacing w:after="240"/>
        <w:jc w:val="both"/>
        <w:rPr>
          <w:rFonts w:ascii="Book Antiqua" w:hAnsi="Book Antiqua"/>
        </w:rPr>
      </w:pPr>
      <w:r>
        <w:rPr>
          <w:rFonts w:ascii="Book Antiqua" w:hAnsi="Book Antiqua"/>
          <w:b/>
          <w:bCs/>
        </w:rPr>
        <w:t>Oficina de Presupuesto de la Asamblea Legislativa</w:t>
      </w:r>
      <w:r w:rsidR="00F21171">
        <w:rPr>
          <w:rFonts w:ascii="Book Antiqua" w:hAnsi="Book Antiqua"/>
          <w:b/>
          <w:bCs/>
        </w:rPr>
        <w:t xml:space="preserve"> </w:t>
      </w:r>
      <w:r w:rsidR="00F133F7">
        <w:rPr>
          <w:rFonts w:ascii="Book Antiqua" w:hAnsi="Book Antiqua"/>
          <w:b/>
          <w:bCs/>
        </w:rPr>
        <w:t>(</w:t>
      </w:r>
      <w:r>
        <w:rPr>
          <w:rFonts w:ascii="Book Antiqua" w:hAnsi="Book Antiqua"/>
          <w:b/>
          <w:bCs/>
        </w:rPr>
        <w:t>OPAL</w:t>
      </w:r>
      <w:r w:rsidR="00F133F7">
        <w:rPr>
          <w:rFonts w:ascii="Book Antiqua" w:hAnsi="Book Antiqua"/>
          <w:b/>
          <w:bCs/>
        </w:rPr>
        <w:t>)</w:t>
      </w:r>
      <w:r w:rsidR="001176A7" w:rsidRPr="004300A0">
        <w:rPr>
          <w:rFonts w:ascii="Book Antiqua" w:hAnsi="Book Antiqua"/>
        </w:rPr>
        <w:t xml:space="preserve">: </w:t>
      </w:r>
    </w:p>
    <w:p w14:paraId="0A2E3E86" w14:textId="1A63C200" w:rsidR="00476BB5" w:rsidRPr="0075288E" w:rsidRDefault="00646F2C" w:rsidP="00476BB5">
      <w:pPr>
        <w:spacing w:after="240"/>
        <w:jc w:val="both"/>
        <w:rPr>
          <w:rFonts w:ascii="Book Antiqua" w:hAnsi="Book Antiqua"/>
        </w:rPr>
      </w:pPr>
      <w:r>
        <w:rPr>
          <w:rFonts w:ascii="Book Antiqua" w:hAnsi="Book Antiqua"/>
        </w:rPr>
        <w:tab/>
      </w:r>
      <w:r w:rsidR="00043F65" w:rsidRPr="0075288E">
        <w:rPr>
          <w:rFonts w:ascii="Book Antiqua" w:hAnsi="Book Antiqua"/>
        </w:rPr>
        <w:t>La OPAL presentó su</w:t>
      </w:r>
      <w:r w:rsidR="00CB00B6" w:rsidRPr="0075288E">
        <w:rPr>
          <w:rFonts w:ascii="Book Antiqua" w:hAnsi="Book Antiqua"/>
        </w:rPr>
        <w:t xml:space="preserve"> </w:t>
      </w:r>
      <w:r w:rsidRPr="0075288E">
        <w:rPr>
          <w:rFonts w:ascii="Book Antiqua" w:hAnsi="Book Antiqua"/>
        </w:rPr>
        <w:t xml:space="preserve">Informe </w:t>
      </w:r>
      <w:r w:rsidR="00CB00B6" w:rsidRPr="0075288E">
        <w:rPr>
          <w:rFonts w:ascii="Book Antiqua" w:hAnsi="Book Antiqua"/>
        </w:rPr>
        <w:t xml:space="preserve">por conducto de su director ejecutivo, Lcdo. </w:t>
      </w:r>
      <w:proofErr w:type="spellStart"/>
      <w:r w:rsidR="00CB00B6" w:rsidRPr="0075288E">
        <w:rPr>
          <w:rFonts w:ascii="Book Antiqua" w:hAnsi="Book Antiqua"/>
        </w:rPr>
        <w:t>Hecrian</w:t>
      </w:r>
      <w:proofErr w:type="spellEnd"/>
      <w:r w:rsidR="00CB00B6" w:rsidRPr="0075288E">
        <w:rPr>
          <w:rFonts w:ascii="Book Antiqua" w:hAnsi="Book Antiqua"/>
        </w:rPr>
        <w:t xml:space="preserve"> D. Martínez</w:t>
      </w:r>
      <w:r w:rsidR="00294B63" w:rsidRPr="0075288E">
        <w:rPr>
          <w:rFonts w:ascii="Book Antiqua" w:hAnsi="Book Antiqua"/>
        </w:rPr>
        <w:t xml:space="preserve"> </w:t>
      </w:r>
      <w:proofErr w:type="spellStart"/>
      <w:r w:rsidR="00294B63" w:rsidRPr="0075288E">
        <w:rPr>
          <w:rFonts w:ascii="Book Antiqua" w:hAnsi="Book Antiqua"/>
        </w:rPr>
        <w:t>Martínez</w:t>
      </w:r>
      <w:proofErr w:type="spellEnd"/>
      <w:r w:rsidR="0075288E">
        <w:rPr>
          <w:rFonts w:ascii="Book Antiqua" w:hAnsi="Book Antiqua"/>
        </w:rPr>
        <w:t>.</w:t>
      </w:r>
      <w:r w:rsidR="00720A95">
        <w:rPr>
          <w:rStyle w:val="FootnoteReference"/>
          <w:rFonts w:ascii="Book Antiqua" w:hAnsi="Book Antiqua"/>
        </w:rPr>
        <w:footnoteReference w:id="1"/>
      </w:r>
      <w:r w:rsidR="0075288E">
        <w:rPr>
          <w:rFonts w:ascii="Book Antiqua" w:hAnsi="Book Antiqua"/>
        </w:rPr>
        <w:t xml:space="preserve"> </w:t>
      </w:r>
      <w:r w:rsidR="00476BB5" w:rsidRPr="0075288E">
        <w:rPr>
          <w:rFonts w:ascii="Book Antiqua" w:hAnsi="Book Antiqua"/>
        </w:rPr>
        <w:t xml:space="preserve">Para elaborar su análisis, la OPAL examinó la estructura de respuesta a emergencias utilizada en los Estados Unidos, particularmente el </w:t>
      </w:r>
      <w:proofErr w:type="spellStart"/>
      <w:r w:rsidR="00476BB5" w:rsidRPr="0075288E">
        <w:rPr>
          <w:rFonts w:ascii="Book Antiqua" w:hAnsi="Book Antiqua"/>
        </w:rPr>
        <w:t>National</w:t>
      </w:r>
      <w:proofErr w:type="spellEnd"/>
      <w:r w:rsidR="00476BB5" w:rsidRPr="0075288E">
        <w:rPr>
          <w:rFonts w:ascii="Book Antiqua" w:hAnsi="Book Antiqua"/>
        </w:rPr>
        <w:t xml:space="preserve"> </w:t>
      </w:r>
      <w:proofErr w:type="spellStart"/>
      <w:r w:rsidR="00476BB5" w:rsidRPr="0075288E">
        <w:rPr>
          <w:rFonts w:ascii="Book Antiqua" w:hAnsi="Book Antiqua"/>
        </w:rPr>
        <w:t>Incident</w:t>
      </w:r>
      <w:proofErr w:type="spellEnd"/>
      <w:r w:rsidR="00476BB5" w:rsidRPr="0075288E">
        <w:rPr>
          <w:rFonts w:ascii="Book Antiqua" w:hAnsi="Book Antiqua"/>
        </w:rPr>
        <w:t xml:space="preserve"> Management </w:t>
      </w:r>
      <w:proofErr w:type="spellStart"/>
      <w:r w:rsidR="00476BB5" w:rsidRPr="0075288E">
        <w:rPr>
          <w:rFonts w:ascii="Book Antiqua" w:hAnsi="Book Antiqua"/>
        </w:rPr>
        <w:t>System</w:t>
      </w:r>
      <w:proofErr w:type="spellEnd"/>
      <w:r w:rsidR="00476BB5" w:rsidRPr="0075288E">
        <w:rPr>
          <w:rFonts w:ascii="Book Antiqua" w:hAnsi="Book Antiqua"/>
        </w:rPr>
        <w:t xml:space="preserve"> (NIMS), los adiestramientos ofrecidos por el Negociado para el Manejo de Emergencias y Administración de Desastres</w:t>
      </w:r>
      <w:r w:rsidR="0075288E">
        <w:rPr>
          <w:rFonts w:ascii="Book Antiqua" w:hAnsi="Book Antiqua"/>
        </w:rPr>
        <w:t xml:space="preserve"> (NMEAD)</w:t>
      </w:r>
      <w:r w:rsidR="00476BB5" w:rsidRPr="0075288E">
        <w:rPr>
          <w:rFonts w:ascii="Book Antiqua" w:hAnsi="Book Antiqua"/>
        </w:rPr>
        <w:t xml:space="preserve">, la legislación vigente sobre incidentes de tiradores activos, los protocolos de manejo de crisis del Departamento de Educación y diversos contratos relacionados con tecnologías de detección de disparos y sistemas de alerta utilizados tanto en Puerto Rico como en otras jurisdicciones. Asimismo, utilizó como referencia los costos de sensores sísmicos </w:t>
      </w:r>
      <w:r w:rsidR="00476BB5" w:rsidRPr="0075288E">
        <w:rPr>
          <w:rFonts w:ascii="Book Antiqua" w:hAnsi="Book Antiqua"/>
        </w:rPr>
        <w:lastRenderedPageBreak/>
        <w:t xml:space="preserve">informados por la Red Sísmica de Puerto Rico y el costo promedio de sistemas de alerta para tiradores activos instalados en un distrito escolar del estado de Illinois. </w:t>
      </w:r>
    </w:p>
    <w:p w14:paraId="2B215C18" w14:textId="16491601" w:rsidR="00476BB5" w:rsidRPr="0075288E" w:rsidRDefault="00476BB5" w:rsidP="0075288E">
      <w:pPr>
        <w:spacing w:after="240"/>
        <w:ind w:firstLine="720"/>
        <w:jc w:val="both"/>
        <w:rPr>
          <w:rFonts w:ascii="Book Antiqua" w:hAnsi="Book Antiqua"/>
        </w:rPr>
      </w:pPr>
      <w:r w:rsidRPr="0075288E">
        <w:rPr>
          <w:rFonts w:ascii="Book Antiqua" w:hAnsi="Book Antiqua"/>
        </w:rPr>
        <w:t xml:space="preserve">El informe señala que el Departamento de Educación cuenta con 854 escuelas, mientras que la Autoridad de Edificios Públicos administra 679 propiedades, de las cuales 394 corresponden a escuelas del sistema público. Con base en los costos estimados por la Red Sísmica de Puerto Rico, la instalación de al menos un detector sísmico en las escuelas y demás propiedades de la Autoridad de Edificios Públicos representaría un costo inicial aproximado de entre </w:t>
      </w:r>
      <w:r w:rsidRPr="0075288E">
        <w:rPr>
          <w:rFonts w:ascii="Book Antiqua" w:hAnsi="Book Antiqua"/>
          <w:b/>
          <w:bCs/>
        </w:rPr>
        <w:t>$170,850 y $341,700</w:t>
      </w:r>
      <w:r w:rsidRPr="0075288E">
        <w:rPr>
          <w:rFonts w:ascii="Book Antiqua" w:hAnsi="Book Antiqua"/>
        </w:rPr>
        <w:t xml:space="preserve">, sin incluir gastos de instalación, mantenimiento o licencias. </w:t>
      </w:r>
    </w:p>
    <w:p w14:paraId="39D6CE26" w14:textId="173693E5" w:rsidR="00476BB5" w:rsidRPr="0075288E" w:rsidRDefault="00476BB5" w:rsidP="0075288E">
      <w:pPr>
        <w:spacing w:after="240"/>
        <w:ind w:firstLine="720"/>
        <w:jc w:val="both"/>
        <w:rPr>
          <w:rFonts w:ascii="Book Antiqua" w:hAnsi="Book Antiqua"/>
        </w:rPr>
      </w:pPr>
      <w:r w:rsidRPr="0075288E">
        <w:rPr>
          <w:rFonts w:ascii="Book Antiqua" w:hAnsi="Book Antiqua"/>
        </w:rPr>
        <w:t xml:space="preserve">En cuanto a los sistemas de alerta para tiradores activos, la OPAL utilizó como referencia un costo promedio de </w:t>
      </w:r>
      <w:r w:rsidRPr="0075288E">
        <w:rPr>
          <w:rFonts w:ascii="Book Antiqua" w:hAnsi="Book Antiqua"/>
          <w:b/>
          <w:bCs/>
        </w:rPr>
        <w:t>$93,557.67</w:t>
      </w:r>
      <w:r w:rsidRPr="0075288E">
        <w:rPr>
          <w:rFonts w:ascii="Book Antiqua" w:hAnsi="Book Antiqua"/>
        </w:rPr>
        <w:t xml:space="preserve"> por instalación, basado en un contrato suscrito por un distrito escolar en Illinois. De aplicarse ese costo al sistema público de enseñanza de Puerto Rico, la instalación de estos sistemas podría representar aproximadamente </w:t>
      </w:r>
      <w:r w:rsidRPr="0075288E">
        <w:rPr>
          <w:rFonts w:ascii="Book Antiqua" w:hAnsi="Book Antiqua"/>
          <w:b/>
          <w:bCs/>
        </w:rPr>
        <w:t>$36.8 millones</w:t>
      </w:r>
      <w:r w:rsidRPr="0075288E">
        <w:rPr>
          <w:rFonts w:ascii="Book Antiqua" w:hAnsi="Book Antiqua"/>
        </w:rPr>
        <w:t xml:space="preserve"> para las escuelas del Departamento de Educación y alrededor de </w:t>
      </w:r>
      <w:r w:rsidRPr="0075288E">
        <w:rPr>
          <w:rFonts w:ascii="Book Antiqua" w:hAnsi="Book Antiqua"/>
          <w:b/>
          <w:bCs/>
        </w:rPr>
        <w:t>$26.6 millones</w:t>
      </w:r>
      <w:r w:rsidRPr="0075288E">
        <w:rPr>
          <w:rFonts w:ascii="Book Antiqua" w:hAnsi="Book Antiqua"/>
        </w:rPr>
        <w:t xml:space="preserve"> adicionales para las demás propiedades administradas por la Autoridad de Edificios Públicos. </w:t>
      </w:r>
      <w:r w:rsidR="00C824B7" w:rsidRPr="001848F6">
        <w:rPr>
          <w:rFonts w:ascii="Book Antiqua" w:hAnsi="Book Antiqua"/>
        </w:rPr>
        <w:t xml:space="preserve">La </w:t>
      </w:r>
      <w:r w:rsidR="00C824B7" w:rsidRPr="008E5AB1">
        <w:rPr>
          <w:rFonts w:ascii="Book Antiqua" w:hAnsi="Book Antiqua"/>
          <w:b/>
          <w:bCs/>
        </w:rPr>
        <w:t>suma combinada inicial</w:t>
      </w:r>
      <w:r w:rsidR="00C824B7" w:rsidRPr="001848F6">
        <w:rPr>
          <w:rFonts w:ascii="Book Antiqua" w:hAnsi="Book Antiqua"/>
        </w:rPr>
        <w:t xml:space="preserve"> para atender únicamente a estas dos dependencias esenciales </w:t>
      </w:r>
      <w:r w:rsidR="00C824B7" w:rsidRPr="008E5AB1">
        <w:rPr>
          <w:rFonts w:ascii="Book Antiqua" w:hAnsi="Book Antiqua"/>
          <w:b/>
          <w:bCs/>
        </w:rPr>
        <w:t>superaría los $63 millones</w:t>
      </w:r>
      <w:r w:rsidR="00C824B7" w:rsidRPr="001848F6">
        <w:rPr>
          <w:rFonts w:ascii="Book Antiqua" w:hAnsi="Book Antiqua"/>
        </w:rPr>
        <w:t>.</w:t>
      </w:r>
    </w:p>
    <w:p w14:paraId="6B6766EC" w14:textId="47E18394" w:rsidR="001848F6" w:rsidRPr="0098788C" w:rsidRDefault="00476BB5" w:rsidP="00EB1AD9">
      <w:pPr>
        <w:spacing w:after="240"/>
        <w:ind w:firstLine="720"/>
        <w:jc w:val="both"/>
        <w:rPr>
          <w:rFonts w:ascii="Book Antiqua" w:hAnsi="Book Antiqua"/>
        </w:rPr>
      </w:pPr>
      <w:r w:rsidRPr="0075288E">
        <w:rPr>
          <w:rFonts w:ascii="Book Antiqua" w:hAnsi="Book Antiqua"/>
        </w:rPr>
        <w:t>Finalmente, la OPAL concluye que el costo definitivo de la medida dependerá de la cantidad de dispositivos sísmicos y sistemas de alerta para tiradores activos que finalmente se adquieran e instalen, así como de las especificaciones técnicas que establezca la reglamentación y de las necesidades operacionales de las agencias gubernamentales responsables de su implantación.</w:t>
      </w:r>
    </w:p>
    <w:p w14:paraId="6EC6B0D0" w14:textId="263BF6F4" w:rsidR="000F11E4" w:rsidRDefault="000F11E4" w:rsidP="000F11E4">
      <w:pPr>
        <w:spacing w:after="240"/>
        <w:jc w:val="center"/>
        <w:rPr>
          <w:rFonts w:ascii="Book Antiqua" w:eastAsia="Book Antiqua" w:hAnsi="Book Antiqua" w:cs="Book Antiqua"/>
          <w:b/>
          <w:bCs/>
          <w:color w:val="000000" w:themeColor="text1"/>
          <w:spacing w:val="12"/>
          <w:szCs w:val="24"/>
        </w:rPr>
      </w:pPr>
      <w:r>
        <w:rPr>
          <w:rFonts w:ascii="Book Antiqua" w:eastAsia="Book Antiqua" w:hAnsi="Book Antiqua" w:cs="Book Antiqua"/>
          <w:b/>
          <w:bCs/>
          <w:color w:val="000000" w:themeColor="text1"/>
          <w:spacing w:val="12"/>
          <w:szCs w:val="24"/>
        </w:rPr>
        <w:t>IMPACTO FISCAL</w:t>
      </w:r>
    </w:p>
    <w:p w14:paraId="667C27DA" w14:textId="652A6529" w:rsidR="007A6081" w:rsidRDefault="00F216F3" w:rsidP="00481CBA">
      <w:pPr>
        <w:spacing w:after="240"/>
        <w:ind w:firstLine="720"/>
        <w:jc w:val="both"/>
        <w:rPr>
          <w:rFonts w:ascii="Book Antiqua" w:hAnsi="Book Antiqua"/>
        </w:rPr>
      </w:pPr>
      <w:r w:rsidRPr="00F216F3">
        <w:rPr>
          <w:rFonts w:ascii="Book Antiqua" w:hAnsi="Book Antiqua"/>
        </w:rPr>
        <w:t xml:space="preserve">En cumplimiento con las normas de responsabilidad fiscal aplicables, esta Comisión de Seguridad Pública establece que la aprobación del P. de la C. </w:t>
      </w:r>
      <w:r w:rsidR="00806822">
        <w:rPr>
          <w:rFonts w:ascii="Book Antiqua" w:hAnsi="Book Antiqua"/>
        </w:rPr>
        <w:t>962</w:t>
      </w:r>
      <w:r w:rsidRPr="00F216F3">
        <w:rPr>
          <w:rFonts w:ascii="Book Antiqua" w:hAnsi="Book Antiqua"/>
        </w:rPr>
        <w:t xml:space="preserve"> </w:t>
      </w:r>
      <w:r w:rsidR="00882707">
        <w:rPr>
          <w:rFonts w:ascii="Book Antiqua" w:hAnsi="Book Antiqua"/>
        </w:rPr>
        <w:t xml:space="preserve">tierne un impacto fiscal sustancial que requiere </w:t>
      </w:r>
      <w:r w:rsidRPr="00F216F3">
        <w:rPr>
          <w:rFonts w:ascii="Book Antiqua" w:hAnsi="Book Antiqua"/>
        </w:rPr>
        <w:t>la asignación de fondos públicos adicionales no presupuestados</w:t>
      </w:r>
      <w:r w:rsidR="00882707">
        <w:rPr>
          <w:rFonts w:ascii="Book Antiqua" w:hAnsi="Book Antiqua"/>
        </w:rPr>
        <w:t xml:space="preserve"> en el Presupuesto del Gobierno de Puerto Rico.</w:t>
      </w:r>
      <w:r w:rsidR="00762930">
        <w:rPr>
          <w:rFonts w:ascii="Book Antiqua" w:hAnsi="Book Antiqua"/>
        </w:rPr>
        <w:t xml:space="preserve"> La medida no identifica fuentes de pago e impacta</w:t>
      </w:r>
      <w:r w:rsidR="006B0979">
        <w:rPr>
          <w:rFonts w:ascii="Book Antiqua" w:hAnsi="Book Antiqua"/>
        </w:rPr>
        <w:t>ría</w:t>
      </w:r>
      <w:r w:rsidR="00762930">
        <w:rPr>
          <w:rFonts w:ascii="Book Antiqua" w:hAnsi="Book Antiqua"/>
        </w:rPr>
        <w:t xml:space="preserve"> sustancialmente el Plan Fiscal</w:t>
      </w:r>
      <w:r w:rsidR="006B0979">
        <w:rPr>
          <w:rFonts w:ascii="Book Antiqua" w:hAnsi="Book Antiqua"/>
        </w:rPr>
        <w:t>.</w:t>
      </w:r>
    </w:p>
    <w:p w14:paraId="528F8908" w14:textId="49F29686"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t>CONCLUSIÓN</w:t>
      </w:r>
      <w:r w:rsidR="00F0476A" w:rsidRPr="005A6966">
        <w:rPr>
          <w:rFonts w:ascii="Book Antiqua" w:eastAsia="Book Antiqua" w:hAnsi="Book Antiqua" w:cs="Book Antiqua"/>
          <w:b/>
          <w:bCs/>
          <w:color w:val="000000" w:themeColor="text1"/>
          <w:spacing w:val="12"/>
          <w:szCs w:val="24"/>
        </w:rPr>
        <w:t xml:space="preserve"> Y RECOMENDAC</w:t>
      </w:r>
      <w:r w:rsidR="001711E6" w:rsidRPr="005A6966">
        <w:rPr>
          <w:rFonts w:ascii="Book Antiqua" w:eastAsia="Book Antiqua" w:hAnsi="Book Antiqua" w:cs="Book Antiqua"/>
          <w:b/>
          <w:bCs/>
          <w:color w:val="000000" w:themeColor="text1"/>
          <w:spacing w:val="12"/>
          <w:szCs w:val="24"/>
        </w:rPr>
        <w:t>I</w:t>
      </w:r>
      <w:r w:rsidR="00F0476A" w:rsidRPr="005A6966">
        <w:rPr>
          <w:rFonts w:ascii="Book Antiqua" w:eastAsia="Book Antiqua" w:hAnsi="Book Antiqua" w:cs="Book Antiqua"/>
          <w:b/>
          <w:bCs/>
          <w:color w:val="000000" w:themeColor="text1"/>
          <w:spacing w:val="12"/>
          <w:szCs w:val="24"/>
        </w:rPr>
        <w:t>ÓN</w:t>
      </w:r>
    </w:p>
    <w:p w14:paraId="2604B70C" w14:textId="0DA5F4CE" w:rsidR="009920CB" w:rsidRDefault="003E23C0" w:rsidP="000627A5">
      <w:pPr>
        <w:spacing w:after="240"/>
        <w:ind w:firstLine="720"/>
        <w:jc w:val="both"/>
        <w:rPr>
          <w:rFonts w:ascii="Book Antiqua" w:eastAsia="Book Antiqua" w:hAnsi="Book Antiqua" w:cs="Book Antiqua"/>
          <w:bCs/>
          <w:color w:val="000000" w:themeColor="text1"/>
          <w:szCs w:val="24"/>
        </w:rPr>
      </w:pPr>
      <w:r w:rsidRPr="005A6966">
        <w:rPr>
          <w:rFonts w:ascii="Book Antiqua" w:eastAsia="Book Antiqua" w:hAnsi="Book Antiqua" w:cs="Book Antiqua"/>
          <w:bCs/>
          <w:color w:val="000000" w:themeColor="text1"/>
          <w:szCs w:val="24"/>
        </w:rPr>
        <w:t>E</w:t>
      </w:r>
      <w:r w:rsidR="004A4A9F" w:rsidRPr="005A6966">
        <w:rPr>
          <w:rFonts w:ascii="Book Antiqua" w:eastAsia="Book Antiqua" w:hAnsi="Book Antiqua" w:cs="Book Antiqua"/>
          <w:bCs/>
          <w:color w:val="000000" w:themeColor="text1"/>
          <w:szCs w:val="24"/>
        </w:rPr>
        <w:t>sta Comisión</w:t>
      </w:r>
      <w:r w:rsidR="00291B0E" w:rsidRPr="005A6966">
        <w:rPr>
          <w:rFonts w:ascii="Book Antiqua" w:eastAsia="Book Antiqua" w:hAnsi="Book Antiqua" w:cs="Book Antiqua"/>
          <w:bCs/>
          <w:color w:val="000000" w:themeColor="text1"/>
          <w:szCs w:val="24"/>
        </w:rPr>
        <w:t xml:space="preserve"> </w:t>
      </w:r>
      <w:r w:rsidR="005C1799" w:rsidRPr="005A6966">
        <w:rPr>
          <w:rFonts w:ascii="Book Antiqua" w:eastAsia="Book Antiqua" w:hAnsi="Book Antiqua" w:cs="Book Antiqua"/>
          <w:bCs/>
          <w:color w:val="000000" w:themeColor="text1"/>
          <w:szCs w:val="24"/>
        </w:rPr>
        <w:t xml:space="preserve">de Seguridad Pública </w:t>
      </w:r>
      <w:r w:rsidR="00A73ABF" w:rsidRPr="00A73ABF">
        <w:rPr>
          <w:rFonts w:ascii="Book Antiqua" w:eastAsia="Book Antiqua" w:hAnsi="Book Antiqua" w:cs="Book Antiqua"/>
          <w:bCs/>
          <w:color w:val="000000" w:themeColor="text1"/>
          <w:szCs w:val="24"/>
        </w:rPr>
        <w:t>coincide plenamente en que el Proyecto de la Cámara 962 persigue una finalidad sumamente loable, meritoria y noble al intentar salvaguardar la vida humana frente a desastres naturales o incidentes provocados de violencia armada. Sin embargo, la responsabilidad legislativa y constitucional nos obliga a evaluar con cautela la viabilidad económica de las propuestas para no desestabilizar las finanzas públicas. El análisis fiscal formal emitido por la Oficina de Presupuesto de la Asamblea Legislativa confirma que el impacto presupuestario de esta medida es masivo y pone en riesgo la estabilidad del fondo general.</w:t>
      </w:r>
    </w:p>
    <w:p w14:paraId="12BCCE55" w14:textId="08F513DC" w:rsidR="00A73ABF" w:rsidRDefault="00B10A0E" w:rsidP="00817CD9">
      <w:pPr>
        <w:spacing w:after="240"/>
        <w:ind w:firstLine="720"/>
        <w:jc w:val="both"/>
        <w:rPr>
          <w:rFonts w:ascii="Book Antiqua" w:eastAsia="Book Antiqua" w:hAnsi="Book Antiqua" w:cs="Book Antiqua"/>
          <w:bCs/>
          <w:color w:val="000000" w:themeColor="text1"/>
          <w:szCs w:val="24"/>
        </w:rPr>
      </w:pPr>
      <w:r w:rsidRPr="00B10A0E">
        <w:rPr>
          <w:rFonts w:ascii="Book Antiqua" w:eastAsia="Book Antiqua" w:hAnsi="Book Antiqua" w:cs="Book Antiqua"/>
          <w:bCs/>
          <w:color w:val="000000" w:themeColor="text1"/>
          <w:szCs w:val="24"/>
        </w:rPr>
        <w:lastRenderedPageBreak/>
        <w:t>Aprobar una ley de esta magnitud sin el debido andamiaje financiero y técnico resultaría en un estatuto inaplicable que solo generaría frustración institucional, además de penalidades injustas para las propias agencias encargadas de velar por la seguridad pública en nuestra isla. Por otra parte, esta Comisión destaca con firmeza que, en el supuesto de que en el futuro se diseñe una acción gubernamental o legislativa económicamente viable para dotar a los edificios públicos con las alertas de emergencia pertinentes, la misma deberá asegurar estrictamente el cumplimiento con la interoperabilidad de los sistemas a instalarse en todo el Gobierno de Puerto Rico. Es de carácter imperativo evitar la proliferación de tecnologías aisladas o incompatibles, garantizando que cualquier alarma o botón de pánico esté integrado de forma centralizada y unificada con las plataformas de comunicación interna del Departamento de Seguridad Pública y la Policía de Puerto Rico.</w:t>
      </w:r>
    </w:p>
    <w:p w14:paraId="1F24DE0B" w14:textId="54A50AF0" w:rsidR="008124A8" w:rsidRDefault="008124A8" w:rsidP="00817CD9">
      <w:pPr>
        <w:spacing w:after="240"/>
        <w:ind w:firstLine="720"/>
        <w:jc w:val="both"/>
        <w:rPr>
          <w:rFonts w:ascii="Book Antiqua" w:eastAsia="Book Antiqua" w:hAnsi="Book Antiqua" w:cs="Book Antiqua"/>
          <w:bCs/>
          <w:color w:val="000000" w:themeColor="text1"/>
          <w:szCs w:val="24"/>
        </w:rPr>
      </w:pPr>
      <w:r>
        <w:rPr>
          <w:rFonts w:ascii="Book Antiqua" w:eastAsia="Book Antiqua" w:hAnsi="Book Antiqua" w:cs="Book Antiqua"/>
          <w:bCs/>
          <w:color w:val="000000" w:themeColor="text1"/>
          <w:szCs w:val="24"/>
        </w:rPr>
        <w:t xml:space="preserve">No podemos pasar por alto la experiencia que han vivido </w:t>
      </w:r>
      <w:r w:rsidR="00E567C2">
        <w:rPr>
          <w:rFonts w:ascii="Book Antiqua" w:eastAsia="Book Antiqua" w:hAnsi="Book Antiqua" w:cs="Book Antiqua"/>
          <w:bCs/>
          <w:color w:val="000000" w:themeColor="text1"/>
          <w:szCs w:val="24"/>
        </w:rPr>
        <w:t xml:space="preserve">algunos </w:t>
      </w:r>
      <w:r>
        <w:rPr>
          <w:rFonts w:ascii="Book Antiqua" w:eastAsia="Book Antiqua" w:hAnsi="Book Antiqua" w:cs="Book Antiqua"/>
          <w:bCs/>
          <w:color w:val="000000" w:themeColor="text1"/>
          <w:szCs w:val="24"/>
        </w:rPr>
        <w:t>municipios y</w:t>
      </w:r>
      <w:r w:rsidR="0012605D">
        <w:rPr>
          <w:rFonts w:ascii="Book Antiqua" w:eastAsia="Book Antiqua" w:hAnsi="Book Antiqua" w:cs="Book Antiqua"/>
          <w:bCs/>
          <w:color w:val="000000" w:themeColor="text1"/>
          <w:szCs w:val="24"/>
        </w:rPr>
        <w:t xml:space="preserve"> agencias gubernamentales los cuales, luego de realizar inversiones sustanciales de fondos públicos para la adquisición de sistemas de cámaras de vigilancia, al intentar suscribir acuerdos con el D</w:t>
      </w:r>
      <w:r w:rsidR="00F34CCE">
        <w:rPr>
          <w:rFonts w:ascii="Book Antiqua" w:eastAsia="Book Antiqua" w:hAnsi="Book Antiqua" w:cs="Book Antiqua"/>
          <w:bCs/>
          <w:color w:val="000000" w:themeColor="text1"/>
          <w:szCs w:val="24"/>
        </w:rPr>
        <w:t>epartamento de Seguridad Pública o con la Policía de Puerto Rico para la interconexión de sistemas, ha resultado que los mismos no son compatibles</w:t>
      </w:r>
      <w:r w:rsidR="007A76AC">
        <w:rPr>
          <w:rFonts w:ascii="Book Antiqua" w:eastAsia="Book Antiqua" w:hAnsi="Book Antiqua" w:cs="Book Antiqua"/>
          <w:bCs/>
          <w:color w:val="000000" w:themeColor="text1"/>
          <w:szCs w:val="24"/>
        </w:rPr>
        <w:t>. En el caso de los sistemas de tecnología, no solo deben cumplir con las necesidades del Gobierno de Puerto Rico, sino con las exigencias o limitaciones que impone el gobierno federal en cuanto a tecnología foránea</w:t>
      </w:r>
      <w:r w:rsidR="009F6F43">
        <w:rPr>
          <w:rFonts w:ascii="Book Antiqua" w:eastAsia="Book Antiqua" w:hAnsi="Book Antiqua" w:cs="Book Antiqua"/>
          <w:bCs/>
          <w:color w:val="000000" w:themeColor="text1"/>
          <w:szCs w:val="24"/>
        </w:rPr>
        <w:t>.</w:t>
      </w:r>
      <w:r w:rsidR="00E23220">
        <w:rPr>
          <w:rFonts w:ascii="Book Antiqua" w:eastAsia="Book Antiqua" w:hAnsi="Book Antiqua" w:cs="Book Antiqua"/>
          <w:bCs/>
          <w:color w:val="000000" w:themeColor="text1"/>
          <w:szCs w:val="24"/>
        </w:rPr>
        <w:t xml:space="preserve"> Por ello, se requiere un </w:t>
      </w:r>
      <w:r w:rsidR="005001BD">
        <w:rPr>
          <w:rFonts w:ascii="Book Antiqua" w:eastAsia="Book Antiqua" w:hAnsi="Book Antiqua" w:cs="Book Antiqua"/>
          <w:bCs/>
          <w:color w:val="000000" w:themeColor="text1"/>
          <w:szCs w:val="24"/>
        </w:rPr>
        <w:t>plan integral del Estado para garantizar la inter</w:t>
      </w:r>
      <w:r w:rsidR="002B7A7A">
        <w:rPr>
          <w:rFonts w:ascii="Book Antiqua" w:eastAsia="Book Antiqua" w:hAnsi="Book Antiqua" w:cs="Book Antiqua"/>
          <w:bCs/>
          <w:color w:val="000000" w:themeColor="text1"/>
          <w:szCs w:val="24"/>
        </w:rPr>
        <w:t>operabilidad de los sistemas.</w:t>
      </w:r>
    </w:p>
    <w:p w14:paraId="53192437" w14:textId="3E1F9D34" w:rsidR="00EB1AD9" w:rsidRPr="007F479B" w:rsidRDefault="00EB1AD9" w:rsidP="007F479B">
      <w:pPr>
        <w:spacing w:after="240"/>
        <w:ind w:firstLine="720"/>
        <w:jc w:val="both"/>
        <w:rPr>
          <w:rFonts w:ascii="Book Antiqua" w:hAnsi="Book Antiqua"/>
        </w:rPr>
      </w:pPr>
      <w:r w:rsidRPr="001848F6">
        <w:rPr>
          <w:rFonts w:ascii="Book Antiqua" w:hAnsi="Book Antiqua"/>
        </w:rPr>
        <w:t>E</w:t>
      </w:r>
      <w:r w:rsidR="00784557">
        <w:rPr>
          <w:rFonts w:ascii="Book Antiqua" w:hAnsi="Book Antiqua"/>
        </w:rPr>
        <w:t>n síntesis, aún cuando la finalidad del</w:t>
      </w:r>
      <w:r w:rsidRPr="001848F6">
        <w:rPr>
          <w:rFonts w:ascii="Book Antiqua" w:hAnsi="Book Antiqua"/>
        </w:rPr>
        <w:t xml:space="preserve"> proyecto de ley</w:t>
      </w:r>
      <w:r w:rsidR="00784557">
        <w:rPr>
          <w:rFonts w:ascii="Book Antiqua" w:hAnsi="Book Antiqua"/>
        </w:rPr>
        <w:t xml:space="preserve"> es loable, el mismo</w:t>
      </w:r>
      <w:r w:rsidRPr="001848F6">
        <w:rPr>
          <w:rFonts w:ascii="Book Antiqua" w:hAnsi="Book Antiqua"/>
        </w:rPr>
        <w:t xml:space="preserve"> adolece de un defecto presupuestario fundamental, ya que no identifica, no detalla ni provee de forma clara las fuentes de pago ni las asignaciones presupuestarias necesarias para sufragar esta millonaria inversión inicial y recurrente. Obligar a las instrumentalidades públicas a asumir estos gastos masivos de adquisición, integración tecnológica y licencias dentro de sus presupuestos ordinarios provocaría un disloque administrativo y fiscal de proporciones mayores.</w:t>
      </w:r>
    </w:p>
    <w:p w14:paraId="21AF9ACD" w14:textId="3EF8E998" w:rsidR="002349BF" w:rsidRPr="00817CD9" w:rsidRDefault="00FB0AB4" w:rsidP="00817CD9">
      <w:pPr>
        <w:spacing w:after="240"/>
        <w:ind w:firstLine="720"/>
        <w:jc w:val="both"/>
        <w:rPr>
          <w:rFonts w:ascii="Book Antiqua" w:eastAsia="Book Antiqua" w:hAnsi="Book Antiqua" w:cs="Book Antiqua"/>
          <w:bCs/>
          <w:color w:val="000000" w:themeColor="text1"/>
          <w:szCs w:val="24"/>
        </w:rPr>
      </w:pPr>
      <w:r w:rsidRPr="005A6966">
        <w:rPr>
          <w:rFonts w:ascii="Book Antiqua" w:eastAsia="Book Antiqua" w:hAnsi="Book Antiqua" w:cs="Book Antiqua"/>
          <w:bCs/>
          <w:color w:val="000000" w:themeColor="text1"/>
          <w:szCs w:val="24"/>
          <w:lang w:val="es-ES"/>
        </w:rPr>
        <w:t xml:space="preserve">Por los fundamentos antes expuestos, la Comisión de Seguridad Pública de la Cámara de Representantes, </w:t>
      </w:r>
      <w:r w:rsidRPr="005A6966">
        <w:rPr>
          <w:rFonts w:ascii="Book Antiqua" w:eastAsia="Book Antiqua" w:hAnsi="Book Antiqua" w:cs="Book Antiqua"/>
          <w:bCs/>
          <w:color w:val="000000" w:themeColor="text1"/>
          <w:szCs w:val="24"/>
        </w:rPr>
        <w:t xml:space="preserve">luego del estudio y consideración correspondiente, </w:t>
      </w:r>
      <w:r w:rsidR="004F7D6A">
        <w:rPr>
          <w:rFonts w:ascii="Book Antiqua" w:eastAsia="Book Antiqua" w:hAnsi="Book Antiqua" w:cs="Book Antiqua"/>
          <w:bCs/>
          <w:color w:val="000000" w:themeColor="text1"/>
          <w:szCs w:val="24"/>
        </w:rPr>
        <w:t xml:space="preserve">no </w:t>
      </w:r>
      <w:r w:rsidR="004F7D6A" w:rsidRPr="005A6966">
        <w:rPr>
          <w:rFonts w:ascii="Book Antiqua" w:eastAsia="Book Antiqua" w:hAnsi="Book Antiqua" w:cs="Book Antiqua"/>
          <w:bCs/>
          <w:color w:val="000000" w:themeColor="text1"/>
          <w:szCs w:val="24"/>
        </w:rPr>
        <w:t>recom</w:t>
      </w:r>
      <w:r w:rsidR="004F7D6A">
        <w:rPr>
          <w:rFonts w:ascii="Book Antiqua" w:eastAsia="Book Antiqua" w:hAnsi="Book Antiqua" w:cs="Book Antiqua"/>
          <w:bCs/>
          <w:color w:val="000000" w:themeColor="text1"/>
          <w:szCs w:val="24"/>
        </w:rPr>
        <w:t>ienda</w:t>
      </w:r>
      <w:r w:rsidR="004F7D6A" w:rsidRPr="005A6966">
        <w:rPr>
          <w:rFonts w:ascii="Book Antiqua" w:eastAsia="Book Antiqua" w:hAnsi="Book Antiqua" w:cs="Book Antiqua"/>
          <w:bCs/>
          <w:color w:val="000000" w:themeColor="text1"/>
          <w:szCs w:val="24"/>
        </w:rPr>
        <w:t xml:space="preserve"> la aprobación del </w:t>
      </w:r>
      <w:r w:rsidR="004F7D6A" w:rsidRPr="00B65280">
        <w:rPr>
          <w:rFonts w:ascii="Book Antiqua" w:eastAsia="Book Antiqua" w:hAnsi="Book Antiqua" w:cs="Book Antiqua"/>
          <w:b/>
          <w:color w:val="000000" w:themeColor="text1"/>
          <w:szCs w:val="24"/>
        </w:rPr>
        <w:t xml:space="preserve">Proyecto de la Cámara </w:t>
      </w:r>
      <w:r w:rsidR="004F7D6A">
        <w:rPr>
          <w:rFonts w:ascii="Book Antiqua" w:eastAsia="Book Antiqua" w:hAnsi="Book Antiqua" w:cs="Book Antiqua"/>
          <w:b/>
          <w:color w:val="000000" w:themeColor="text1"/>
          <w:szCs w:val="24"/>
        </w:rPr>
        <w:t>962</w:t>
      </w:r>
      <w:r w:rsidR="007D6448">
        <w:rPr>
          <w:rFonts w:ascii="Book Antiqua" w:eastAsia="Book Antiqua" w:hAnsi="Book Antiqua" w:cs="Book Antiqua"/>
          <w:b/>
          <w:color w:val="000000" w:themeColor="text1"/>
          <w:szCs w:val="24"/>
        </w:rPr>
        <w:t>,</w:t>
      </w:r>
      <w:r w:rsidR="004F7D6A">
        <w:rPr>
          <w:rFonts w:ascii="Book Antiqua" w:eastAsia="Book Antiqua" w:hAnsi="Book Antiqua" w:cs="Book Antiqua"/>
          <w:b/>
          <w:color w:val="000000" w:themeColor="text1"/>
          <w:szCs w:val="24"/>
        </w:rPr>
        <w:t xml:space="preserve"> </w:t>
      </w:r>
      <w:r w:rsidR="007D6448">
        <w:rPr>
          <w:rFonts w:ascii="Book Antiqua" w:eastAsia="Book Antiqua" w:hAnsi="Book Antiqua" w:cs="Book Antiqua"/>
          <w:bCs/>
          <w:color w:val="000000" w:themeColor="text1"/>
          <w:szCs w:val="24"/>
        </w:rPr>
        <w:t>y somete formalmente este</w:t>
      </w:r>
      <w:r w:rsidRPr="005A6966">
        <w:rPr>
          <w:rFonts w:ascii="Book Antiqua" w:eastAsia="Book Antiqua" w:hAnsi="Book Antiqua" w:cs="Book Antiqua"/>
          <w:bCs/>
          <w:color w:val="000000" w:themeColor="text1"/>
          <w:szCs w:val="24"/>
        </w:rPr>
        <w:t xml:space="preserve"> Informe </w:t>
      </w:r>
      <w:r w:rsidR="0086465A">
        <w:rPr>
          <w:rFonts w:ascii="Book Antiqua" w:eastAsia="Book Antiqua" w:hAnsi="Book Antiqua" w:cs="Book Antiqua"/>
          <w:bCs/>
          <w:color w:val="000000" w:themeColor="text1"/>
          <w:szCs w:val="24"/>
        </w:rPr>
        <w:t>Negat</w:t>
      </w:r>
      <w:r w:rsidRPr="005A6966">
        <w:rPr>
          <w:rFonts w:ascii="Book Antiqua" w:eastAsia="Book Antiqua" w:hAnsi="Book Antiqua" w:cs="Book Antiqua"/>
          <w:bCs/>
          <w:color w:val="000000" w:themeColor="text1"/>
          <w:szCs w:val="24"/>
        </w:rPr>
        <w:t>ivo</w:t>
      </w:r>
      <w:r w:rsidR="000B372A" w:rsidRPr="005A6966">
        <w:rPr>
          <w:rFonts w:ascii="Book Antiqua" w:eastAsia="Book Antiqua" w:hAnsi="Book Antiqua" w:cs="Book Antiqua"/>
          <w:bCs/>
          <w:color w:val="000000" w:themeColor="text1"/>
          <w:szCs w:val="24"/>
          <w:lang w:val="es-ES"/>
        </w:rPr>
        <w:t>.</w:t>
      </w:r>
    </w:p>
    <w:p w14:paraId="3D23C192"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Respetuosamente sometido,</w:t>
      </w:r>
    </w:p>
    <w:p w14:paraId="059E3167" w14:textId="40DB7C20" w:rsidR="00FB0AB4" w:rsidRDefault="00FB0AB4" w:rsidP="002349BF">
      <w:pPr>
        <w:pStyle w:val="NoSpacing"/>
        <w:rPr>
          <w:rFonts w:ascii="Book Antiqua" w:eastAsia="Book Antiqua" w:hAnsi="Book Antiqua" w:cs="Book Antiqua"/>
          <w:bCs/>
          <w:color w:val="000000" w:themeColor="text1"/>
          <w:lang w:val="es-ES"/>
        </w:rPr>
      </w:pPr>
    </w:p>
    <w:p w14:paraId="6C818162" w14:textId="77777777" w:rsidR="002349BF" w:rsidRDefault="002349BF" w:rsidP="002349BF">
      <w:pPr>
        <w:pStyle w:val="NoSpacing"/>
        <w:rPr>
          <w:rFonts w:ascii="Book Antiqua" w:eastAsia="Book Antiqua" w:hAnsi="Book Antiqua" w:cs="Book Antiqua"/>
          <w:bCs/>
          <w:color w:val="000000" w:themeColor="text1"/>
          <w:lang w:val="es-ES"/>
        </w:rPr>
      </w:pPr>
    </w:p>
    <w:p w14:paraId="68EAC512" w14:textId="77777777" w:rsidR="003C45D4" w:rsidRPr="005A6966" w:rsidRDefault="003C45D4" w:rsidP="002349BF">
      <w:pPr>
        <w:pStyle w:val="NoSpacing"/>
        <w:rPr>
          <w:rFonts w:ascii="Book Antiqua" w:eastAsia="Book Antiqua" w:hAnsi="Book Antiqua" w:cs="Book Antiqua"/>
          <w:bCs/>
          <w:color w:val="000000" w:themeColor="text1"/>
          <w:lang w:val="es-ES"/>
        </w:rPr>
      </w:pPr>
    </w:p>
    <w:p w14:paraId="20D9F777" w14:textId="77777777" w:rsidR="00FB0AB4" w:rsidRPr="005A6966" w:rsidRDefault="00FB0AB4" w:rsidP="002349BF">
      <w:pPr>
        <w:pStyle w:val="NoSpacing"/>
        <w:rPr>
          <w:rFonts w:ascii="Book Antiqua" w:eastAsia="Book Antiqua" w:hAnsi="Book Antiqua" w:cs="Book Antiqua"/>
          <w:b/>
          <w:bCs/>
          <w:color w:val="000000" w:themeColor="text1"/>
          <w:lang w:val="es-ES"/>
        </w:rPr>
      </w:pPr>
      <w:r w:rsidRPr="005A6966">
        <w:rPr>
          <w:rFonts w:ascii="Book Antiqua" w:eastAsia="Book Antiqua" w:hAnsi="Book Antiqua" w:cs="Book Antiqua"/>
          <w:b/>
          <w:bCs/>
          <w:color w:val="000000" w:themeColor="text1"/>
          <w:lang w:val="es-ES"/>
        </w:rPr>
        <w:t>Hon. Félix Pacheco Burgos</w:t>
      </w:r>
    </w:p>
    <w:p w14:paraId="64F748CD"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Presidente</w:t>
      </w:r>
    </w:p>
    <w:p w14:paraId="48961C1A" w14:textId="26EC8DD5" w:rsidR="007B2F4F" w:rsidRPr="005A6966" w:rsidRDefault="00FB0AB4" w:rsidP="008F7748">
      <w:pPr>
        <w:pStyle w:val="NoSpacing"/>
        <w:rPr>
          <w:rFonts w:ascii="Book Antiqua" w:eastAsia="Book Antiqua" w:hAnsi="Book Antiqua" w:cs="Book Antiqua"/>
          <w:color w:val="000000" w:themeColor="text1"/>
        </w:rPr>
      </w:pPr>
      <w:r w:rsidRPr="005A6966">
        <w:rPr>
          <w:rFonts w:ascii="Book Antiqua" w:eastAsia="Book Antiqua" w:hAnsi="Book Antiqua" w:cs="Book Antiqua"/>
          <w:bCs/>
          <w:color w:val="000000" w:themeColor="text1"/>
          <w:lang w:val="es-ES"/>
        </w:rPr>
        <w:t>Comisión de Seguridad Pública</w:t>
      </w:r>
      <w:r w:rsidR="009535ED" w:rsidRPr="005A6966">
        <w:rPr>
          <w:rFonts w:ascii="Book Antiqua" w:eastAsia="Book Antiqua" w:hAnsi="Book Antiqua" w:cs="Book Antiqua"/>
          <w:color w:val="000000" w:themeColor="text1"/>
        </w:rPr>
        <w:t xml:space="preserve"> </w:t>
      </w:r>
    </w:p>
    <w:sectPr w:rsidR="007B2F4F" w:rsidRPr="005A696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88B44" w14:textId="77777777" w:rsidR="003109E5" w:rsidRDefault="003109E5">
      <w:r>
        <w:separator/>
      </w:r>
    </w:p>
  </w:endnote>
  <w:endnote w:type="continuationSeparator" w:id="0">
    <w:p w14:paraId="0E92586F" w14:textId="77777777" w:rsidR="003109E5" w:rsidRDefault="00310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8656E" w14:textId="77777777" w:rsidR="003109E5" w:rsidRDefault="003109E5">
      <w:r>
        <w:separator/>
      </w:r>
    </w:p>
  </w:footnote>
  <w:footnote w:type="continuationSeparator" w:id="0">
    <w:p w14:paraId="0A371EBE" w14:textId="77777777" w:rsidR="003109E5" w:rsidRDefault="003109E5">
      <w:r>
        <w:continuationSeparator/>
      </w:r>
    </w:p>
  </w:footnote>
  <w:footnote w:id="1">
    <w:p w14:paraId="00162E28" w14:textId="1B96C294" w:rsidR="00720A95" w:rsidRDefault="00720A95">
      <w:pPr>
        <w:pStyle w:val="FootnoteText"/>
        <w:rPr>
          <w:rFonts w:ascii="Book Antiqua" w:hAnsi="Book Antiqua"/>
          <w:lang w:val="en-US"/>
        </w:rPr>
      </w:pPr>
      <w:r w:rsidRPr="00065891">
        <w:rPr>
          <w:rStyle w:val="FootnoteReference"/>
          <w:rFonts w:ascii="Book Antiqua" w:hAnsi="Book Antiqua"/>
        </w:rPr>
        <w:footnoteRef/>
      </w:r>
      <w:r w:rsidRPr="00065891">
        <w:rPr>
          <w:rFonts w:ascii="Book Antiqua" w:hAnsi="Book Antiqua"/>
        </w:rPr>
        <w:t xml:space="preserve"> </w:t>
      </w:r>
      <w:proofErr w:type="spellStart"/>
      <w:r w:rsidRPr="00065891">
        <w:rPr>
          <w:rFonts w:ascii="Book Antiqua" w:hAnsi="Book Antiqua"/>
          <w:lang w:val="en-US"/>
        </w:rPr>
        <w:t>Véase</w:t>
      </w:r>
      <w:proofErr w:type="spellEnd"/>
      <w:r w:rsidRPr="00065891">
        <w:rPr>
          <w:rFonts w:ascii="Book Antiqua" w:hAnsi="Book Antiqua"/>
          <w:lang w:val="en-US"/>
        </w:rPr>
        <w:t xml:space="preserve"> Informe 2026</w:t>
      </w:r>
      <w:r w:rsidR="001E59DA" w:rsidRPr="00065891">
        <w:rPr>
          <w:rFonts w:ascii="Book Antiqua" w:hAnsi="Book Antiqua"/>
          <w:lang w:val="en-US"/>
        </w:rPr>
        <w:t>-510 de la OPAL</w:t>
      </w:r>
      <w:r w:rsidR="005F5369">
        <w:rPr>
          <w:rFonts w:ascii="Book Antiqua" w:hAnsi="Book Antiqua"/>
          <w:lang w:val="en-US"/>
        </w:rPr>
        <w:t xml:space="preserve">, </w:t>
      </w:r>
      <w:hyperlink r:id="rId1" w:history="1">
        <w:r w:rsidR="004830C5" w:rsidRPr="00F970A2">
          <w:rPr>
            <w:rStyle w:val="Hyperlink"/>
            <w:rFonts w:ascii="Book Antiqua" w:hAnsi="Book Antiqua"/>
            <w:lang w:val="en-US"/>
          </w:rPr>
          <w:t>https://www.opal.pr.gov/informes/informe-2026-510-pc-962</w:t>
        </w:r>
      </w:hyperlink>
      <w:r w:rsidR="004830C5">
        <w:rPr>
          <w:rFonts w:ascii="Book Antiqua" w:hAnsi="Book Antiqua"/>
          <w:lang w:val="en-US"/>
        </w:rPr>
        <w:t>.</w:t>
      </w:r>
    </w:p>
    <w:p w14:paraId="730114E4" w14:textId="77777777" w:rsidR="004830C5" w:rsidRPr="00065891" w:rsidRDefault="004830C5">
      <w:pPr>
        <w:pStyle w:val="FootnoteText"/>
        <w:rPr>
          <w:rFonts w:ascii="Book Antiqua" w:hAnsi="Book Antiqua"/>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CA09969" w:rsidR="00BA0B5D" w:rsidRPr="00B65280" w:rsidRDefault="00CE54D8" w:rsidP="00CE54D8">
    <w:pPr>
      <w:pBdr>
        <w:bottom w:val="single" w:sz="4" w:space="1" w:color="D9D9D9"/>
      </w:pBdr>
      <w:tabs>
        <w:tab w:val="center" w:pos="4680"/>
        <w:tab w:val="right" w:pos="9360"/>
      </w:tabs>
      <w:rPr>
        <w:rFonts w:ascii="Book Antiqua" w:eastAsia="Calibri" w:hAnsi="Book Antiqua"/>
        <w:b/>
        <w:iCs/>
        <w:sz w:val="22"/>
        <w:szCs w:val="22"/>
      </w:rPr>
    </w:pPr>
    <w:r w:rsidRPr="00B65280">
      <w:rPr>
        <w:rFonts w:ascii="Book Antiqua" w:eastAsia="Calibri" w:hAnsi="Book Antiqua"/>
        <w:b/>
        <w:iCs/>
        <w:sz w:val="22"/>
        <w:szCs w:val="22"/>
      </w:rPr>
      <w:t>Informe</w:t>
    </w:r>
    <w:r w:rsidR="00900740" w:rsidRPr="00B65280">
      <w:rPr>
        <w:rFonts w:ascii="Book Antiqua" w:eastAsia="Calibri" w:hAnsi="Book Antiqua"/>
        <w:b/>
        <w:iCs/>
        <w:sz w:val="22"/>
        <w:szCs w:val="22"/>
      </w:rPr>
      <w:t xml:space="preserve"> </w:t>
    </w:r>
    <w:r w:rsidR="00A73ABF">
      <w:rPr>
        <w:rFonts w:ascii="Book Antiqua" w:eastAsia="Calibri" w:hAnsi="Book Antiqua"/>
        <w:b/>
        <w:iCs/>
        <w:sz w:val="22"/>
        <w:szCs w:val="22"/>
      </w:rPr>
      <w:t>Nega</w:t>
    </w:r>
    <w:r w:rsidR="00900740" w:rsidRPr="00B65280">
      <w:rPr>
        <w:rFonts w:ascii="Book Antiqua" w:eastAsia="Calibri" w:hAnsi="Book Antiqua"/>
        <w:b/>
        <w:iCs/>
        <w:sz w:val="22"/>
        <w:szCs w:val="22"/>
      </w:rPr>
      <w:t>tivo</w:t>
    </w:r>
    <w:r w:rsidRPr="00B65280">
      <w:rPr>
        <w:rFonts w:ascii="Book Antiqua" w:eastAsia="Calibri" w:hAnsi="Book Antiqua"/>
        <w:b/>
        <w:iCs/>
        <w:sz w:val="22"/>
        <w:szCs w:val="22"/>
      </w:rPr>
      <w:t xml:space="preserve"> P. de la C. </w:t>
    </w:r>
    <w:r w:rsidR="00A73ABF">
      <w:rPr>
        <w:rFonts w:ascii="Book Antiqua" w:eastAsia="Calibri" w:hAnsi="Book Antiqua"/>
        <w:b/>
        <w:iCs/>
        <w:sz w:val="22"/>
        <w:szCs w:val="22"/>
      </w:rPr>
      <w:t>962</w:t>
    </w:r>
    <w:r w:rsidRPr="00B65280">
      <w:rPr>
        <w:rFonts w:ascii="Book Antiqua" w:eastAsia="Calibri" w:hAnsi="Book Antiqua"/>
        <w:b/>
        <w:iCs/>
        <w:sz w:val="22"/>
        <w:szCs w:val="22"/>
      </w:rPr>
      <w:tab/>
    </w:r>
    <w:r w:rsidRPr="00B65280">
      <w:rPr>
        <w:rFonts w:ascii="Book Antiqua" w:eastAsia="Calibri" w:hAnsi="Book Antiqua"/>
        <w:b/>
        <w:iCs/>
        <w:sz w:val="22"/>
        <w:szCs w:val="22"/>
      </w:rPr>
      <w:tab/>
      <w:t xml:space="preserve"> Página</w:t>
    </w:r>
    <w:r w:rsidRPr="00B65280">
      <w:rPr>
        <w:rFonts w:ascii="Book Antiqua" w:eastAsia="Calibri" w:hAnsi="Book Antiqua"/>
        <w:sz w:val="22"/>
        <w:szCs w:val="22"/>
      </w:rPr>
      <w:t xml:space="preserve"> | </w:t>
    </w:r>
    <w:r w:rsidRPr="00B65280">
      <w:rPr>
        <w:rFonts w:ascii="Book Antiqua" w:eastAsia="Calibri" w:hAnsi="Book Antiqua"/>
        <w:sz w:val="22"/>
        <w:szCs w:val="22"/>
        <w:lang w:val="en-US"/>
      </w:rPr>
      <w:fldChar w:fldCharType="begin"/>
    </w:r>
    <w:r w:rsidRPr="00B65280">
      <w:rPr>
        <w:rFonts w:ascii="Book Antiqua" w:eastAsia="Calibri" w:hAnsi="Book Antiqua"/>
        <w:sz w:val="22"/>
        <w:szCs w:val="22"/>
      </w:rPr>
      <w:instrText xml:space="preserve"> PAGE   \* MERGEFORMAT </w:instrText>
    </w:r>
    <w:r w:rsidRPr="00B65280">
      <w:rPr>
        <w:rFonts w:ascii="Book Antiqua" w:eastAsia="Calibri" w:hAnsi="Book Antiqua"/>
        <w:sz w:val="22"/>
        <w:szCs w:val="22"/>
        <w:lang w:val="en-US"/>
      </w:rPr>
      <w:fldChar w:fldCharType="separate"/>
    </w:r>
    <w:r w:rsidR="000F67BD" w:rsidRPr="00B65280">
      <w:rPr>
        <w:rFonts w:ascii="Book Antiqua" w:eastAsia="Calibri" w:hAnsi="Book Antiqua"/>
        <w:b/>
        <w:bCs/>
        <w:noProof/>
        <w:sz w:val="22"/>
        <w:szCs w:val="22"/>
      </w:rPr>
      <w:t>5</w:t>
    </w:r>
    <w:r w:rsidRPr="00B65280">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70B"/>
    <w:rsid w:val="00006E0B"/>
    <w:rsid w:val="000142E7"/>
    <w:rsid w:val="00015228"/>
    <w:rsid w:val="00015A4D"/>
    <w:rsid w:val="00015D17"/>
    <w:rsid w:val="00021243"/>
    <w:rsid w:val="00021915"/>
    <w:rsid w:val="000220C0"/>
    <w:rsid w:val="000221CC"/>
    <w:rsid w:val="00022E54"/>
    <w:rsid w:val="000240CE"/>
    <w:rsid w:val="000307E4"/>
    <w:rsid w:val="000308FB"/>
    <w:rsid w:val="00032407"/>
    <w:rsid w:val="00032DCE"/>
    <w:rsid w:val="00035FFD"/>
    <w:rsid w:val="00036E83"/>
    <w:rsid w:val="00037D01"/>
    <w:rsid w:val="0004014A"/>
    <w:rsid w:val="00041144"/>
    <w:rsid w:val="00043F65"/>
    <w:rsid w:val="00045619"/>
    <w:rsid w:val="0004737C"/>
    <w:rsid w:val="00047B9F"/>
    <w:rsid w:val="00050B2C"/>
    <w:rsid w:val="00050E9A"/>
    <w:rsid w:val="00052709"/>
    <w:rsid w:val="000527EB"/>
    <w:rsid w:val="00056538"/>
    <w:rsid w:val="000627A5"/>
    <w:rsid w:val="000632A5"/>
    <w:rsid w:val="000654CC"/>
    <w:rsid w:val="00065891"/>
    <w:rsid w:val="00065929"/>
    <w:rsid w:val="00065AED"/>
    <w:rsid w:val="00066326"/>
    <w:rsid w:val="000673D8"/>
    <w:rsid w:val="000777FE"/>
    <w:rsid w:val="00082AAA"/>
    <w:rsid w:val="00084AD5"/>
    <w:rsid w:val="00084F67"/>
    <w:rsid w:val="0009035A"/>
    <w:rsid w:val="00093934"/>
    <w:rsid w:val="00093B54"/>
    <w:rsid w:val="000949F8"/>
    <w:rsid w:val="00095FF9"/>
    <w:rsid w:val="000968F0"/>
    <w:rsid w:val="000A01D0"/>
    <w:rsid w:val="000A0600"/>
    <w:rsid w:val="000A2ABB"/>
    <w:rsid w:val="000A2E99"/>
    <w:rsid w:val="000A31E4"/>
    <w:rsid w:val="000A32DC"/>
    <w:rsid w:val="000A4C87"/>
    <w:rsid w:val="000A6FA3"/>
    <w:rsid w:val="000B0D43"/>
    <w:rsid w:val="000B372A"/>
    <w:rsid w:val="000B4063"/>
    <w:rsid w:val="000B616E"/>
    <w:rsid w:val="000B6B0E"/>
    <w:rsid w:val="000B73D0"/>
    <w:rsid w:val="000C1710"/>
    <w:rsid w:val="000C4E3C"/>
    <w:rsid w:val="000C66A9"/>
    <w:rsid w:val="000C7492"/>
    <w:rsid w:val="000D1757"/>
    <w:rsid w:val="000D2BDF"/>
    <w:rsid w:val="000D5F7E"/>
    <w:rsid w:val="000D6314"/>
    <w:rsid w:val="000D68FC"/>
    <w:rsid w:val="000E47C9"/>
    <w:rsid w:val="000E5CC0"/>
    <w:rsid w:val="000E5D36"/>
    <w:rsid w:val="000F11E4"/>
    <w:rsid w:val="000F2868"/>
    <w:rsid w:val="000F3BA0"/>
    <w:rsid w:val="000F67BD"/>
    <w:rsid w:val="00100A67"/>
    <w:rsid w:val="001015D5"/>
    <w:rsid w:val="00101C99"/>
    <w:rsid w:val="00102587"/>
    <w:rsid w:val="001049CF"/>
    <w:rsid w:val="0010680D"/>
    <w:rsid w:val="001070BB"/>
    <w:rsid w:val="00111DF4"/>
    <w:rsid w:val="00112412"/>
    <w:rsid w:val="00114E08"/>
    <w:rsid w:val="001153BE"/>
    <w:rsid w:val="001153F3"/>
    <w:rsid w:val="001161EB"/>
    <w:rsid w:val="001176A7"/>
    <w:rsid w:val="001209AD"/>
    <w:rsid w:val="00120C7F"/>
    <w:rsid w:val="00121132"/>
    <w:rsid w:val="0012203E"/>
    <w:rsid w:val="00122769"/>
    <w:rsid w:val="001248BC"/>
    <w:rsid w:val="00125F1A"/>
    <w:rsid w:val="0012605D"/>
    <w:rsid w:val="00126659"/>
    <w:rsid w:val="001266B3"/>
    <w:rsid w:val="001311BA"/>
    <w:rsid w:val="001317FA"/>
    <w:rsid w:val="00133F97"/>
    <w:rsid w:val="0013542A"/>
    <w:rsid w:val="00136622"/>
    <w:rsid w:val="00140F2B"/>
    <w:rsid w:val="00141605"/>
    <w:rsid w:val="00141703"/>
    <w:rsid w:val="00143359"/>
    <w:rsid w:val="00152FBF"/>
    <w:rsid w:val="00153CDD"/>
    <w:rsid w:val="00153D68"/>
    <w:rsid w:val="001561A6"/>
    <w:rsid w:val="001601C3"/>
    <w:rsid w:val="00163D3F"/>
    <w:rsid w:val="00166871"/>
    <w:rsid w:val="00166C0A"/>
    <w:rsid w:val="001701F8"/>
    <w:rsid w:val="0017100B"/>
    <w:rsid w:val="001711E6"/>
    <w:rsid w:val="00171292"/>
    <w:rsid w:val="00171FDF"/>
    <w:rsid w:val="00174B03"/>
    <w:rsid w:val="00175BAC"/>
    <w:rsid w:val="001763ED"/>
    <w:rsid w:val="001778DE"/>
    <w:rsid w:val="00183909"/>
    <w:rsid w:val="001848F6"/>
    <w:rsid w:val="00186364"/>
    <w:rsid w:val="001909B4"/>
    <w:rsid w:val="0019105D"/>
    <w:rsid w:val="00195644"/>
    <w:rsid w:val="001A18DA"/>
    <w:rsid w:val="001A1EAC"/>
    <w:rsid w:val="001A5A3D"/>
    <w:rsid w:val="001B01C6"/>
    <w:rsid w:val="001B482E"/>
    <w:rsid w:val="001C1DDA"/>
    <w:rsid w:val="001C24D7"/>
    <w:rsid w:val="001C2EE7"/>
    <w:rsid w:val="001C47C4"/>
    <w:rsid w:val="001C5E7A"/>
    <w:rsid w:val="001C6EFD"/>
    <w:rsid w:val="001C6FBB"/>
    <w:rsid w:val="001D0130"/>
    <w:rsid w:val="001D1FDA"/>
    <w:rsid w:val="001D23E0"/>
    <w:rsid w:val="001D3C66"/>
    <w:rsid w:val="001D5EE7"/>
    <w:rsid w:val="001D6450"/>
    <w:rsid w:val="001D6791"/>
    <w:rsid w:val="001E0BCA"/>
    <w:rsid w:val="001E4FEC"/>
    <w:rsid w:val="001E59DA"/>
    <w:rsid w:val="001F0E14"/>
    <w:rsid w:val="001F1D5B"/>
    <w:rsid w:val="001F2695"/>
    <w:rsid w:val="001F3071"/>
    <w:rsid w:val="001F5243"/>
    <w:rsid w:val="001F5FB1"/>
    <w:rsid w:val="001F6D62"/>
    <w:rsid w:val="001F6E59"/>
    <w:rsid w:val="001F72C1"/>
    <w:rsid w:val="0020155A"/>
    <w:rsid w:val="00203076"/>
    <w:rsid w:val="00203D0D"/>
    <w:rsid w:val="00206053"/>
    <w:rsid w:val="00206D79"/>
    <w:rsid w:val="00206E8A"/>
    <w:rsid w:val="00214ADA"/>
    <w:rsid w:val="00215A62"/>
    <w:rsid w:val="0021655A"/>
    <w:rsid w:val="00216AC7"/>
    <w:rsid w:val="00217FFD"/>
    <w:rsid w:val="002206BF"/>
    <w:rsid w:val="0022092E"/>
    <w:rsid w:val="00221403"/>
    <w:rsid w:val="00221961"/>
    <w:rsid w:val="002222DA"/>
    <w:rsid w:val="002227F8"/>
    <w:rsid w:val="002239EA"/>
    <w:rsid w:val="0022631A"/>
    <w:rsid w:val="00227117"/>
    <w:rsid w:val="0022724D"/>
    <w:rsid w:val="00227843"/>
    <w:rsid w:val="00227846"/>
    <w:rsid w:val="00231E70"/>
    <w:rsid w:val="0023302B"/>
    <w:rsid w:val="00233925"/>
    <w:rsid w:val="00233B5B"/>
    <w:rsid w:val="002349BF"/>
    <w:rsid w:val="00235A3C"/>
    <w:rsid w:val="00242595"/>
    <w:rsid w:val="00251481"/>
    <w:rsid w:val="00251DA0"/>
    <w:rsid w:val="00252B75"/>
    <w:rsid w:val="00253152"/>
    <w:rsid w:val="0025428E"/>
    <w:rsid w:val="00261802"/>
    <w:rsid w:val="00264342"/>
    <w:rsid w:val="00265DD8"/>
    <w:rsid w:val="002673B6"/>
    <w:rsid w:val="0027127A"/>
    <w:rsid w:val="00272871"/>
    <w:rsid w:val="002752BD"/>
    <w:rsid w:val="00275876"/>
    <w:rsid w:val="002773BE"/>
    <w:rsid w:val="00286473"/>
    <w:rsid w:val="002864AF"/>
    <w:rsid w:val="00291A39"/>
    <w:rsid w:val="00291B0E"/>
    <w:rsid w:val="0029300A"/>
    <w:rsid w:val="002939AA"/>
    <w:rsid w:val="002943CB"/>
    <w:rsid w:val="0029448F"/>
    <w:rsid w:val="00294B63"/>
    <w:rsid w:val="00296FB9"/>
    <w:rsid w:val="0029786E"/>
    <w:rsid w:val="002A065A"/>
    <w:rsid w:val="002A2577"/>
    <w:rsid w:val="002A2E53"/>
    <w:rsid w:val="002A45B4"/>
    <w:rsid w:val="002A5488"/>
    <w:rsid w:val="002A795A"/>
    <w:rsid w:val="002B241B"/>
    <w:rsid w:val="002B27AF"/>
    <w:rsid w:val="002B5B63"/>
    <w:rsid w:val="002B678B"/>
    <w:rsid w:val="002B7A7A"/>
    <w:rsid w:val="002B7E82"/>
    <w:rsid w:val="002C40B3"/>
    <w:rsid w:val="002C54A6"/>
    <w:rsid w:val="002C63ED"/>
    <w:rsid w:val="002D2AD0"/>
    <w:rsid w:val="002D4655"/>
    <w:rsid w:val="002D67CE"/>
    <w:rsid w:val="002E079A"/>
    <w:rsid w:val="002E4FD3"/>
    <w:rsid w:val="002F16BF"/>
    <w:rsid w:val="002F21E5"/>
    <w:rsid w:val="00300F27"/>
    <w:rsid w:val="00304248"/>
    <w:rsid w:val="00305C9F"/>
    <w:rsid w:val="00307165"/>
    <w:rsid w:val="003109E5"/>
    <w:rsid w:val="00312AB3"/>
    <w:rsid w:val="00316495"/>
    <w:rsid w:val="00316753"/>
    <w:rsid w:val="00321C5F"/>
    <w:rsid w:val="00322779"/>
    <w:rsid w:val="00323431"/>
    <w:rsid w:val="00324FDE"/>
    <w:rsid w:val="00327FC3"/>
    <w:rsid w:val="00330313"/>
    <w:rsid w:val="003344C6"/>
    <w:rsid w:val="00335C67"/>
    <w:rsid w:val="003361A3"/>
    <w:rsid w:val="0034154B"/>
    <w:rsid w:val="0034229A"/>
    <w:rsid w:val="00342758"/>
    <w:rsid w:val="00342992"/>
    <w:rsid w:val="00343D03"/>
    <w:rsid w:val="0034407D"/>
    <w:rsid w:val="003448C9"/>
    <w:rsid w:val="00351575"/>
    <w:rsid w:val="00353592"/>
    <w:rsid w:val="00354EC7"/>
    <w:rsid w:val="00357B74"/>
    <w:rsid w:val="00363230"/>
    <w:rsid w:val="00364147"/>
    <w:rsid w:val="00366718"/>
    <w:rsid w:val="00367C16"/>
    <w:rsid w:val="00370F8A"/>
    <w:rsid w:val="00371331"/>
    <w:rsid w:val="00373C1C"/>
    <w:rsid w:val="0037494D"/>
    <w:rsid w:val="00375343"/>
    <w:rsid w:val="003832F6"/>
    <w:rsid w:val="0038413A"/>
    <w:rsid w:val="003841AE"/>
    <w:rsid w:val="0038510E"/>
    <w:rsid w:val="003864AF"/>
    <w:rsid w:val="003910E6"/>
    <w:rsid w:val="00391145"/>
    <w:rsid w:val="00392CEF"/>
    <w:rsid w:val="003934B6"/>
    <w:rsid w:val="00393ADF"/>
    <w:rsid w:val="003967AF"/>
    <w:rsid w:val="003A47D4"/>
    <w:rsid w:val="003B38A4"/>
    <w:rsid w:val="003B5459"/>
    <w:rsid w:val="003B6DB6"/>
    <w:rsid w:val="003B7D5E"/>
    <w:rsid w:val="003C0E8D"/>
    <w:rsid w:val="003C1FDE"/>
    <w:rsid w:val="003C2DE8"/>
    <w:rsid w:val="003C45D4"/>
    <w:rsid w:val="003C6019"/>
    <w:rsid w:val="003C6951"/>
    <w:rsid w:val="003D2F29"/>
    <w:rsid w:val="003D601E"/>
    <w:rsid w:val="003E1A9C"/>
    <w:rsid w:val="003E23C0"/>
    <w:rsid w:val="003E4335"/>
    <w:rsid w:val="003E46FB"/>
    <w:rsid w:val="003E529E"/>
    <w:rsid w:val="003E6E10"/>
    <w:rsid w:val="003E7648"/>
    <w:rsid w:val="003E78B7"/>
    <w:rsid w:val="003E7944"/>
    <w:rsid w:val="003F10BB"/>
    <w:rsid w:val="003F2674"/>
    <w:rsid w:val="003F59B0"/>
    <w:rsid w:val="003F684F"/>
    <w:rsid w:val="003F6F83"/>
    <w:rsid w:val="00402CD3"/>
    <w:rsid w:val="00403394"/>
    <w:rsid w:val="004045A0"/>
    <w:rsid w:val="00407674"/>
    <w:rsid w:val="0040798B"/>
    <w:rsid w:val="00410F72"/>
    <w:rsid w:val="00413B71"/>
    <w:rsid w:val="004155A9"/>
    <w:rsid w:val="0042168B"/>
    <w:rsid w:val="00422255"/>
    <w:rsid w:val="00423042"/>
    <w:rsid w:val="00427424"/>
    <w:rsid w:val="00427950"/>
    <w:rsid w:val="004300A0"/>
    <w:rsid w:val="00431F68"/>
    <w:rsid w:val="004320AA"/>
    <w:rsid w:val="004358D9"/>
    <w:rsid w:val="00436471"/>
    <w:rsid w:val="00442843"/>
    <w:rsid w:val="004459A6"/>
    <w:rsid w:val="00446C76"/>
    <w:rsid w:val="00447224"/>
    <w:rsid w:val="00447621"/>
    <w:rsid w:val="004512E8"/>
    <w:rsid w:val="0045169F"/>
    <w:rsid w:val="00451F27"/>
    <w:rsid w:val="004523CD"/>
    <w:rsid w:val="00452D84"/>
    <w:rsid w:val="0045486C"/>
    <w:rsid w:val="004617E5"/>
    <w:rsid w:val="004654B5"/>
    <w:rsid w:val="00466CA5"/>
    <w:rsid w:val="00467CB0"/>
    <w:rsid w:val="004702EC"/>
    <w:rsid w:val="004711EC"/>
    <w:rsid w:val="00471DF9"/>
    <w:rsid w:val="00472EDC"/>
    <w:rsid w:val="00474109"/>
    <w:rsid w:val="004745E3"/>
    <w:rsid w:val="00476BB5"/>
    <w:rsid w:val="004800BD"/>
    <w:rsid w:val="00481BA5"/>
    <w:rsid w:val="00481CBA"/>
    <w:rsid w:val="004830C5"/>
    <w:rsid w:val="00485C9A"/>
    <w:rsid w:val="00486978"/>
    <w:rsid w:val="00490269"/>
    <w:rsid w:val="00493A17"/>
    <w:rsid w:val="004941D5"/>
    <w:rsid w:val="00494DB8"/>
    <w:rsid w:val="00496EEF"/>
    <w:rsid w:val="00496F72"/>
    <w:rsid w:val="00497364"/>
    <w:rsid w:val="00497491"/>
    <w:rsid w:val="004A2226"/>
    <w:rsid w:val="004A42C5"/>
    <w:rsid w:val="004A4A9F"/>
    <w:rsid w:val="004A5A18"/>
    <w:rsid w:val="004A5AE1"/>
    <w:rsid w:val="004B1599"/>
    <w:rsid w:val="004B2E7E"/>
    <w:rsid w:val="004B3B30"/>
    <w:rsid w:val="004B4977"/>
    <w:rsid w:val="004B5B10"/>
    <w:rsid w:val="004C34EA"/>
    <w:rsid w:val="004C3611"/>
    <w:rsid w:val="004C40F2"/>
    <w:rsid w:val="004C499B"/>
    <w:rsid w:val="004D0435"/>
    <w:rsid w:val="004D125E"/>
    <w:rsid w:val="004D28B0"/>
    <w:rsid w:val="004D2F67"/>
    <w:rsid w:val="004D6DBF"/>
    <w:rsid w:val="004D6E45"/>
    <w:rsid w:val="004D7163"/>
    <w:rsid w:val="004E356B"/>
    <w:rsid w:val="004E4658"/>
    <w:rsid w:val="004E516D"/>
    <w:rsid w:val="004E5762"/>
    <w:rsid w:val="004E7F19"/>
    <w:rsid w:val="004F1E94"/>
    <w:rsid w:val="004F38E8"/>
    <w:rsid w:val="004F3AEE"/>
    <w:rsid w:val="004F3EF4"/>
    <w:rsid w:val="004F4A0B"/>
    <w:rsid w:val="004F5F04"/>
    <w:rsid w:val="004F6579"/>
    <w:rsid w:val="004F79AB"/>
    <w:rsid w:val="004F7D6A"/>
    <w:rsid w:val="005001BD"/>
    <w:rsid w:val="005003AB"/>
    <w:rsid w:val="005007F9"/>
    <w:rsid w:val="00500B4F"/>
    <w:rsid w:val="00505B4C"/>
    <w:rsid w:val="005062EB"/>
    <w:rsid w:val="00507C1A"/>
    <w:rsid w:val="00511EE0"/>
    <w:rsid w:val="005132E2"/>
    <w:rsid w:val="00514D69"/>
    <w:rsid w:val="00516AB2"/>
    <w:rsid w:val="00517773"/>
    <w:rsid w:val="00517DFF"/>
    <w:rsid w:val="0052057E"/>
    <w:rsid w:val="0052072F"/>
    <w:rsid w:val="00524E93"/>
    <w:rsid w:val="0052624F"/>
    <w:rsid w:val="00526ACF"/>
    <w:rsid w:val="00527957"/>
    <w:rsid w:val="0053079A"/>
    <w:rsid w:val="00530FFC"/>
    <w:rsid w:val="00531336"/>
    <w:rsid w:val="00532F3A"/>
    <w:rsid w:val="00533210"/>
    <w:rsid w:val="00540355"/>
    <w:rsid w:val="00540692"/>
    <w:rsid w:val="0054166C"/>
    <w:rsid w:val="00542113"/>
    <w:rsid w:val="005432C2"/>
    <w:rsid w:val="00543A44"/>
    <w:rsid w:val="00543FA6"/>
    <w:rsid w:val="00544411"/>
    <w:rsid w:val="00545F61"/>
    <w:rsid w:val="00547277"/>
    <w:rsid w:val="00552AC4"/>
    <w:rsid w:val="00554EB0"/>
    <w:rsid w:val="00556D64"/>
    <w:rsid w:val="0056097C"/>
    <w:rsid w:val="00560E41"/>
    <w:rsid w:val="0056523D"/>
    <w:rsid w:val="00566B7D"/>
    <w:rsid w:val="00566BF6"/>
    <w:rsid w:val="00567ECA"/>
    <w:rsid w:val="00572F5D"/>
    <w:rsid w:val="005803BF"/>
    <w:rsid w:val="005813B7"/>
    <w:rsid w:val="00581799"/>
    <w:rsid w:val="00582CE9"/>
    <w:rsid w:val="00584753"/>
    <w:rsid w:val="00586C9A"/>
    <w:rsid w:val="00587A34"/>
    <w:rsid w:val="00591971"/>
    <w:rsid w:val="00591C6D"/>
    <w:rsid w:val="005922E8"/>
    <w:rsid w:val="00592D59"/>
    <w:rsid w:val="005A052D"/>
    <w:rsid w:val="005A1F13"/>
    <w:rsid w:val="005A5866"/>
    <w:rsid w:val="005A6966"/>
    <w:rsid w:val="005B0A01"/>
    <w:rsid w:val="005B42F2"/>
    <w:rsid w:val="005B4FA8"/>
    <w:rsid w:val="005B69A9"/>
    <w:rsid w:val="005B747C"/>
    <w:rsid w:val="005B750B"/>
    <w:rsid w:val="005C1799"/>
    <w:rsid w:val="005C1CEE"/>
    <w:rsid w:val="005C1E56"/>
    <w:rsid w:val="005C3365"/>
    <w:rsid w:val="005C659F"/>
    <w:rsid w:val="005D07A9"/>
    <w:rsid w:val="005D1F4B"/>
    <w:rsid w:val="005D2A7D"/>
    <w:rsid w:val="005D2AFE"/>
    <w:rsid w:val="005D5254"/>
    <w:rsid w:val="005E149A"/>
    <w:rsid w:val="005E3917"/>
    <w:rsid w:val="005E4CF7"/>
    <w:rsid w:val="005F0342"/>
    <w:rsid w:val="005F0450"/>
    <w:rsid w:val="005F0D61"/>
    <w:rsid w:val="005F4078"/>
    <w:rsid w:val="005F4187"/>
    <w:rsid w:val="005F5369"/>
    <w:rsid w:val="00600272"/>
    <w:rsid w:val="00602E29"/>
    <w:rsid w:val="00603D79"/>
    <w:rsid w:val="00603FE4"/>
    <w:rsid w:val="0060746E"/>
    <w:rsid w:val="00607598"/>
    <w:rsid w:val="00610420"/>
    <w:rsid w:val="006114BF"/>
    <w:rsid w:val="006115FC"/>
    <w:rsid w:val="00611979"/>
    <w:rsid w:val="00612378"/>
    <w:rsid w:val="00616E3A"/>
    <w:rsid w:val="00622B23"/>
    <w:rsid w:val="00623890"/>
    <w:rsid w:val="00623D71"/>
    <w:rsid w:val="0062401C"/>
    <w:rsid w:val="00631225"/>
    <w:rsid w:val="00635694"/>
    <w:rsid w:val="006430D4"/>
    <w:rsid w:val="00643749"/>
    <w:rsid w:val="0064568A"/>
    <w:rsid w:val="00646F2C"/>
    <w:rsid w:val="006569BD"/>
    <w:rsid w:val="006569DA"/>
    <w:rsid w:val="00661CDA"/>
    <w:rsid w:val="006620D1"/>
    <w:rsid w:val="00663900"/>
    <w:rsid w:val="0066464E"/>
    <w:rsid w:val="00664692"/>
    <w:rsid w:val="0066649B"/>
    <w:rsid w:val="0067149A"/>
    <w:rsid w:val="0067175E"/>
    <w:rsid w:val="00671B9A"/>
    <w:rsid w:val="0067276B"/>
    <w:rsid w:val="006739EE"/>
    <w:rsid w:val="00681CFB"/>
    <w:rsid w:val="0068279C"/>
    <w:rsid w:val="0068379B"/>
    <w:rsid w:val="00685820"/>
    <w:rsid w:val="0068584D"/>
    <w:rsid w:val="006927CD"/>
    <w:rsid w:val="0069342C"/>
    <w:rsid w:val="0069397F"/>
    <w:rsid w:val="00694718"/>
    <w:rsid w:val="00696CA3"/>
    <w:rsid w:val="006A4879"/>
    <w:rsid w:val="006B0979"/>
    <w:rsid w:val="006B2F9D"/>
    <w:rsid w:val="006B4F55"/>
    <w:rsid w:val="006B6984"/>
    <w:rsid w:val="006B6B87"/>
    <w:rsid w:val="006C3970"/>
    <w:rsid w:val="006C5C8A"/>
    <w:rsid w:val="006C5F3E"/>
    <w:rsid w:val="006C70C8"/>
    <w:rsid w:val="006D046A"/>
    <w:rsid w:val="006D0565"/>
    <w:rsid w:val="006D5B28"/>
    <w:rsid w:val="006D5F42"/>
    <w:rsid w:val="006D60B6"/>
    <w:rsid w:val="006E176E"/>
    <w:rsid w:val="006E2A38"/>
    <w:rsid w:val="006E352C"/>
    <w:rsid w:val="006E600E"/>
    <w:rsid w:val="006E649B"/>
    <w:rsid w:val="006E65D9"/>
    <w:rsid w:val="006F4745"/>
    <w:rsid w:val="006F6016"/>
    <w:rsid w:val="006F6951"/>
    <w:rsid w:val="006F7DCB"/>
    <w:rsid w:val="0070305E"/>
    <w:rsid w:val="00705803"/>
    <w:rsid w:val="00706E51"/>
    <w:rsid w:val="00710987"/>
    <w:rsid w:val="007121F7"/>
    <w:rsid w:val="00712C34"/>
    <w:rsid w:val="00712CDC"/>
    <w:rsid w:val="0071572C"/>
    <w:rsid w:val="00715AB6"/>
    <w:rsid w:val="00715E79"/>
    <w:rsid w:val="00716098"/>
    <w:rsid w:val="00716C22"/>
    <w:rsid w:val="00716CFD"/>
    <w:rsid w:val="00720A95"/>
    <w:rsid w:val="00721E49"/>
    <w:rsid w:val="00723DBC"/>
    <w:rsid w:val="0072435A"/>
    <w:rsid w:val="007250C9"/>
    <w:rsid w:val="00725257"/>
    <w:rsid w:val="00733D27"/>
    <w:rsid w:val="00733E40"/>
    <w:rsid w:val="007359FE"/>
    <w:rsid w:val="007363D7"/>
    <w:rsid w:val="00744264"/>
    <w:rsid w:val="0074731E"/>
    <w:rsid w:val="00751474"/>
    <w:rsid w:val="0075288E"/>
    <w:rsid w:val="007579F2"/>
    <w:rsid w:val="0076029D"/>
    <w:rsid w:val="00760D00"/>
    <w:rsid w:val="00762930"/>
    <w:rsid w:val="0076405E"/>
    <w:rsid w:val="00765D59"/>
    <w:rsid w:val="007707DE"/>
    <w:rsid w:val="00770D4B"/>
    <w:rsid w:val="00770FEF"/>
    <w:rsid w:val="0077131A"/>
    <w:rsid w:val="0077152E"/>
    <w:rsid w:val="00773FDD"/>
    <w:rsid w:val="0077444F"/>
    <w:rsid w:val="007761C9"/>
    <w:rsid w:val="00782A64"/>
    <w:rsid w:val="00782BBD"/>
    <w:rsid w:val="00783933"/>
    <w:rsid w:val="007842E6"/>
    <w:rsid w:val="00784557"/>
    <w:rsid w:val="0078548C"/>
    <w:rsid w:val="007867ED"/>
    <w:rsid w:val="00786886"/>
    <w:rsid w:val="007916EC"/>
    <w:rsid w:val="007A4CF4"/>
    <w:rsid w:val="007A6081"/>
    <w:rsid w:val="007A76AC"/>
    <w:rsid w:val="007B257D"/>
    <w:rsid w:val="007B2F4F"/>
    <w:rsid w:val="007B7985"/>
    <w:rsid w:val="007C3B81"/>
    <w:rsid w:val="007C5122"/>
    <w:rsid w:val="007D03F4"/>
    <w:rsid w:val="007D1CE3"/>
    <w:rsid w:val="007D22F5"/>
    <w:rsid w:val="007D3EE2"/>
    <w:rsid w:val="007D6448"/>
    <w:rsid w:val="007D7504"/>
    <w:rsid w:val="007D79C4"/>
    <w:rsid w:val="007E1D67"/>
    <w:rsid w:val="007E1E1B"/>
    <w:rsid w:val="007E255D"/>
    <w:rsid w:val="007E29E1"/>
    <w:rsid w:val="007E2AC1"/>
    <w:rsid w:val="007E5040"/>
    <w:rsid w:val="007E5C65"/>
    <w:rsid w:val="007E6834"/>
    <w:rsid w:val="007F2B0B"/>
    <w:rsid w:val="007F475E"/>
    <w:rsid w:val="007F479B"/>
    <w:rsid w:val="007F4C73"/>
    <w:rsid w:val="007F66FC"/>
    <w:rsid w:val="007F7DB1"/>
    <w:rsid w:val="00801AA2"/>
    <w:rsid w:val="00801B1B"/>
    <w:rsid w:val="00802900"/>
    <w:rsid w:val="00806822"/>
    <w:rsid w:val="008124A8"/>
    <w:rsid w:val="008130A0"/>
    <w:rsid w:val="008142DA"/>
    <w:rsid w:val="00815629"/>
    <w:rsid w:val="00815802"/>
    <w:rsid w:val="008162A8"/>
    <w:rsid w:val="00817CD9"/>
    <w:rsid w:val="00821465"/>
    <w:rsid w:val="00821551"/>
    <w:rsid w:val="008225E7"/>
    <w:rsid w:val="00822FEF"/>
    <w:rsid w:val="00826766"/>
    <w:rsid w:val="008270AA"/>
    <w:rsid w:val="00831041"/>
    <w:rsid w:val="00831407"/>
    <w:rsid w:val="00832543"/>
    <w:rsid w:val="008326DB"/>
    <w:rsid w:val="00834124"/>
    <w:rsid w:val="0083483F"/>
    <w:rsid w:val="0083492B"/>
    <w:rsid w:val="0083671F"/>
    <w:rsid w:val="00836F12"/>
    <w:rsid w:val="00843CB3"/>
    <w:rsid w:val="00844B7A"/>
    <w:rsid w:val="00844E45"/>
    <w:rsid w:val="00847626"/>
    <w:rsid w:val="00850FE3"/>
    <w:rsid w:val="00851A0B"/>
    <w:rsid w:val="00851E49"/>
    <w:rsid w:val="008553D1"/>
    <w:rsid w:val="008558D3"/>
    <w:rsid w:val="00857D49"/>
    <w:rsid w:val="00860494"/>
    <w:rsid w:val="008610DD"/>
    <w:rsid w:val="00861B05"/>
    <w:rsid w:val="00862995"/>
    <w:rsid w:val="00862B38"/>
    <w:rsid w:val="008634DD"/>
    <w:rsid w:val="00864628"/>
    <w:rsid w:val="0086465A"/>
    <w:rsid w:val="00865E52"/>
    <w:rsid w:val="008714C1"/>
    <w:rsid w:val="00874445"/>
    <w:rsid w:val="00874C34"/>
    <w:rsid w:val="0087688A"/>
    <w:rsid w:val="008778D9"/>
    <w:rsid w:val="00877968"/>
    <w:rsid w:val="008812D2"/>
    <w:rsid w:val="00882690"/>
    <w:rsid w:val="00882707"/>
    <w:rsid w:val="00885288"/>
    <w:rsid w:val="008858A8"/>
    <w:rsid w:val="00887F45"/>
    <w:rsid w:val="0089070D"/>
    <w:rsid w:val="00891D17"/>
    <w:rsid w:val="0089403B"/>
    <w:rsid w:val="008949F6"/>
    <w:rsid w:val="00895900"/>
    <w:rsid w:val="008A0AE1"/>
    <w:rsid w:val="008A170D"/>
    <w:rsid w:val="008A268E"/>
    <w:rsid w:val="008A71BD"/>
    <w:rsid w:val="008B2262"/>
    <w:rsid w:val="008B25F8"/>
    <w:rsid w:val="008B5DA5"/>
    <w:rsid w:val="008B701E"/>
    <w:rsid w:val="008B71AF"/>
    <w:rsid w:val="008C1517"/>
    <w:rsid w:val="008C27D9"/>
    <w:rsid w:val="008C7425"/>
    <w:rsid w:val="008D32D5"/>
    <w:rsid w:val="008D6656"/>
    <w:rsid w:val="008D6FEE"/>
    <w:rsid w:val="008E1117"/>
    <w:rsid w:val="008E1A90"/>
    <w:rsid w:val="008E271C"/>
    <w:rsid w:val="008E2D7C"/>
    <w:rsid w:val="008E3158"/>
    <w:rsid w:val="008E5AB1"/>
    <w:rsid w:val="008E7018"/>
    <w:rsid w:val="008F039C"/>
    <w:rsid w:val="008F0CD1"/>
    <w:rsid w:val="008F142C"/>
    <w:rsid w:val="008F1AA4"/>
    <w:rsid w:val="008F345E"/>
    <w:rsid w:val="008F4F8B"/>
    <w:rsid w:val="008F53EB"/>
    <w:rsid w:val="008F5E71"/>
    <w:rsid w:val="008F7269"/>
    <w:rsid w:val="008F7748"/>
    <w:rsid w:val="00900740"/>
    <w:rsid w:val="0090114E"/>
    <w:rsid w:val="00902255"/>
    <w:rsid w:val="009060A3"/>
    <w:rsid w:val="009064DB"/>
    <w:rsid w:val="00910DF8"/>
    <w:rsid w:val="00911453"/>
    <w:rsid w:val="009123CA"/>
    <w:rsid w:val="00917E92"/>
    <w:rsid w:val="009236C8"/>
    <w:rsid w:val="009246DD"/>
    <w:rsid w:val="00926B0A"/>
    <w:rsid w:val="00926C28"/>
    <w:rsid w:val="00932971"/>
    <w:rsid w:val="009343BD"/>
    <w:rsid w:val="009347CF"/>
    <w:rsid w:val="009412C4"/>
    <w:rsid w:val="00942E2E"/>
    <w:rsid w:val="00944FC0"/>
    <w:rsid w:val="00944FCD"/>
    <w:rsid w:val="00945265"/>
    <w:rsid w:val="0094610E"/>
    <w:rsid w:val="00950E91"/>
    <w:rsid w:val="00951AA5"/>
    <w:rsid w:val="00952A9C"/>
    <w:rsid w:val="009535ED"/>
    <w:rsid w:val="0095394E"/>
    <w:rsid w:val="00954BFD"/>
    <w:rsid w:val="009553B7"/>
    <w:rsid w:val="00961763"/>
    <w:rsid w:val="00967A62"/>
    <w:rsid w:val="0097085B"/>
    <w:rsid w:val="0097095F"/>
    <w:rsid w:val="009710A1"/>
    <w:rsid w:val="00971743"/>
    <w:rsid w:val="0097284A"/>
    <w:rsid w:val="00972E68"/>
    <w:rsid w:val="009740BD"/>
    <w:rsid w:val="00974EC2"/>
    <w:rsid w:val="00974FE6"/>
    <w:rsid w:val="00977DC2"/>
    <w:rsid w:val="009818DE"/>
    <w:rsid w:val="0098788C"/>
    <w:rsid w:val="00991A71"/>
    <w:rsid w:val="009920CB"/>
    <w:rsid w:val="0099258B"/>
    <w:rsid w:val="0099305E"/>
    <w:rsid w:val="009970E2"/>
    <w:rsid w:val="009971DC"/>
    <w:rsid w:val="009A01B5"/>
    <w:rsid w:val="009A6C55"/>
    <w:rsid w:val="009B0628"/>
    <w:rsid w:val="009B2EEF"/>
    <w:rsid w:val="009B32DC"/>
    <w:rsid w:val="009B407A"/>
    <w:rsid w:val="009B4B6B"/>
    <w:rsid w:val="009B56D7"/>
    <w:rsid w:val="009C193A"/>
    <w:rsid w:val="009C1DB2"/>
    <w:rsid w:val="009C3411"/>
    <w:rsid w:val="009C3A34"/>
    <w:rsid w:val="009C4511"/>
    <w:rsid w:val="009C5E0F"/>
    <w:rsid w:val="009C7BD3"/>
    <w:rsid w:val="009D02B4"/>
    <w:rsid w:val="009D18A2"/>
    <w:rsid w:val="009D1B03"/>
    <w:rsid w:val="009D211D"/>
    <w:rsid w:val="009D6759"/>
    <w:rsid w:val="009D6C12"/>
    <w:rsid w:val="009D6D72"/>
    <w:rsid w:val="009D703D"/>
    <w:rsid w:val="009E160F"/>
    <w:rsid w:val="009E17C9"/>
    <w:rsid w:val="009E1A36"/>
    <w:rsid w:val="009E237A"/>
    <w:rsid w:val="009E55BD"/>
    <w:rsid w:val="009E56FC"/>
    <w:rsid w:val="009E5960"/>
    <w:rsid w:val="009E59FC"/>
    <w:rsid w:val="009E66CF"/>
    <w:rsid w:val="009E7769"/>
    <w:rsid w:val="009F06BA"/>
    <w:rsid w:val="009F1F81"/>
    <w:rsid w:val="009F5A85"/>
    <w:rsid w:val="009F6F43"/>
    <w:rsid w:val="009F73FD"/>
    <w:rsid w:val="00A01EDE"/>
    <w:rsid w:val="00A02F3E"/>
    <w:rsid w:val="00A030E9"/>
    <w:rsid w:val="00A04136"/>
    <w:rsid w:val="00A10C6B"/>
    <w:rsid w:val="00A11658"/>
    <w:rsid w:val="00A1240D"/>
    <w:rsid w:val="00A129FC"/>
    <w:rsid w:val="00A139D6"/>
    <w:rsid w:val="00A13BE6"/>
    <w:rsid w:val="00A14DEC"/>
    <w:rsid w:val="00A173F9"/>
    <w:rsid w:val="00A23DE6"/>
    <w:rsid w:val="00A2486E"/>
    <w:rsid w:val="00A2514B"/>
    <w:rsid w:val="00A2640F"/>
    <w:rsid w:val="00A26824"/>
    <w:rsid w:val="00A30B42"/>
    <w:rsid w:val="00A31635"/>
    <w:rsid w:val="00A37EF9"/>
    <w:rsid w:val="00A37FDA"/>
    <w:rsid w:val="00A4138A"/>
    <w:rsid w:val="00A41844"/>
    <w:rsid w:val="00A45537"/>
    <w:rsid w:val="00A46238"/>
    <w:rsid w:val="00A46BD3"/>
    <w:rsid w:val="00A51C57"/>
    <w:rsid w:val="00A53701"/>
    <w:rsid w:val="00A5702B"/>
    <w:rsid w:val="00A664E4"/>
    <w:rsid w:val="00A73ABF"/>
    <w:rsid w:val="00A77BD5"/>
    <w:rsid w:val="00A81770"/>
    <w:rsid w:val="00A81C57"/>
    <w:rsid w:val="00A8365E"/>
    <w:rsid w:val="00A836F4"/>
    <w:rsid w:val="00A853E6"/>
    <w:rsid w:val="00A87675"/>
    <w:rsid w:val="00A87C62"/>
    <w:rsid w:val="00A92F00"/>
    <w:rsid w:val="00A95212"/>
    <w:rsid w:val="00A95747"/>
    <w:rsid w:val="00A9640F"/>
    <w:rsid w:val="00AA3A37"/>
    <w:rsid w:val="00AA7927"/>
    <w:rsid w:val="00AB163E"/>
    <w:rsid w:val="00AB284B"/>
    <w:rsid w:val="00AC3E49"/>
    <w:rsid w:val="00AC4D2D"/>
    <w:rsid w:val="00AC4FD8"/>
    <w:rsid w:val="00AC79A9"/>
    <w:rsid w:val="00AC7BDD"/>
    <w:rsid w:val="00AD1516"/>
    <w:rsid w:val="00AD2424"/>
    <w:rsid w:val="00AD7ED0"/>
    <w:rsid w:val="00AE07D8"/>
    <w:rsid w:val="00AE0BC1"/>
    <w:rsid w:val="00AE16C4"/>
    <w:rsid w:val="00AE3DD0"/>
    <w:rsid w:val="00AE513E"/>
    <w:rsid w:val="00AE5181"/>
    <w:rsid w:val="00AE552E"/>
    <w:rsid w:val="00AE5FE1"/>
    <w:rsid w:val="00AE78D9"/>
    <w:rsid w:val="00AF0F3C"/>
    <w:rsid w:val="00AF10DE"/>
    <w:rsid w:val="00AF17B1"/>
    <w:rsid w:val="00AF2EBC"/>
    <w:rsid w:val="00AF302D"/>
    <w:rsid w:val="00AF319B"/>
    <w:rsid w:val="00AF32AF"/>
    <w:rsid w:val="00AF4EB3"/>
    <w:rsid w:val="00AF7DF1"/>
    <w:rsid w:val="00B0504C"/>
    <w:rsid w:val="00B050CC"/>
    <w:rsid w:val="00B10A0E"/>
    <w:rsid w:val="00B10DAB"/>
    <w:rsid w:val="00B12CFA"/>
    <w:rsid w:val="00B13E82"/>
    <w:rsid w:val="00B16378"/>
    <w:rsid w:val="00B20A48"/>
    <w:rsid w:val="00B20D5B"/>
    <w:rsid w:val="00B2137C"/>
    <w:rsid w:val="00B232EA"/>
    <w:rsid w:val="00B2401F"/>
    <w:rsid w:val="00B241A8"/>
    <w:rsid w:val="00B26062"/>
    <w:rsid w:val="00B26B80"/>
    <w:rsid w:val="00B26EB3"/>
    <w:rsid w:val="00B275CA"/>
    <w:rsid w:val="00B2796C"/>
    <w:rsid w:val="00B3045C"/>
    <w:rsid w:val="00B328FE"/>
    <w:rsid w:val="00B33253"/>
    <w:rsid w:val="00B34F68"/>
    <w:rsid w:val="00B356BC"/>
    <w:rsid w:val="00B35D73"/>
    <w:rsid w:val="00B37FF7"/>
    <w:rsid w:val="00B4018B"/>
    <w:rsid w:val="00B45797"/>
    <w:rsid w:val="00B459B3"/>
    <w:rsid w:val="00B4630A"/>
    <w:rsid w:val="00B4782D"/>
    <w:rsid w:val="00B51406"/>
    <w:rsid w:val="00B520A2"/>
    <w:rsid w:val="00B5254C"/>
    <w:rsid w:val="00B5359C"/>
    <w:rsid w:val="00B54B4A"/>
    <w:rsid w:val="00B55DDB"/>
    <w:rsid w:val="00B60FDE"/>
    <w:rsid w:val="00B62EFA"/>
    <w:rsid w:val="00B634C3"/>
    <w:rsid w:val="00B6485C"/>
    <w:rsid w:val="00B65280"/>
    <w:rsid w:val="00B65F11"/>
    <w:rsid w:val="00B66FB7"/>
    <w:rsid w:val="00B67472"/>
    <w:rsid w:val="00B70DB5"/>
    <w:rsid w:val="00B71425"/>
    <w:rsid w:val="00B71BF4"/>
    <w:rsid w:val="00B73168"/>
    <w:rsid w:val="00B733C9"/>
    <w:rsid w:val="00B75957"/>
    <w:rsid w:val="00B7649E"/>
    <w:rsid w:val="00B76CEE"/>
    <w:rsid w:val="00B81E9B"/>
    <w:rsid w:val="00B82FB2"/>
    <w:rsid w:val="00B83761"/>
    <w:rsid w:val="00B83BC1"/>
    <w:rsid w:val="00B85728"/>
    <w:rsid w:val="00B85B25"/>
    <w:rsid w:val="00B914CA"/>
    <w:rsid w:val="00BA00F9"/>
    <w:rsid w:val="00BA0B5D"/>
    <w:rsid w:val="00BA20A8"/>
    <w:rsid w:val="00BA379A"/>
    <w:rsid w:val="00BA7120"/>
    <w:rsid w:val="00BA780B"/>
    <w:rsid w:val="00BA7D48"/>
    <w:rsid w:val="00BB13AA"/>
    <w:rsid w:val="00BB563F"/>
    <w:rsid w:val="00BB5CE2"/>
    <w:rsid w:val="00BB6F83"/>
    <w:rsid w:val="00BC0B39"/>
    <w:rsid w:val="00BC108E"/>
    <w:rsid w:val="00BC1C95"/>
    <w:rsid w:val="00BC2EE8"/>
    <w:rsid w:val="00BC49A0"/>
    <w:rsid w:val="00BC5000"/>
    <w:rsid w:val="00BC5441"/>
    <w:rsid w:val="00BC710A"/>
    <w:rsid w:val="00BD28BD"/>
    <w:rsid w:val="00BD5B9E"/>
    <w:rsid w:val="00BE2D33"/>
    <w:rsid w:val="00BE6C8B"/>
    <w:rsid w:val="00BF09D3"/>
    <w:rsid w:val="00BF2240"/>
    <w:rsid w:val="00BF383C"/>
    <w:rsid w:val="00BF548D"/>
    <w:rsid w:val="00BF5BE0"/>
    <w:rsid w:val="00C03B17"/>
    <w:rsid w:val="00C0782C"/>
    <w:rsid w:val="00C1084B"/>
    <w:rsid w:val="00C11C5A"/>
    <w:rsid w:val="00C12A63"/>
    <w:rsid w:val="00C15735"/>
    <w:rsid w:val="00C17189"/>
    <w:rsid w:val="00C2134F"/>
    <w:rsid w:val="00C34538"/>
    <w:rsid w:val="00C361D2"/>
    <w:rsid w:val="00C40403"/>
    <w:rsid w:val="00C40D42"/>
    <w:rsid w:val="00C43C45"/>
    <w:rsid w:val="00C43FB3"/>
    <w:rsid w:val="00C47888"/>
    <w:rsid w:val="00C50A72"/>
    <w:rsid w:val="00C51D78"/>
    <w:rsid w:val="00C52AB6"/>
    <w:rsid w:val="00C54AD6"/>
    <w:rsid w:val="00C554B6"/>
    <w:rsid w:val="00C55DD0"/>
    <w:rsid w:val="00C55EC5"/>
    <w:rsid w:val="00C5715B"/>
    <w:rsid w:val="00C57B5F"/>
    <w:rsid w:val="00C636A0"/>
    <w:rsid w:val="00C7188A"/>
    <w:rsid w:val="00C72543"/>
    <w:rsid w:val="00C730D1"/>
    <w:rsid w:val="00C76280"/>
    <w:rsid w:val="00C824B7"/>
    <w:rsid w:val="00C840E7"/>
    <w:rsid w:val="00C87850"/>
    <w:rsid w:val="00C9100A"/>
    <w:rsid w:val="00C91018"/>
    <w:rsid w:val="00C919BB"/>
    <w:rsid w:val="00C924D1"/>
    <w:rsid w:val="00C93D06"/>
    <w:rsid w:val="00C95AC5"/>
    <w:rsid w:val="00CA0FEC"/>
    <w:rsid w:val="00CA20B0"/>
    <w:rsid w:val="00CA3427"/>
    <w:rsid w:val="00CA4CDA"/>
    <w:rsid w:val="00CA51EB"/>
    <w:rsid w:val="00CA60E5"/>
    <w:rsid w:val="00CA72F0"/>
    <w:rsid w:val="00CB00B6"/>
    <w:rsid w:val="00CB055B"/>
    <w:rsid w:val="00CB0C1D"/>
    <w:rsid w:val="00CC187E"/>
    <w:rsid w:val="00CC1984"/>
    <w:rsid w:val="00CC26FF"/>
    <w:rsid w:val="00CC601D"/>
    <w:rsid w:val="00CC6626"/>
    <w:rsid w:val="00CC66D9"/>
    <w:rsid w:val="00CD12ED"/>
    <w:rsid w:val="00CD345B"/>
    <w:rsid w:val="00CD6CF6"/>
    <w:rsid w:val="00CE1153"/>
    <w:rsid w:val="00CE16EE"/>
    <w:rsid w:val="00CE54D8"/>
    <w:rsid w:val="00CE6289"/>
    <w:rsid w:val="00CE7486"/>
    <w:rsid w:val="00CF05EE"/>
    <w:rsid w:val="00CF291D"/>
    <w:rsid w:val="00CF2EF5"/>
    <w:rsid w:val="00CF2FE6"/>
    <w:rsid w:val="00CF39AC"/>
    <w:rsid w:val="00CF5128"/>
    <w:rsid w:val="00CF544D"/>
    <w:rsid w:val="00CF60CD"/>
    <w:rsid w:val="00CF72E2"/>
    <w:rsid w:val="00CF772E"/>
    <w:rsid w:val="00D00F5B"/>
    <w:rsid w:val="00D076CD"/>
    <w:rsid w:val="00D07D92"/>
    <w:rsid w:val="00D144CE"/>
    <w:rsid w:val="00D1510D"/>
    <w:rsid w:val="00D1693C"/>
    <w:rsid w:val="00D16AE8"/>
    <w:rsid w:val="00D2019B"/>
    <w:rsid w:val="00D21696"/>
    <w:rsid w:val="00D24AE1"/>
    <w:rsid w:val="00D26B67"/>
    <w:rsid w:val="00D3315F"/>
    <w:rsid w:val="00D36C6D"/>
    <w:rsid w:val="00D4152C"/>
    <w:rsid w:val="00D43D8B"/>
    <w:rsid w:val="00D44A4A"/>
    <w:rsid w:val="00D50870"/>
    <w:rsid w:val="00D5157A"/>
    <w:rsid w:val="00D54DC8"/>
    <w:rsid w:val="00D55D23"/>
    <w:rsid w:val="00D56E4A"/>
    <w:rsid w:val="00D57AF5"/>
    <w:rsid w:val="00D60D6E"/>
    <w:rsid w:val="00D60DA4"/>
    <w:rsid w:val="00D6255F"/>
    <w:rsid w:val="00D626D2"/>
    <w:rsid w:val="00D71A36"/>
    <w:rsid w:val="00D7288F"/>
    <w:rsid w:val="00D74E07"/>
    <w:rsid w:val="00D75098"/>
    <w:rsid w:val="00D75CF9"/>
    <w:rsid w:val="00D760DA"/>
    <w:rsid w:val="00D76CB7"/>
    <w:rsid w:val="00D80B99"/>
    <w:rsid w:val="00D8316C"/>
    <w:rsid w:val="00D84FD0"/>
    <w:rsid w:val="00D85064"/>
    <w:rsid w:val="00D85A8A"/>
    <w:rsid w:val="00D86F2E"/>
    <w:rsid w:val="00D874AC"/>
    <w:rsid w:val="00D87777"/>
    <w:rsid w:val="00D91478"/>
    <w:rsid w:val="00D92466"/>
    <w:rsid w:val="00D93990"/>
    <w:rsid w:val="00D95C66"/>
    <w:rsid w:val="00D97459"/>
    <w:rsid w:val="00D97B93"/>
    <w:rsid w:val="00D97C86"/>
    <w:rsid w:val="00DA036F"/>
    <w:rsid w:val="00DA10AA"/>
    <w:rsid w:val="00DA14E7"/>
    <w:rsid w:val="00DA1A59"/>
    <w:rsid w:val="00DA58F0"/>
    <w:rsid w:val="00DA7C0E"/>
    <w:rsid w:val="00DB22F1"/>
    <w:rsid w:val="00DB27AB"/>
    <w:rsid w:val="00DB6093"/>
    <w:rsid w:val="00DB6542"/>
    <w:rsid w:val="00DC2214"/>
    <w:rsid w:val="00DC2703"/>
    <w:rsid w:val="00DC70C2"/>
    <w:rsid w:val="00DC738B"/>
    <w:rsid w:val="00DD01DF"/>
    <w:rsid w:val="00DD4513"/>
    <w:rsid w:val="00DD7201"/>
    <w:rsid w:val="00DE2C93"/>
    <w:rsid w:val="00DE2E84"/>
    <w:rsid w:val="00DE68EE"/>
    <w:rsid w:val="00DF4668"/>
    <w:rsid w:val="00DF7D86"/>
    <w:rsid w:val="00E05E49"/>
    <w:rsid w:val="00E0615E"/>
    <w:rsid w:val="00E06415"/>
    <w:rsid w:val="00E13FE4"/>
    <w:rsid w:val="00E142FF"/>
    <w:rsid w:val="00E1471F"/>
    <w:rsid w:val="00E23220"/>
    <w:rsid w:val="00E271CF"/>
    <w:rsid w:val="00E305DD"/>
    <w:rsid w:val="00E30D8F"/>
    <w:rsid w:val="00E31B13"/>
    <w:rsid w:val="00E32D34"/>
    <w:rsid w:val="00E34AB9"/>
    <w:rsid w:val="00E4304B"/>
    <w:rsid w:val="00E434BC"/>
    <w:rsid w:val="00E45D22"/>
    <w:rsid w:val="00E50D55"/>
    <w:rsid w:val="00E519DF"/>
    <w:rsid w:val="00E5593E"/>
    <w:rsid w:val="00E567C2"/>
    <w:rsid w:val="00E6000B"/>
    <w:rsid w:val="00E60E9D"/>
    <w:rsid w:val="00E61576"/>
    <w:rsid w:val="00E63238"/>
    <w:rsid w:val="00E638A7"/>
    <w:rsid w:val="00E65FED"/>
    <w:rsid w:val="00E66F3E"/>
    <w:rsid w:val="00E67804"/>
    <w:rsid w:val="00E70179"/>
    <w:rsid w:val="00E713EE"/>
    <w:rsid w:val="00E72245"/>
    <w:rsid w:val="00E7302B"/>
    <w:rsid w:val="00E75940"/>
    <w:rsid w:val="00E83FFE"/>
    <w:rsid w:val="00E84C3D"/>
    <w:rsid w:val="00E87BB8"/>
    <w:rsid w:val="00E91B45"/>
    <w:rsid w:val="00E92A2B"/>
    <w:rsid w:val="00E93D4C"/>
    <w:rsid w:val="00E93F23"/>
    <w:rsid w:val="00E94262"/>
    <w:rsid w:val="00E949BC"/>
    <w:rsid w:val="00E9522A"/>
    <w:rsid w:val="00E95BC2"/>
    <w:rsid w:val="00E96FF9"/>
    <w:rsid w:val="00E97D41"/>
    <w:rsid w:val="00EA1BFC"/>
    <w:rsid w:val="00EA2162"/>
    <w:rsid w:val="00EA2439"/>
    <w:rsid w:val="00EA282F"/>
    <w:rsid w:val="00EA648B"/>
    <w:rsid w:val="00EB0CD9"/>
    <w:rsid w:val="00EB1AD9"/>
    <w:rsid w:val="00EB45AD"/>
    <w:rsid w:val="00EB4D2E"/>
    <w:rsid w:val="00EB5538"/>
    <w:rsid w:val="00EC0345"/>
    <w:rsid w:val="00EC1B0D"/>
    <w:rsid w:val="00EC2402"/>
    <w:rsid w:val="00EC35AA"/>
    <w:rsid w:val="00EC6C0C"/>
    <w:rsid w:val="00EC7D5C"/>
    <w:rsid w:val="00ED20B1"/>
    <w:rsid w:val="00ED2850"/>
    <w:rsid w:val="00ED2DDD"/>
    <w:rsid w:val="00EE1978"/>
    <w:rsid w:val="00EE3613"/>
    <w:rsid w:val="00EE4154"/>
    <w:rsid w:val="00EF42E1"/>
    <w:rsid w:val="00EF4B3F"/>
    <w:rsid w:val="00F00AD3"/>
    <w:rsid w:val="00F03879"/>
    <w:rsid w:val="00F0476A"/>
    <w:rsid w:val="00F0619E"/>
    <w:rsid w:val="00F133F7"/>
    <w:rsid w:val="00F17F1C"/>
    <w:rsid w:val="00F21171"/>
    <w:rsid w:val="00F216F3"/>
    <w:rsid w:val="00F248D5"/>
    <w:rsid w:val="00F25FE5"/>
    <w:rsid w:val="00F26EA6"/>
    <w:rsid w:val="00F3008F"/>
    <w:rsid w:val="00F30A7C"/>
    <w:rsid w:val="00F32A21"/>
    <w:rsid w:val="00F345BA"/>
    <w:rsid w:val="00F34CCE"/>
    <w:rsid w:val="00F36459"/>
    <w:rsid w:val="00F40CB4"/>
    <w:rsid w:val="00F41AC8"/>
    <w:rsid w:val="00F43E0C"/>
    <w:rsid w:val="00F44038"/>
    <w:rsid w:val="00F512C5"/>
    <w:rsid w:val="00F51CDB"/>
    <w:rsid w:val="00F51F4A"/>
    <w:rsid w:val="00F52B64"/>
    <w:rsid w:val="00F52F26"/>
    <w:rsid w:val="00F52FEB"/>
    <w:rsid w:val="00F53669"/>
    <w:rsid w:val="00F53D53"/>
    <w:rsid w:val="00F65CFE"/>
    <w:rsid w:val="00F66646"/>
    <w:rsid w:val="00F66656"/>
    <w:rsid w:val="00F7047C"/>
    <w:rsid w:val="00F706D3"/>
    <w:rsid w:val="00F71DC2"/>
    <w:rsid w:val="00F75150"/>
    <w:rsid w:val="00F75481"/>
    <w:rsid w:val="00F77115"/>
    <w:rsid w:val="00F82809"/>
    <w:rsid w:val="00F8336E"/>
    <w:rsid w:val="00F86CFC"/>
    <w:rsid w:val="00F902A0"/>
    <w:rsid w:val="00F90EB2"/>
    <w:rsid w:val="00F91378"/>
    <w:rsid w:val="00F91B1D"/>
    <w:rsid w:val="00F9450C"/>
    <w:rsid w:val="00F94C69"/>
    <w:rsid w:val="00F9605A"/>
    <w:rsid w:val="00FA207C"/>
    <w:rsid w:val="00FA6688"/>
    <w:rsid w:val="00FA7393"/>
    <w:rsid w:val="00FB00C8"/>
    <w:rsid w:val="00FB0AB4"/>
    <w:rsid w:val="00FB0F24"/>
    <w:rsid w:val="00FB0F85"/>
    <w:rsid w:val="00FB3863"/>
    <w:rsid w:val="00FB641E"/>
    <w:rsid w:val="00FB7E04"/>
    <w:rsid w:val="00FC1C6B"/>
    <w:rsid w:val="00FC205B"/>
    <w:rsid w:val="00FC30B2"/>
    <w:rsid w:val="00FC5C46"/>
    <w:rsid w:val="00FD36D6"/>
    <w:rsid w:val="00FD430F"/>
    <w:rsid w:val="00FD4DBB"/>
    <w:rsid w:val="00FD6179"/>
    <w:rsid w:val="00FE0551"/>
    <w:rsid w:val="00FE1B6F"/>
    <w:rsid w:val="00FE291F"/>
    <w:rsid w:val="00FE3175"/>
    <w:rsid w:val="00FE4ACA"/>
    <w:rsid w:val="00FE7780"/>
    <w:rsid w:val="00FF1DB1"/>
    <w:rsid w:val="00FF59B3"/>
    <w:rsid w:val="00FF770C"/>
    <w:rsid w:val="00FF7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lang w:val="es-P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s2">
    <w:name w:val="s2"/>
    <w:basedOn w:val="DefaultParagraphFont"/>
    <w:rsid w:val="0095394E"/>
  </w:style>
  <w:style w:type="character" w:styleId="UnresolvedMention">
    <w:name w:val="Unresolved Mention"/>
    <w:basedOn w:val="DefaultParagraphFont"/>
    <w:uiPriority w:val="99"/>
    <w:semiHidden/>
    <w:unhideWhenUsed/>
    <w:rsid w:val="00483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opal.pr.gov/informes/informe-2026-510-pc-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1481</Words>
  <Characters>8445</Characters>
  <Application>Microsoft Office Word</Application>
  <DocSecurity>4</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2026-06-25T20:00:00Z</dcterms:created>
  <dcterms:modified xsi:type="dcterms:W3CDTF">2026-06-25T20:00:00Z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