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550B9" w14:textId="77777777" w:rsidR="00527A8F" w:rsidRDefault="00527A8F" w:rsidP="00527A8F">
      <w:pPr>
        <w:jc w:val="center"/>
        <w:rPr>
          <w:rFonts w:ascii="Book Antiqua" w:hAnsi="Book Antiqua"/>
          <w:color w:val="000000"/>
        </w:rPr>
      </w:pPr>
      <w:r>
        <w:rPr>
          <w:rFonts w:ascii="Book Antiqua" w:hAnsi="Book Antiqua"/>
          <w:b/>
          <w:color w:val="000000"/>
          <w:sz w:val="28"/>
          <w:szCs w:val="28"/>
        </w:rPr>
        <w:t>GOBIERNO DE PUERTO RICO</w:t>
      </w:r>
    </w:p>
    <w:p w14:paraId="2896C5E4" w14:textId="77777777" w:rsidR="00527A8F" w:rsidRDefault="00527A8F" w:rsidP="00527A8F">
      <w:pPr>
        <w:pStyle w:val="Title2"/>
        <w:rPr>
          <w:rFonts w:ascii="Book Antiqua" w:hAnsi="Book Antiqua"/>
          <w:color w:val="000000"/>
          <w:sz w:val="24"/>
          <w:lang w:val="es-ES"/>
        </w:rPr>
      </w:pPr>
    </w:p>
    <w:p w14:paraId="3B3278E5" w14:textId="77777777" w:rsidR="00527A8F" w:rsidRDefault="00527A8F" w:rsidP="00527A8F">
      <w:pPr>
        <w:pStyle w:val="Title2"/>
        <w:rPr>
          <w:rFonts w:ascii="Book Antiqua" w:hAnsi="Book Antiqua"/>
          <w:color w:val="000000"/>
          <w:sz w:val="24"/>
          <w:lang w:val="es-ES"/>
        </w:rPr>
      </w:pPr>
      <w:r>
        <w:rPr>
          <w:rFonts w:ascii="Book Antiqua" w:hAnsi="Book Antiqua"/>
          <w:color w:val="000000"/>
          <w:sz w:val="24"/>
          <w:lang w:val="es-ES"/>
        </w:rPr>
        <w:t>20ma.</w:t>
      </w:r>
      <w:r>
        <w:rPr>
          <w:rFonts w:ascii="Book Antiqua" w:hAnsi="Book Antiqua"/>
          <w:color w:val="000000"/>
          <w:position w:val="10"/>
          <w:sz w:val="24"/>
          <w:vertAlign w:val="superscript"/>
          <w:lang w:val="es-ES"/>
        </w:rPr>
        <w:t xml:space="preserve"> </w:t>
      </w:r>
      <w:r>
        <w:rPr>
          <w:rFonts w:ascii="Book Antiqua" w:hAnsi="Book Antiqua"/>
          <w:color w:val="000000"/>
          <w:sz w:val="24"/>
          <w:lang w:val="es-ES"/>
        </w:rPr>
        <w:t>Asamblea</w:t>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t xml:space="preserve">         2da.</w:t>
      </w:r>
      <w:r>
        <w:rPr>
          <w:rFonts w:ascii="Book Antiqua" w:hAnsi="Book Antiqua"/>
          <w:color w:val="000000"/>
          <w:position w:val="10"/>
          <w:sz w:val="24"/>
          <w:vertAlign w:val="superscript"/>
          <w:lang w:val="es-ES"/>
        </w:rPr>
        <w:t xml:space="preserve"> </w:t>
      </w:r>
      <w:r>
        <w:rPr>
          <w:rFonts w:ascii="Book Antiqua" w:hAnsi="Book Antiqua"/>
          <w:color w:val="000000"/>
          <w:sz w:val="24"/>
          <w:lang w:val="es-ES"/>
        </w:rPr>
        <w:t xml:space="preserve">Sesión </w:t>
      </w:r>
    </w:p>
    <w:p w14:paraId="1A54C475" w14:textId="77777777" w:rsidR="00527A8F" w:rsidRPr="00F54317" w:rsidRDefault="00527A8F" w:rsidP="00527A8F">
      <w:pPr>
        <w:pStyle w:val="Title2"/>
        <w:rPr>
          <w:rFonts w:ascii="Book Antiqua" w:hAnsi="Book Antiqua"/>
          <w:color w:val="000000"/>
          <w:sz w:val="24"/>
          <w:lang w:val="es-ES"/>
        </w:rPr>
      </w:pPr>
      <w:r>
        <w:rPr>
          <w:rFonts w:ascii="Book Antiqua" w:hAnsi="Book Antiqua"/>
          <w:color w:val="000000"/>
          <w:sz w:val="24"/>
          <w:lang w:val="es-ES"/>
        </w:rPr>
        <w:t xml:space="preserve">        Legislativa</w:t>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t xml:space="preserve"> Ordinaria </w:t>
      </w:r>
    </w:p>
    <w:p w14:paraId="4101791F" w14:textId="77777777" w:rsidR="00527A8F" w:rsidRDefault="00527A8F" w:rsidP="00527A8F">
      <w:pPr>
        <w:jc w:val="center"/>
        <w:rPr>
          <w:rFonts w:ascii="Book Antiqua" w:hAnsi="Book Antiqua"/>
          <w:b/>
          <w:bCs/>
          <w:color w:val="000000"/>
          <w:sz w:val="28"/>
          <w:szCs w:val="28"/>
        </w:rPr>
      </w:pPr>
    </w:p>
    <w:p w14:paraId="70907213" w14:textId="77777777" w:rsidR="00527A8F" w:rsidRDefault="00527A8F" w:rsidP="00527A8F">
      <w:pPr>
        <w:jc w:val="center"/>
        <w:rPr>
          <w:rFonts w:ascii="Book Antiqua" w:hAnsi="Book Antiqua"/>
          <w:b/>
          <w:bCs/>
          <w:color w:val="000000"/>
          <w:sz w:val="36"/>
          <w:szCs w:val="36"/>
        </w:rPr>
      </w:pPr>
      <w:r>
        <w:rPr>
          <w:rFonts w:ascii="Book Antiqua" w:hAnsi="Book Antiqua"/>
          <w:b/>
          <w:bCs/>
          <w:color w:val="000000"/>
          <w:sz w:val="36"/>
          <w:szCs w:val="36"/>
        </w:rPr>
        <w:t>CÁMARA DE REPRESENTANTES</w:t>
      </w:r>
    </w:p>
    <w:p w14:paraId="70753E9B" w14:textId="77777777" w:rsidR="00527A8F" w:rsidRDefault="00527A8F" w:rsidP="00527A8F">
      <w:pPr>
        <w:jc w:val="center"/>
        <w:rPr>
          <w:rFonts w:ascii="Book Antiqua" w:hAnsi="Book Antiqua"/>
        </w:rPr>
      </w:pPr>
    </w:p>
    <w:p w14:paraId="74183A93" w14:textId="17979ADF" w:rsidR="00527A8F" w:rsidRPr="00F54317" w:rsidRDefault="00527A8F" w:rsidP="00527A8F">
      <w:pPr>
        <w:jc w:val="center"/>
        <w:rPr>
          <w:rFonts w:ascii="Book Antiqua" w:hAnsi="Book Antiqua"/>
          <w:b/>
          <w:sz w:val="28"/>
          <w:szCs w:val="28"/>
        </w:rPr>
      </w:pPr>
      <w:r>
        <w:rPr>
          <w:rFonts w:ascii="Book Antiqua" w:hAnsi="Book Antiqua"/>
          <w:b/>
          <w:sz w:val="52"/>
          <w:szCs w:val="52"/>
        </w:rPr>
        <w:t>R. C. de la C. 240</w:t>
      </w:r>
    </w:p>
    <w:p w14:paraId="0084DD29" w14:textId="2E1D1476" w:rsidR="000F2FB2" w:rsidRPr="000F2FB2" w:rsidRDefault="000F2FB2" w:rsidP="00527A8F">
      <w:pPr>
        <w:spacing w:after="0" w:line="360" w:lineRule="auto"/>
        <w:jc w:val="center"/>
        <w:rPr>
          <w:rFonts w:ascii="Book Antiqua" w:eastAsia="Times New Roman" w:hAnsi="Book Antiqua" w:cs="Times New Roman"/>
          <w:b/>
          <w:kern w:val="0"/>
          <w:sz w:val="28"/>
          <w:szCs w:val="28"/>
          <w:lang w:val="es-ES_tradnl"/>
          <w14:ligatures w14:val="none"/>
        </w:rPr>
      </w:pPr>
      <w:r w:rsidRPr="000F2FB2">
        <w:rPr>
          <w:rFonts w:ascii="Book Antiqua" w:eastAsia="Times New Roman" w:hAnsi="Book Antiqua" w:cs="Times New Roman"/>
          <w:b/>
          <w:kern w:val="0"/>
          <w:sz w:val="28"/>
          <w:szCs w:val="28"/>
          <w:lang w:val="es-ES_tradnl"/>
          <w14:ligatures w14:val="none"/>
        </w:rPr>
        <w:t>INFORME POSITIVO</w:t>
      </w:r>
    </w:p>
    <w:p w14:paraId="042522DF" w14:textId="69381B4A" w:rsidR="000F2FB2" w:rsidRPr="000F2FB2" w:rsidRDefault="007512AE" w:rsidP="00527A8F">
      <w:pPr>
        <w:tabs>
          <w:tab w:val="left" w:pos="3615"/>
          <w:tab w:val="center" w:pos="4680"/>
        </w:tabs>
        <w:spacing w:after="0" w:line="360" w:lineRule="auto"/>
        <w:jc w:val="center"/>
        <w:rPr>
          <w:rFonts w:ascii="Book Antiqua" w:eastAsia="Times New Roman" w:hAnsi="Book Antiqua" w:cs="Times New Roman"/>
          <w:b/>
          <w:kern w:val="0"/>
          <w:lang w:val="es-ES_tradnl"/>
          <w14:ligatures w14:val="none"/>
        </w:rPr>
      </w:pPr>
      <w:r>
        <w:rPr>
          <w:rFonts w:ascii="Book Antiqua" w:eastAsia="Times New Roman" w:hAnsi="Book Antiqua" w:cs="Times New Roman"/>
          <w:kern w:val="0"/>
          <w:lang w:val="es-ES_tradnl"/>
          <w14:ligatures w14:val="none"/>
        </w:rPr>
        <w:t>12</w:t>
      </w:r>
      <w:r w:rsidR="000F2FB2" w:rsidRPr="000F2FB2">
        <w:rPr>
          <w:rFonts w:ascii="Book Antiqua" w:eastAsia="Times New Roman" w:hAnsi="Book Antiqua" w:cs="Times New Roman"/>
          <w:kern w:val="0"/>
          <w:lang w:val="es-ES_tradnl"/>
          <w14:ligatures w14:val="none"/>
        </w:rPr>
        <w:t xml:space="preserve"> de noviembre de 2025</w:t>
      </w:r>
    </w:p>
    <w:p w14:paraId="1FB7889A" w14:textId="77777777" w:rsidR="000F2FB2" w:rsidRPr="000F2FB2" w:rsidRDefault="000F2FB2" w:rsidP="000F2FB2">
      <w:pPr>
        <w:spacing w:after="0" w:line="240" w:lineRule="auto"/>
        <w:jc w:val="both"/>
        <w:rPr>
          <w:rFonts w:ascii="Book Antiqua" w:eastAsia="Times New Roman" w:hAnsi="Book Antiqua" w:cs="Times New Roman"/>
          <w:b/>
          <w:kern w:val="0"/>
          <w:lang w:val="es-ES_tradnl"/>
          <w14:ligatures w14:val="none"/>
        </w:rPr>
      </w:pPr>
    </w:p>
    <w:p w14:paraId="5F0034C6" w14:textId="77777777" w:rsidR="000F2FB2" w:rsidRDefault="000F2FB2" w:rsidP="003B6837">
      <w:pPr>
        <w:spacing w:after="120" w:line="276" w:lineRule="auto"/>
        <w:jc w:val="center"/>
        <w:rPr>
          <w:rFonts w:ascii="Book Antiqua" w:eastAsia="Times New Roman" w:hAnsi="Book Antiqua" w:cs="Times New Roman"/>
          <w:b/>
          <w:kern w:val="0"/>
          <w:lang w:val="es-ES_tradnl"/>
          <w14:ligatures w14:val="none"/>
        </w:rPr>
      </w:pPr>
      <w:r w:rsidRPr="000F2FB2">
        <w:rPr>
          <w:rFonts w:ascii="Book Antiqua" w:eastAsia="Times New Roman" w:hAnsi="Book Antiqua" w:cs="Times New Roman"/>
          <w:b/>
          <w:kern w:val="0"/>
          <w:lang w:val="es-ES_tradnl"/>
          <w14:ligatures w14:val="none"/>
        </w:rPr>
        <w:t>A LA CÁMARA DE REPRESENTANTES DE PUERTO RICO</w:t>
      </w:r>
    </w:p>
    <w:p w14:paraId="4B6048CD" w14:textId="77777777" w:rsidR="00CF373E" w:rsidRPr="000F2FB2" w:rsidRDefault="00CF373E" w:rsidP="000F2FB2">
      <w:pPr>
        <w:spacing w:after="120" w:line="276" w:lineRule="auto"/>
        <w:jc w:val="both"/>
        <w:rPr>
          <w:rFonts w:ascii="Book Antiqua" w:eastAsia="Times New Roman" w:hAnsi="Book Antiqua" w:cs="Times New Roman"/>
          <w:b/>
          <w:kern w:val="0"/>
          <w:lang w:val="es-ES_tradnl"/>
          <w14:ligatures w14:val="none"/>
        </w:rPr>
      </w:pPr>
    </w:p>
    <w:p w14:paraId="25F56CA8" w14:textId="4F51DD9D" w:rsidR="000F2FB2" w:rsidRPr="000F2FB2" w:rsidRDefault="000F2FB2" w:rsidP="00527A8F">
      <w:pPr>
        <w:spacing w:after="0" w:line="276" w:lineRule="auto"/>
        <w:jc w:val="both"/>
        <w:rPr>
          <w:rFonts w:ascii="Book Antiqua" w:eastAsia="Times New Roman" w:hAnsi="Book Antiqua" w:cs="Times New Roman"/>
          <w:kern w:val="0"/>
          <w14:ligatures w14:val="none"/>
        </w:rPr>
      </w:pPr>
      <w:r w:rsidRPr="000F2FB2">
        <w:rPr>
          <w:rFonts w:ascii="Book Antiqua" w:eastAsia="Times New Roman" w:hAnsi="Book Antiqua" w:cs="Times New Roman"/>
          <w:kern w:val="0"/>
          <w14:ligatures w14:val="none"/>
        </w:rPr>
        <w:t xml:space="preserve">La Comisión de Hacienda de la Cámara de Representantes, previo estudio, análisis y consideración de </w:t>
      </w:r>
      <w:r w:rsidRPr="004167D1">
        <w:rPr>
          <w:rFonts w:ascii="Book Antiqua" w:eastAsia="Times New Roman" w:hAnsi="Book Antiqua" w:cs="Times New Roman"/>
          <w:kern w:val="0"/>
          <w14:ligatures w14:val="none"/>
        </w:rPr>
        <w:t>la Resolución</w:t>
      </w:r>
      <w:r w:rsidRPr="000F2FB2">
        <w:rPr>
          <w:rFonts w:ascii="Book Antiqua" w:eastAsia="Times New Roman" w:hAnsi="Book Antiqua" w:cs="Times New Roman"/>
          <w:kern w:val="0"/>
          <w14:ligatures w14:val="none"/>
        </w:rPr>
        <w:t xml:space="preserve"> Conjunta de la Cámara 240, y en cumplimiento con las disposiciones del Reglamento de la Cámara de Representantes, tiene a bien recomendar a este Honorable Cuerpo la aprobación de esta medida, </w:t>
      </w:r>
      <w:r w:rsidR="00CF373E" w:rsidRPr="00CF373E">
        <w:rPr>
          <w:rFonts w:ascii="Book Antiqua" w:eastAsia="Times New Roman" w:hAnsi="Book Antiqua" w:cs="Times New Roman"/>
          <w:kern w:val="0"/>
          <w14:ligatures w14:val="none"/>
        </w:rPr>
        <w:t xml:space="preserve">con las enmiendas que se incluyen en el </w:t>
      </w:r>
      <w:proofErr w:type="spellStart"/>
      <w:r w:rsidR="00CF373E" w:rsidRPr="00CF373E">
        <w:rPr>
          <w:rFonts w:ascii="Book Antiqua" w:eastAsia="Times New Roman" w:hAnsi="Book Antiqua" w:cs="Times New Roman"/>
          <w:kern w:val="0"/>
          <w14:ligatures w14:val="none"/>
        </w:rPr>
        <w:t>entirillado</w:t>
      </w:r>
      <w:proofErr w:type="spellEnd"/>
      <w:r w:rsidR="00CF373E" w:rsidRPr="00CF373E">
        <w:rPr>
          <w:rFonts w:ascii="Book Antiqua" w:eastAsia="Times New Roman" w:hAnsi="Book Antiqua" w:cs="Times New Roman"/>
          <w:kern w:val="0"/>
          <w14:ligatures w14:val="none"/>
        </w:rPr>
        <w:t xml:space="preserve"> </w:t>
      </w:r>
      <w:r w:rsidR="00527A8F">
        <w:rPr>
          <w:rFonts w:ascii="Book Antiqua" w:eastAsia="Times New Roman" w:hAnsi="Book Antiqua" w:cs="Times New Roman"/>
          <w:kern w:val="0"/>
          <w14:ligatures w14:val="none"/>
        </w:rPr>
        <w:t xml:space="preserve">electrónico </w:t>
      </w:r>
      <w:r w:rsidR="00CF373E" w:rsidRPr="00CF373E">
        <w:rPr>
          <w:rFonts w:ascii="Book Antiqua" w:eastAsia="Times New Roman" w:hAnsi="Book Antiqua" w:cs="Times New Roman"/>
          <w:kern w:val="0"/>
          <w14:ligatures w14:val="none"/>
        </w:rPr>
        <w:t>que se acompaña</w:t>
      </w:r>
      <w:r w:rsidRPr="000F2FB2">
        <w:rPr>
          <w:rFonts w:ascii="Book Antiqua" w:eastAsia="Times New Roman" w:hAnsi="Book Antiqua" w:cs="Times New Roman"/>
          <w:kern w:val="0"/>
          <w14:ligatures w14:val="none"/>
        </w:rPr>
        <w:t>.</w:t>
      </w:r>
    </w:p>
    <w:p w14:paraId="53562739" w14:textId="77777777" w:rsidR="000F2FB2" w:rsidRPr="000F2FB2" w:rsidRDefault="000F2FB2" w:rsidP="000F2FB2">
      <w:pPr>
        <w:spacing w:after="120" w:line="276" w:lineRule="auto"/>
        <w:rPr>
          <w:rFonts w:ascii="Book Antiqua" w:eastAsia="Times New Roman" w:hAnsi="Book Antiqua" w:cs="Times New Roman"/>
          <w:b/>
          <w:kern w:val="0"/>
          <w:szCs w:val="32"/>
          <w14:ligatures w14:val="none"/>
        </w:rPr>
      </w:pPr>
    </w:p>
    <w:p w14:paraId="3FD00F4F" w14:textId="5D1F0FB8" w:rsidR="000F2FB2" w:rsidRDefault="000F2FB2" w:rsidP="000F2FB2">
      <w:pPr>
        <w:spacing w:after="120" w:line="276" w:lineRule="auto"/>
        <w:jc w:val="center"/>
        <w:rPr>
          <w:rFonts w:ascii="Book Antiqua" w:eastAsia="Times New Roman" w:hAnsi="Book Antiqua" w:cs="Times New Roman"/>
          <w:b/>
          <w:kern w:val="0"/>
          <w14:ligatures w14:val="none"/>
        </w:rPr>
      </w:pPr>
      <w:r w:rsidRPr="000F2FB2">
        <w:rPr>
          <w:rFonts w:ascii="Book Antiqua" w:eastAsia="Times New Roman" w:hAnsi="Book Antiqua" w:cs="Times New Roman"/>
          <w:b/>
          <w:kern w:val="0"/>
          <w14:ligatures w14:val="none"/>
        </w:rPr>
        <w:t>ALCANCE DE LA MEDIDA</w:t>
      </w:r>
    </w:p>
    <w:p w14:paraId="3FCD3E30" w14:textId="77777777" w:rsidR="00CF373E" w:rsidRPr="000F2FB2" w:rsidRDefault="00CF373E" w:rsidP="000F2FB2">
      <w:pPr>
        <w:spacing w:after="120" w:line="276" w:lineRule="auto"/>
        <w:jc w:val="center"/>
        <w:rPr>
          <w:rFonts w:ascii="Book Antiqua" w:eastAsia="Times New Roman" w:hAnsi="Book Antiqua" w:cs="Times New Roman"/>
          <w:b/>
          <w:kern w:val="0"/>
          <w14:ligatures w14:val="none"/>
        </w:rPr>
      </w:pPr>
    </w:p>
    <w:p w14:paraId="147F30FB" w14:textId="6827E795" w:rsidR="000F2FB2" w:rsidRDefault="000F2FB2" w:rsidP="00527A8F">
      <w:pPr>
        <w:tabs>
          <w:tab w:val="left" w:pos="3975"/>
        </w:tabs>
        <w:spacing w:after="120" w:line="276" w:lineRule="auto"/>
        <w:jc w:val="both"/>
        <w:rPr>
          <w:rFonts w:ascii="Book Antiqua" w:eastAsia="Times New Roman" w:hAnsi="Book Antiqua" w:cs="Times New Roman"/>
          <w:kern w:val="0"/>
          <w:szCs w:val="20"/>
          <w14:ligatures w14:val="none"/>
        </w:rPr>
      </w:pPr>
      <w:r w:rsidRPr="004167D1">
        <w:rPr>
          <w:rFonts w:ascii="Book Antiqua" w:eastAsia="Times New Roman" w:hAnsi="Book Antiqua" w:cs="Times New Roman"/>
          <w:kern w:val="0"/>
          <w:szCs w:val="20"/>
          <w14:ligatures w14:val="none"/>
        </w:rPr>
        <w:t>La Resolución Conjunta de la Cámara 240 tiene como propósito</w:t>
      </w:r>
      <w:r w:rsidR="00527A8F">
        <w:rPr>
          <w:rFonts w:ascii="Book Antiqua" w:eastAsia="Times New Roman" w:hAnsi="Book Antiqua" w:cs="Times New Roman"/>
          <w:kern w:val="0"/>
          <w:szCs w:val="20"/>
          <w14:ligatures w14:val="none"/>
        </w:rPr>
        <w:t>,</w:t>
      </w:r>
      <w:r w:rsidRPr="004167D1">
        <w:rPr>
          <w:rFonts w:ascii="Book Antiqua" w:eastAsia="Times New Roman" w:hAnsi="Book Antiqua" w:cs="Times New Roman"/>
          <w:kern w:val="0"/>
          <w:szCs w:val="20"/>
          <w14:ligatures w14:val="none"/>
        </w:rPr>
        <w:t xml:space="preserve"> ordenar al </w:t>
      </w:r>
      <w:proofErr w:type="gramStart"/>
      <w:r w:rsidRPr="004167D1">
        <w:rPr>
          <w:rFonts w:ascii="Book Antiqua" w:eastAsia="Times New Roman" w:hAnsi="Book Antiqua" w:cs="Times New Roman"/>
          <w:kern w:val="0"/>
          <w:szCs w:val="20"/>
          <w14:ligatures w14:val="none"/>
        </w:rPr>
        <w:t>Secretario</w:t>
      </w:r>
      <w:proofErr w:type="gramEnd"/>
      <w:r w:rsidRPr="004167D1">
        <w:rPr>
          <w:rFonts w:ascii="Book Antiqua" w:eastAsia="Times New Roman" w:hAnsi="Book Antiqua" w:cs="Times New Roman"/>
          <w:kern w:val="0"/>
          <w:szCs w:val="20"/>
          <w14:ligatures w14:val="none"/>
        </w:rPr>
        <w:t xml:space="preserve"> del Departamento de Hacienda de Puerto Rico a emitir una Determinación Administrativa bajo la Ley Núm. 1-2011, conocida como el “Código de Rentas Internas de Puerto Rico de 2011”, con el fin de establecer las reglas contributivas aplicables a las distribuciones en efectivo realizadas por razón del cierre del Gobierno Federal, denominadas “Distribuciones Elegibles”. Dichas reglas abarcan tanto los fideicomisos de empleados cualificados bajo la Sección 1081.01 del Código, conocidos como Planes de Retiro, como las cuentas de retiro individual establecidas bajo la Sección 1081.02 del Código, conocidas como Cuentas IRA. La medida también dispone que se definan las responsabilidades de los fiduciarios, administradores y proveedores de servicios de estos planes y cuentas en </w:t>
      </w:r>
      <w:r w:rsidRPr="004167D1">
        <w:rPr>
          <w:rFonts w:ascii="Book Antiqua" w:eastAsia="Times New Roman" w:hAnsi="Book Antiqua" w:cs="Times New Roman"/>
          <w:kern w:val="0"/>
          <w:szCs w:val="20"/>
          <w14:ligatures w14:val="none"/>
        </w:rPr>
        <w:lastRenderedPageBreak/>
        <w:t>cuanto a su función como agentes retenedores, se establezcan tasas contributivas preferenciales para los residentes de Puerto Rico que reciban las distribuciones, y se adopten reglas aplicables a préstamos a participantes en Planes de Retiro como mecanismo de alivio económico inmediato. Finalmente, la Resolución ordena que la Determinación Administrativa se apruebe y publique dentro de un término improrrogable de setenta y dos (72) horas a partir de la aprobación de la medida.</w:t>
      </w:r>
    </w:p>
    <w:p w14:paraId="02F51270" w14:textId="77777777" w:rsidR="00527A8F" w:rsidRPr="000F2FB2" w:rsidRDefault="00527A8F" w:rsidP="00527A8F">
      <w:pPr>
        <w:tabs>
          <w:tab w:val="left" w:pos="3975"/>
        </w:tabs>
        <w:spacing w:after="120" w:line="276" w:lineRule="auto"/>
        <w:jc w:val="both"/>
        <w:rPr>
          <w:rFonts w:ascii="Book Antiqua" w:eastAsia="Times New Roman" w:hAnsi="Book Antiqua" w:cs="Times New Roman"/>
          <w:kern w:val="0"/>
          <w:szCs w:val="20"/>
          <w14:ligatures w14:val="none"/>
        </w:rPr>
      </w:pPr>
    </w:p>
    <w:p w14:paraId="255A21C5" w14:textId="724BFCA3" w:rsidR="00CF373E" w:rsidRDefault="000F2FB2" w:rsidP="00527A8F">
      <w:pPr>
        <w:spacing w:before="100" w:beforeAutospacing="1" w:after="120" w:line="276" w:lineRule="auto"/>
        <w:jc w:val="center"/>
        <w:rPr>
          <w:rFonts w:ascii="Book Antiqua" w:eastAsia="Times New Roman" w:hAnsi="Book Antiqua" w:cs="Times New Roman"/>
          <w:b/>
          <w:kern w:val="0"/>
          <w14:ligatures w14:val="none"/>
        </w:rPr>
      </w:pPr>
      <w:r w:rsidRPr="000F2FB2">
        <w:rPr>
          <w:rFonts w:ascii="Book Antiqua" w:eastAsia="Times New Roman" w:hAnsi="Book Antiqua" w:cs="Times New Roman"/>
          <w:b/>
          <w:kern w:val="0"/>
          <w14:ligatures w14:val="none"/>
        </w:rPr>
        <w:t>ANÁLISIS DE LA MEDIDA</w:t>
      </w:r>
    </w:p>
    <w:p w14:paraId="48BCCEC7" w14:textId="77777777" w:rsidR="00527A8F" w:rsidRPr="000F2FB2" w:rsidRDefault="00527A8F" w:rsidP="00527A8F">
      <w:pPr>
        <w:spacing w:before="100" w:beforeAutospacing="1" w:after="120" w:line="276" w:lineRule="auto"/>
        <w:jc w:val="center"/>
        <w:rPr>
          <w:rFonts w:ascii="Book Antiqua" w:eastAsia="Times New Roman" w:hAnsi="Book Antiqua" w:cs="Times New Roman"/>
          <w:b/>
          <w:kern w:val="0"/>
          <w14:ligatures w14:val="none"/>
        </w:rPr>
      </w:pPr>
    </w:p>
    <w:p w14:paraId="20ACFB0E" w14:textId="1DF99FE5" w:rsidR="00360BFB" w:rsidRDefault="00360BFB" w:rsidP="00CF373E">
      <w:pPr>
        <w:jc w:val="both"/>
        <w:rPr>
          <w:rFonts w:ascii="Book Antiqua" w:hAnsi="Book Antiqua"/>
          <w:color w:val="000000"/>
        </w:rPr>
      </w:pPr>
      <w:r w:rsidRPr="00360BFB">
        <w:rPr>
          <w:rFonts w:ascii="Book Antiqua" w:hAnsi="Book Antiqua"/>
          <w:color w:val="000000"/>
        </w:rPr>
        <w:t xml:space="preserve">El cierre del Gobierno Federal iniciado el </w:t>
      </w:r>
      <w:r w:rsidRPr="00D35847">
        <w:rPr>
          <w:rFonts w:ascii="Book Antiqua" w:hAnsi="Book Antiqua"/>
          <w:bCs/>
          <w:color w:val="000000"/>
        </w:rPr>
        <w:t>1 de octubre de 2025</w:t>
      </w:r>
      <w:r w:rsidRPr="00360BFB">
        <w:rPr>
          <w:rFonts w:ascii="Book Antiqua" w:hAnsi="Book Antiqua"/>
          <w:color w:val="000000"/>
        </w:rPr>
        <w:t xml:space="preserve"> ha superado ya </w:t>
      </w:r>
      <w:r w:rsidRPr="00360BFB">
        <w:rPr>
          <w:rFonts w:ascii="Book Antiqua" w:hAnsi="Book Antiqua"/>
          <w:bCs/>
          <w:color w:val="000000"/>
        </w:rPr>
        <w:t>más de un mes de duración</w:t>
      </w:r>
      <w:r w:rsidRPr="00360BFB">
        <w:rPr>
          <w:rFonts w:ascii="Book Antiqua" w:hAnsi="Book Antiqua"/>
          <w:color w:val="000000"/>
        </w:rPr>
        <w:t xml:space="preserve">, convirtiéndose en el más prolongado en la historia de los Estados Unidos. Miles de empleados federales en Puerto Rico han dejado de percibir ingresos debido a esta situación, y las declaraciones públicas del </w:t>
      </w:r>
      <w:proofErr w:type="gramStart"/>
      <w:r w:rsidRPr="00360BFB">
        <w:rPr>
          <w:rFonts w:ascii="Book Antiqua" w:hAnsi="Book Antiqua"/>
          <w:color w:val="000000"/>
        </w:rPr>
        <w:t>Presidente</w:t>
      </w:r>
      <w:proofErr w:type="gramEnd"/>
      <w:r w:rsidRPr="00360BFB">
        <w:rPr>
          <w:rFonts w:ascii="Book Antiqua" w:hAnsi="Book Antiqua"/>
          <w:color w:val="000000"/>
        </w:rPr>
        <w:t xml:space="preserve"> de los Estados Unidos sobre la posibilidad de </w:t>
      </w:r>
      <w:r w:rsidR="003071E7">
        <w:rPr>
          <w:rFonts w:ascii="Book Antiqua" w:hAnsi="Book Antiqua"/>
          <w:color w:val="000000"/>
        </w:rPr>
        <w:t xml:space="preserve">no </w:t>
      </w:r>
      <w:r w:rsidRPr="00360BFB">
        <w:rPr>
          <w:rFonts w:ascii="Book Antiqua" w:hAnsi="Book Antiqua"/>
          <w:color w:val="000000"/>
        </w:rPr>
        <w:t xml:space="preserve">otorgar paga retroactiva para estos empleados han añadido incertidumbre económica entre los afectados. El impacto económico a nivel nacional se estima en pérdidas </w:t>
      </w:r>
      <w:r w:rsidR="00D35847">
        <w:rPr>
          <w:rFonts w:ascii="Book Antiqua" w:hAnsi="Book Antiqua"/>
          <w:color w:val="000000"/>
        </w:rPr>
        <w:t>b</w:t>
      </w:r>
      <w:r w:rsidRPr="00360BFB">
        <w:rPr>
          <w:rFonts w:ascii="Book Antiqua" w:hAnsi="Book Antiqua"/>
          <w:color w:val="000000"/>
        </w:rPr>
        <w:t>illonarias durante el primer mes, además de causar interrupciones en servicios esenciales como el transporte aéreo, programas de asistencia alimentaria y operaciones de agencias federales.</w:t>
      </w:r>
    </w:p>
    <w:p w14:paraId="24439ACE" w14:textId="2DD83D2D" w:rsidR="004167D1" w:rsidRPr="00360BFB" w:rsidRDefault="00360BFB" w:rsidP="00CF373E">
      <w:pPr>
        <w:jc w:val="both"/>
        <w:rPr>
          <w:rFonts w:ascii="Book Antiqua" w:hAnsi="Book Antiqua"/>
          <w:color w:val="000000"/>
        </w:rPr>
      </w:pPr>
      <w:r w:rsidRPr="00360BFB">
        <w:rPr>
          <w:rFonts w:ascii="Book Antiqua" w:hAnsi="Book Antiqua"/>
          <w:color w:val="000000"/>
        </w:rPr>
        <w:t xml:space="preserve">En Puerto Rico, el efecto ha sido igualmente severo. Miles de empleados federales en la Isla han dejado de recibir ingresos, enfrentando dificultades para cubrir necesidades básicas como vivienda, alimentación y salud. Esta situación ha reducido significativamente su capacidad económica, obligándolos a recurrir a sus ahorros, muchos de los cuales ya se han agotado. Esta emergencia fiscal que están enfrentando los empleados federales escapa a su control y son quienes </w:t>
      </w:r>
      <w:r>
        <w:rPr>
          <w:rFonts w:ascii="Book Antiqua" w:hAnsi="Book Antiqua"/>
          <w:color w:val="000000"/>
        </w:rPr>
        <w:t>se ven impactados</w:t>
      </w:r>
      <w:r w:rsidRPr="00360BFB">
        <w:rPr>
          <w:rFonts w:ascii="Book Antiqua" w:hAnsi="Book Antiqua"/>
          <w:color w:val="000000"/>
        </w:rPr>
        <w:t xml:space="preserve"> directamente de esta interrupción de ingresos sin precedentes.</w:t>
      </w:r>
    </w:p>
    <w:p w14:paraId="7CF86A0D" w14:textId="77777777" w:rsidR="00527A8F" w:rsidRDefault="004167D1" w:rsidP="00527A8F">
      <w:pPr>
        <w:spacing w:before="100" w:beforeAutospacing="1" w:after="120" w:line="276" w:lineRule="auto"/>
        <w:jc w:val="both"/>
        <w:rPr>
          <w:rFonts w:ascii="Book Antiqua" w:eastAsia="Times New Roman" w:hAnsi="Book Antiqua" w:cs="Times New Roman"/>
          <w:bCs/>
          <w:kern w:val="0"/>
          <w14:ligatures w14:val="none"/>
        </w:rPr>
      </w:pPr>
      <w:r w:rsidRPr="004167D1">
        <w:rPr>
          <w:rFonts w:ascii="Book Antiqua" w:eastAsia="Times New Roman" w:hAnsi="Book Antiqua" w:cs="Times New Roman"/>
          <w:bCs/>
          <w:kern w:val="0"/>
          <w14:ligatures w14:val="none"/>
        </w:rPr>
        <w:t xml:space="preserve">La medida responde directamente a este estado de emergencia económica, reconocido por el propio Código de Rentas Internas en la Sección 1081.01(d)(2)(B)(vi), y sigue precedentes administrativos en Puerto Rico donde, en situaciones de desastre como huracanes, terremotos y la pandemia, se han autorizado distribuciones con tasas preferenciales. Al permitir acceso a fondos de retiro bajo </w:t>
      </w:r>
      <w:r w:rsidR="00D35847">
        <w:rPr>
          <w:rFonts w:ascii="Book Antiqua" w:eastAsia="Times New Roman" w:hAnsi="Book Antiqua" w:cs="Times New Roman"/>
          <w:bCs/>
          <w:kern w:val="0"/>
          <w14:ligatures w14:val="none"/>
        </w:rPr>
        <w:t>distribuciones elegibles</w:t>
      </w:r>
      <w:r w:rsidRPr="004167D1">
        <w:rPr>
          <w:rFonts w:ascii="Book Antiqua" w:eastAsia="Times New Roman" w:hAnsi="Book Antiqua" w:cs="Times New Roman"/>
          <w:bCs/>
          <w:kern w:val="0"/>
          <w14:ligatures w14:val="none"/>
        </w:rPr>
        <w:t xml:space="preserve">, se provee un mecanismo inmediato para que los empleados federales puedan cubrir necesidades básicas sin recurrir a endeudamiento excesivo, manteniendo a la vez </w:t>
      </w:r>
      <w:r w:rsidRPr="004167D1">
        <w:rPr>
          <w:rFonts w:ascii="Book Antiqua" w:eastAsia="Times New Roman" w:hAnsi="Book Antiqua" w:cs="Times New Roman"/>
          <w:bCs/>
          <w:kern w:val="0"/>
          <w14:ligatures w14:val="none"/>
        </w:rPr>
        <w:lastRenderedPageBreak/>
        <w:t>neutralidad fiscal, pues no crea gastos nuevos ni compromete ingresos recurrentes del Fondo General.</w:t>
      </w:r>
    </w:p>
    <w:p w14:paraId="42EC2384" w14:textId="4631BBA4" w:rsidR="00CF373E" w:rsidRDefault="004167D1" w:rsidP="00527A8F">
      <w:pPr>
        <w:spacing w:before="100" w:beforeAutospacing="1" w:after="120" w:line="276" w:lineRule="auto"/>
        <w:jc w:val="center"/>
        <w:rPr>
          <w:rFonts w:ascii="Book Antiqua" w:eastAsia="Times New Roman" w:hAnsi="Book Antiqua" w:cs="Times New Roman"/>
          <w:b/>
          <w:bCs/>
          <w:kern w:val="0"/>
          <w14:ligatures w14:val="none"/>
        </w:rPr>
      </w:pPr>
      <w:r w:rsidRPr="004167D1">
        <w:rPr>
          <w:rFonts w:ascii="Book Antiqua" w:eastAsia="Times New Roman" w:hAnsi="Book Antiqua" w:cs="Times New Roman"/>
          <w:b/>
          <w:bCs/>
          <w:kern w:val="0"/>
          <w14:ligatures w14:val="none"/>
        </w:rPr>
        <w:t xml:space="preserve">IMPACTO </w:t>
      </w:r>
      <w:r w:rsidR="00CF373E">
        <w:rPr>
          <w:rFonts w:ascii="Book Antiqua" w:eastAsia="Times New Roman" w:hAnsi="Book Antiqua" w:cs="Times New Roman"/>
          <w:b/>
          <w:bCs/>
          <w:kern w:val="0"/>
          <w14:ligatures w14:val="none"/>
        </w:rPr>
        <w:t>FISCAL</w:t>
      </w:r>
      <w:r w:rsidR="00D35847">
        <w:rPr>
          <w:rFonts w:ascii="Book Antiqua" w:eastAsia="Times New Roman" w:hAnsi="Book Antiqua" w:cs="Times New Roman"/>
          <w:b/>
          <w:bCs/>
          <w:kern w:val="0"/>
          <w14:ligatures w14:val="none"/>
        </w:rPr>
        <w:t xml:space="preserve"> Y SOCIAL</w:t>
      </w:r>
    </w:p>
    <w:p w14:paraId="41F463FD" w14:textId="77777777" w:rsidR="00527A8F" w:rsidRPr="004167D1" w:rsidRDefault="00527A8F" w:rsidP="00527A8F">
      <w:pPr>
        <w:spacing w:before="100" w:beforeAutospacing="1" w:after="120" w:line="276" w:lineRule="auto"/>
        <w:jc w:val="center"/>
        <w:rPr>
          <w:rFonts w:ascii="Book Antiqua" w:eastAsia="Times New Roman" w:hAnsi="Book Antiqua" w:cs="Times New Roman"/>
          <w:b/>
          <w:bCs/>
          <w:kern w:val="0"/>
          <w14:ligatures w14:val="none"/>
        </w:rPr>
      </w:pPr>
    </w:p>
    <w:p w14:paraId="6A8A2E78" w14:textId="47D5C3FA" w:rsidR="000F2FB2" w:rsidRDefault="00E21191" w:rsidP="00CF373E">
      <w:pPr>
        <w:jc w:val="both"/>
        <w:rPr>
          <w:rFonts w:ascii="Book Antiqua" w:hAnsi="Book Antiqua"/>
          <w:color w:val="000000"/>
        </w:rPr>
      </w:pPr>
      <w:r w:rsidRPr="00E21191">
        <w:rPr>
          <w:rFonts w:ascii="Book Antiqua" w:hAnsi="Book Antiqua"/>
          <w:color w:val="000000"/>
        </w:rPr>
        <w:t>La aprobación de</w:t>
      </w:r>
      <w:r>
        <w:rPr>
          <w:rFonts w:ascii="Book Antiqua" w:hAnsi="Book Antiqua"/>
          <w:color w:val="000000"/>
        </w:rPr>
        <w:t xml:space="preserve"> la</w:t>
      </w:r>
      <w:r w:rsidRPr="00E21191">
        <w:rPr>
          <w:rFonts w:ascii="Book Antiqua" w:hAnsi="Book Antiqua"/>
          <w:color w:val="000000"/>
        </w:rPr>
        <w:t xml:space="preserve"> Resolución Conjunta</w:t>
      </w:r>
      <w:r>
        <w:rPr>
          <w:rFonts w:ascii="Book Antiqua" w:hAnsi="Book Antiqua"/>
          <w:color w:val="000000"/>
        </w:rPr>
        <w:t xml:space="preserve"> de la Cámara 240</w:t>
      </w:r>
      <w:r w:rsidRPr="00E21191">
        <w:rPr>
          <w:rFonts w:ascii="Book Antiqua" w:hAnsi="Book Antiqua"/>
          <w:color w:val="000000"/>
        </w:rPr>
        <w:t xml:space="preserve"> tendrá un impacto</w:t>
      </w:r>
      <w:r w:rsidR="00CF373E">
        <w:rPr>
          <w:rFonts w:ascii="Book Antiqua" w:hAnsi="Book Antiqua"/>
          <w:color w:val="000000"/>
        </w:rPr>
        <w:t xml:space="preserve"> social</w:t>
      </w:r>
      <w:r w:rsidRPr="00E21191">
        <w:rPr>
          <w:rFonts w:ascii="Book Antiqua" w:hAnsi="Book Antiqua"/>
          <w:color w:val="000000"/>
        </w:rPr>
        <w:t xml:space="preserve"> significativo en miles de empleados federales en Puerto Rico, quienes podrán acceder a sus ahorros de retiro bajo </w:t>
      </w:r>
      <w:r>
        <w:rPr>
          <w:rFonts w:ascii="Book Antiqua" w:hAnsi="Book Antiqua"/>
          <w:color w:val="000000"/>
        </w:rPr>
        <w:t>distribuciones elegibles</w:t>
      </w:r>
      <w:r w:rsidRPr="00E21191">
        <w:rPr>
          <w:rFonts w:ascii="Book Antiqua" w:hAnsi="Book Antiqua"/>
          <w:color w:val="000000"/>
        </w:rPr>
        <w:t>. Al permitir el acceso a los fondos de retiro, se proporciona un mecanismo inmediato para que los empleados federales puedan cubrir sus necesidades básicas sin recurrir a un endeudamiento excesivo</w:t>
      </w:r>
      <w:r w:rsidR="00CF373E">
        <w:rPr>
          <w:rFonts w:ascii="Book Antiqua" w:hAnsi="Book Antiqua"/>
          <w:color w:val="000000"/>
        </w:rPr>
        <w:t xml:space="preserve">.  </w:t>
      </w:r>
      <w:r w:rsidRPr="00E21191">
        <w:rPr>
          <w:rFonts w:ascii="Book Antiqua" w:hAnsi="Book Antiqua"/>
          <w:color w:val="000000"/>
        </w:rPr>
        <w:t>Esto garantizará liquidez inmediata y estabilidad económica para las familias afectadas, demostrando además que el Gobierno de Puerto Rico actúa con celeridad y sensibilidad ante emergencias que afectan a su población.</w:t>
      </w:r>
      <w:r w:rsidR="00CF373E">
        <w:rPr>
          <w:rFonts w:ascii="Book Antiqua" w:hAnsi="Book Antiqua"/>
          <w:color w:val="000000"/>
        </w:rPr>
        <w:t xml:space="preserve">  Esta medida </w:t>
      </w:r>
      <w:r w:rsidR="00CF373E" w:rsidRPr="00CF373E">
        <w:rPr>
          <w:rFonts w:ascii="Book Antiqua" w:hAnsi="Book Antiqua"/>
          <w:color w:val="000000"/>
        </w:rPr>
        <w:t>mant</w:t>
      </w:r>
      <w:r w:rsidR="00CF373E">
        <w:rPr>
          <w:rFonts w:ascii="Book Antiqua" w:hAnsi="Book Antiqua"/>
          <w:color w:val="000000"/>
        </w:rPr>
        <w:t>iene</w:t>
      </w:r>
      <w:r w:rsidR="00CF373E" w:rsidRPr="00CF373E">
        <w:rPr>
          <w:rFonts w:ascii="Book Antiqua" w:hAnsi="Book Antiqua"/>
          <w:color w:val="000000"/>
        </w:rPr>
        <w:t xml:space="preserve"> la neutralidad fiscal al no generar gastos nuevos ni comprometer ingresos recurrentes del Fondo General.</w:t>
      </w:r>
    </w:p>
    <w:p w14:paraId="2A5C4195" w14:textId="77777777" w:rsidR="00CF373E" w:rsidRPr="000F2FB2" w:rsidRDefault="00CF373E" w:rsidP="00CF373E">
      <w:pPr>
        <w:rPr>
          <w:rFonts w:ascii="Book Antiqua" w:hAnsi="Book Antiqua"/>
          <w:color w:val="000000"/>
        </w:rPr>
      </w:pPr>
    </w:p>
    <w:p w14:paraId="5225B338" w14:textId="77777777" w:rsidR="000F2FB2" w:rsidRPr="000F2FB2" w:rsidRDefault="000F2FB2" w:rsidP="000F2FB2">
      <w:pPr>
        <w:spacing w:before="100" w:beforeAutospacing="1" w:after="120" w:line="276" w:lineRule="auto"/>
        <w:jc w:val="center"/>
        <w:rPr>
          <w:rFonts w:ascii="Book Antiqua" w:eastAsia="Times New Roman" w:hAnsi="Book Antiqua" w:cs="Times New Roman"/>
          <w:b/>
          <w:kern w:val="0"/>
          <w14:ligatures w14:val="none"/>
        </w:rPr>
      </w:pPr>
      <w:r w:rsidRPr="000F2FB2">
        <w:rPr>
          <w:rFonts w:ascii="Book Antiqua" w:eastAsia="Times New Roman" w:hAnsi="Book Antiqua" w:cs="Times New Roman"/>
          <w:b/>
          <w:kern w:val="0"/>
          <w14:ligatures w14:val="none"/>
        </w:rPr>
        <w:t>CONCLUSIÓN</w:t>
      </w:r>
    </w:p>
    <w:p w14:paraId="64E705C3" w14:textId="77777777" w:rsidR="004167D1" w:rsidRPr="004167D1" w:rsidRDefault="004167D1" w:rsidP="004167D1">
      <w:pPr>
        <w:spacing w:before="100" w:beforeAutospacing="1" w:after="120" w:line="276" w:lineRule="auto"/>
        <w:jc w:val="both"/>
        <w:rPr>
          <w:rFonts w:ascii="Book Antiqua" w:eastAsia="Times New Roman" w:hAnsi="Book Antiqua" w:cs="Times New Roman"/>
          <w:kern w:val="0"/>
          <w14:ligatures w14:val="none"/>
        </w:rPr>
      </w:pPr>
      <w:r w:rsidRPr="004167D1">
        <w:rPr>
          <w:rFonts w:ascii="Book Antiqua" w:eastAsia="Times New Roman" w:hAnsi="Book Antiqua" w:cs="Times New Roman"/>
          <w:kern w:val="0"/>
          <w14:ligatures w14:val="none"/>
        </w:rPr>
        <w:t>Luego de completar el análisis y evaluación sobre todos los elementos concernientes a esta pieza legislativa, la Comisión de Hacienda considera que la Resolución Conjunta de la Cámara 240 constituye un mecanismo justo, responsable y urgente para atender la crisis económica provocada por el cierre más prolongado en la historia del Gobierno Federal.</w:t>
      </w:r>
    </w:p>
    <w:p w14:paraId="1D1535F6" w14:textId="7B4CBAF0" w:rsidR="000F2FB2" w:rsidRPr="00527A8F" w:rsidRDefault="004167D1" w:rsidP="00527A8F">
      <w:pPr>
        <w:spacing w:before="100" w:beforeAutospacing="1" w:after="120" w:line="276" w:lineRule="auto"/>
        <w:jc w:val="both"/>
        <w:rPr>
          <w:rFonts w:ascii="Book Antiqua" w:eastAsia="Times New Roman" w:hAnsi="Book Antiqua" w:cs="Times New Roman"/>
          <w:kern w:val="0"/>
          <w14:ligatures w14:val="none"/>
        </w:rPr>
      </w:pPr>
      <w:r w:rsidRPr="004167D1">
        <w:rPr>
          <w:rFonts w:ascii="Book Antiqua" w:eastAsia="Times New Roman" w:hAnsi="Book Antiqua" w:cs="Times New Roman"/>
          <w:kern w:val="0"/>
          <w14:ligatures w14:val="none"/>
        </w:rPr>
        <w:t xml:space="preserve">POR TODO LO ANTES EXPUESTO, la Comisión de Hacienda de la Cámara de Representantes de Puerto Rico, luego del estudio y consideración correspondiente, tiene a bien recomendar a este </w:t>
      </w:r>
      <w:r w:rsidR="00CF373E">
        <w:rPr>
          <w:rFonts w:ascii="Book Antiqua" w:eastAsia="Times New Roman" w:hAnsi="Book Antiqua" w:cs="Times New Roman"/>
          <w:kern w:val="0"/>
          <w14:ligatures w14:val="none"/>
        </w:rPr>
        <w:t>Honorable</w:t>
      </w:r>
      <w:r w:rsidRPr="004167D1">
        <w:rPr>
          <w:rFonts w:ascii="Book Antiqua" w:eastAsia="Times New Roman" w:hAnsi="Book Antiqua" w:cs="Times New Roman"/>
          <w:kern w:val="0"/>
          <w14:ligatures w14:val="none"/>
        </w:rPr>
        <w:t xml:space="preserve"> Cuerpo la aprobación de la R. C. de la C. 240, </w:t>
      </w:r>
      <w:r w:rsidR="00CF373E">
        <w:rPr>
          <w:rFonts w:ascii="Book Antiqua" w:eastAsia="Times New Roman" w:hAnsi="Book Antiqua" w:cs="Times New Roman"/>
          <w:kern w:val="0"/>
          <w14:ligatures w14:val="none"/>
        </w:rPr>
        <w:t xml:space="preserve">con las enmiendas </w:t>
      </w:r>
      <w:r w:rsidR="00527A8F">
        <w:rPr>
          <w:rFonts w:ascii="Book Antiqua" w:eastAsia="Times New Roman" w:hAnsi="Book Antiqua" w:cs="Times New Roman"/>
          <w:kern w:val="0"/>
          <w14:ligatures w14:val="none"/>
        </w:rPr>
        <w:t>incluidas</w:t>
      </w:r>
      <w:r w:rsidR="00CF373E">
        <w:rPr>
          <w:rFonts w:ascii="Book Antiqua" w:eastAsia="Times New Roman" w:hAnsi="Book Antiqua" w:cs="Times New Roman"/>
          <w:kern w:val="0"/>
          <w14:ligatures w14:val="none"/>
        </w:rPr>
        <w:t xml:space="preserve"> en el </w:t>
      </w:r>
      <w:proofErr w:type="spellStart"/>
      <w:r w:rsidR="00CF373E">
        <w:rPr>
          <w:rFonts w:ascii="Book Antiqua" w:eastAsia="Times New Roman" w:hAnsi="Book Antiqua" w:cs="Times New Roman"/>
          <w:kern w:val="0"/>
          <w14:ligatures w14:val="none"/>
        </w:rPr>
        <w:t>entirillado</w:t>
      </w:r>
      <w:proofErr w:type="spellEnd"/>
      <w:r w:rsidR="00CF373E">
        <w:rPr>
          <w:rFonts w:ascii="Book Antiqua" w:eastAsia="Times New Roman" w:hAnsi="Book Antiqua" w:cs="Times New Roman"/>
          <w:kern w:val="0"/>
          <w14:ligatures w14:val="none"/>
        </w:rPr>
        <w:t xml:space="preserve"> </w:t>
      </w:r>
      <w:r w:rsidR="00527A8F">
        <w:rPr>
          <w:rFonts w:ascii="Book Antiqua" w:eastAsia="Times New Roman" w:hAnsi="Book Antiqua" w:cs="Times New Roman"/>
          <w:kern w:val="0"/>
          <w14:ligatures w14:val="none"/>
        </w:rPr>
        <w:t xml:space="preserve">electrónico </w:t>
      </w:r>
      <w:r w:rsidR="00CF373E">
        <w:rPr>
          <w:rFonts w:ascii="Book Antiqua" w:eastAsia="Times New Roman" w:hAnsi="Book Antiqua" w:cs="Times New Roman"/>
          <w:kern w:val="0"/>
          <w14:ligatures w14:val="none"/>
        </w:rPr>
        <w:t>que se acompaña</w:t>
      </w:r>
      <w:r w:rsidRPr="004167D1">
        <w:rPr>
          <w:rFonts w:ascii="Book Antiqua" w:eastAsia="Times New Roman" w:hAnsi="Book Antiqua" w:cs="Times New Roman"/>
          <w:kern w:val="0"/>
          <w14:ligatures w14:val="none"/>
        </w:rPr>
        <w:t>.</w:t>
      </w:r>
    </w:p>
    <w:p w14:paraId="51C3D1FE" w14:textId="77777777" w:rsidR="000F2FB2" w:rsidRPr="00527A8F" w:rsidRDefault="000F2FB2" w:rsidP="006F362E">
      <w:pPr>
        <w:spacing w:before="120" w:after="240" w:line="240" w:lineRule="auto"/>
        <w:jc w:val="both"/>
        <w:rPr>
          <w:rFonts w:ascii="Book Antiqua" w:eastAsia="Times New Roman" w:hAnsi="Book Antiqua" w:cs="Times New Roman"/>
          <w:b/>
          <w:kern w:val="0"/>
          <w:lang w:val="it-IT"/>
          <w14:ligatures w14:val="none"/>
        </w:rPr>
      </w:pPr>
      <w:r w:rsidRPr="00527A8F">
        <w:rPr>
          <w:rFonts w:ascii="Book Antiqua" w:eastAsia="Times New Roman" w:hAnsi="Book Antiqua" w:cs="Times New Roman"/>
          <w:b/>
          <w:kern w:val="0"/>
          <w:lang w:val="it-IT"/>
          <w14:ligatures w14:val="none"/>
        </w:rPr>
        <w:t>Respetuosamente sometido,</w:t>
      </w:r>
    </w:p>
    <w:p w14:paraId="605BDCE1" w14:textId="77777777" w:rsidR="000F2FB2" w:rsidRPr="00527A8F" w:rsidRDefault="000F2FB2" w:rsidP="000F2FB2">
      <w:pPr>
        <w:spacing w:after="0" w:line="240" w:lineRule="auto"/>
        <w:ind w:left="720"/>
        <w:jc w:val="both"/>
        <w:rPr>
          <w:rFonts w:ascii="Book Antiqua" w:eastAsia="Times New Roman" w:hAnsi="Book Antiqua" w:cs="Times New Roman"/>
          <w:kern w:val="0"/>
          <w:lang w:val="it-IT"/>
          <w14:ligatures w14:val="none"/>
        </w:rPr>
      </w:pPr>
    </w:p>
    <w:p w14:paraId="3F359B40" w14:textId="77777777" w:rsidR="000F2FB2" w:rsidRPr="00527A8F" w:rsidRDefault="000F2FB2" w:rsidP="000F2FB2">
      <w:pPr>
        <w:spacing w:after="0" w:line="240" w:lineRule="auto"/>
        <w:ind w:left="720"/>
        <w:jc w:val="both"/>
        <w:rPr>
          <w:rFonts w:ascii="Book Antiqua" w:eastAsia="Times New Roman" w:hAnsi="Book Antiqua" w:cs="Times New Roman"/>
          <w:kern w:val="0"/>
          <w:lang w:val="it-IT"/>
          <w14:ligatures w14:val="none"/>
        </w:rPr>
      </w:pPr>
    </w:p>
    <w:p w14:paraId="0691B53A" w14:textId="77777777" w:rsidR="000F2FB2" w:rsidRPr="00527A8F" w:rsidRDefault="000F2FB2" w:rsidP="000F2FB2">
      <w:pPr>
        <w:spacing w:after="0" w:line="240" w:lineRule="auto"/>
        <w:ind w:left="720"/>
        <w:jc w:val="both"/>
        <w:rPr>
          <w:rFonts w:ascii="Book Antiqua" w:eastAsia="Times New Roman" w:hAnsi="Book Antiqua" w:cs="Times New Roman"/>
          <w:kern w:val="0"/>
          <w:lang w:val="it-IT"/>
          <w14:ligatures w14:val="none"/>
        </w:rPr>
      </w:pPr>
    </w:p>
    <w:p w14:paraId="1EE236C8" w14:textId="77777777" w:rsidR="000F2FB2" w:rsidRPr="00527A8F" w:rsidRDefault="000F2FB2" w:rsidP="000F2FB2">
      <w:pPr>
        <w:spacing w:after="0" w:line="240" w:lineRule="auto"/>
        <w:ind w:firstLine="720"/>
        <w:jc w:val="both"/>
        <w:rPr>
          <w:rFonts w:ascii="Book Antiqua" w:eastAsia="Times New Roman" w:hAnsi="Book Antiqua" w:cs="Times New Roman"/>
          <w:kern w:val="0"/>
          <w:lang w:val="it-IT"/>
          <w14:ligatures w14:val="none"/>
        </w:rPr>
      </w:pPr>
    </w:p>
    <w:p w14:paraId="675C5FC9" w14:textId="77777777" w:rsidR="000F2FB2" w:rsidRPr="00527A8F" w:rsidRDefault="000F2FB2" w:rsidP="006F362E">
      <w:pPr>
        <w:spacing w:after="0" w:line="240" w:lineRule="auto"/>
        <w:jc w:val="both"/>
        <w:rPr>
          <w:rFonts w:ascii="Book Antiqua" w:eastAsia="Times New Roman" w:hAnsi="Book Antiqua" w:cs="Times New Roman"/>
          <w:kern w:val="0"/>
          <w:lang w:val="it-IT"/>
          <w14:ligatures w14:val="none"/>
        </w:rPr>
      </w:pPr>
      <w:r w:rsidRPr="00527A8F">
        <w:rPr>
          <w:rFonts w:ascii="Book Antiqua" w:eastAsia="Times New Roman" w:hAnsi="Book Antiqua" w:cs="Times New Roman"/>
          <w:kern w:val="0"/>
          <w:lang w:val="it-IT"/>
          <w14:ligatures w14:val="none"/>
        </w:rPr>
        <w:t>Hon. Eddie Charbonier Chinea</w:t>
      </w:r>
      <w:r w:rsidRPr="00527A8F">
        <w:rPr>
          <w:rFonts w:ascii="Book Antiqua" w:eastAsia="Times New Roman" w:hAnsi="Book Antiqua" w:cs="Times New Roman"/>
          <w:kern w:val="0"/>
          <w:lang w:val="it-IT"/>
          <w14:ligatures w14:val="none"/>
        </w:rPr>
        <w:tab/>
      </w:r>
    </w:p>
    <w:p w14:paraId="5DD386A6" w14:textId="77777777" w:rsidR="000F2FB2" w:rsidRPr="000F2FB2" w:rsidRDefault="000F2FB2" w:rsidP="006F362E">
      <w:pPr>
        <w:spacing w:after="0" w:line="240" w:lineRule="auto"/>
        <w:jc w:val="both"/>
        <w:rPr>
          <w:rFonts w:ascii="Book Antiqua" w:eastAsia="Times New Roman" w:hAnsi="Book Antiqua" w:cs="Times New Roman"/>
          <w:kern w:val="0"/>
          <w:lang w:val="es-ES_tradnl"/>
          <w14:ligatures w14:val="none"/>
        </w:rPr>
      </w:pPr>
      <w:r w:rsidRPr="000F2FB2">
        <w:rPr>
          <w:rFonts w:ascii="Book Antiqua" w:eastAsia="Times New Roman" w:hAnsi="Book Antiqua" w:cs="Times New Roman"/>
          <w:kern w:val="0"/>
          <w:lang w:val="es-ES_tradnl"/>
          <w14:ligatures w14:val="none"/>
        </w:rPr>
        <w:t>Presidente</w:t>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r w:rsidRPr="000F2FB2">
        <w:rPr>
          <w:rFonts w:ascii="Book Antiqua" w:eastAsia="Times New Roman" w:hAnsi="Book Antiqua" w:cs="Times New Roman"/>
          <w:kern w:val="0"/>
          <w:lang w:val="es-ES_tradnl"/>
          <w14:ligatures w14:val="none"/>
        </w:rPr>
        <w:tab/>
      </w:r>
    </w:p>
    <w:p w14:paraId="5E4E332D" w14:textId="2EC032E3" w:rsidR="00701A84" w:rsidRPr="000F2FB2" w:rsidRDefault="000F2FB2" w:rsidP="00527A8F">
      <w:pPr>
        <w:spacing w:after="0" w:line="240" w:lineRule="auto"/>
        <w:jc w:val="both"/>
      </w:pPr>
      <w:r w:rsidRPr="000F2FB2">
        <w:rPr>
          <w:rFonts w:ascii="Book Antiqua" w:eastAsia="Times New Roman" w:hAnsi="Book Antiqua" w:cs="Times New Roman"/>
          <w:kern w:val="0"/>
          <w:lang w:val="es-ES_tradnl"/>
          <w14:ligatures w14:val="none"/>
        </w:rPr>
        <w:t>Comisión de Hacienda</w:t>
      </w:r>
    </w:p>
    <w:sectPr w:rsidR="00701A84" w:rsidRPr="000F2FB2" w:rsidSect="000F2FB2">
      <w:headerReference w:type="default" r:id="rId7"/>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31199" w14:textId="77777777" w:rsidR="00527A8F" w:rsidRDefault="00527A8F">
      <w:pPr>
        <w:spacing w:after="0" w:line="240" w:lineRule="auto"/>
      </w:pPr>
      <w:r>
        <w:separator/>
      </w:r>
    </w:p>
  </w:endnote>
  <w:endnote w:type="continuationSeparator" w:id="0">
    <w:p w14:paraId="40193D57" w14:textId="77777777" w:rsidR="00527A8F" w:rsidRDefault="00527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3E756" w14:textId="77777777" w:rsidR="00527A8F" w:rsidRDefault="00527A8F">
      <w:pPr>
        <w:spacing w:after="0" w:line="240" w:lineRule="auto"/>
      </w:pPr>
      <w:r>
        <w:separator/>
      </w:r>
    </w:p>
  </w:footnote>
  <w:footnote w:type="continuationSeparator" w:id="0">
    <w:p w14:paraId="6C76CFA4" w14:textId="77777777" w:rsidR="00527A8F" w:rsidRDefault="00527A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8D234" w14:textId="77777777" w:rsidR="000F2FB2" w:rsidRDefault="000F2FB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8793A"/>
    <w:multiLevelType w:val="multilevel"/>
    <w:tmpl w:val="FBE0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AA78D4"/>
    <w:multiLevelType w:val="multilevel"/>
    <w:tmpl w:val="7A70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BD7DF3"/>
    <w:multiLevelType w:val="multilevel"/>
    <w:tmpl w:val="2E04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7777435">
    <w:abstractNumId w:val="2"/>
  </w:num>
  <w:num w:numId="2" w16cid:durableId="603422450">
    <w:abstractNumId w:val="0"/>
  </w:num>
  <w:num w:numId="3" w16cid:durableId="1926188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B2"/>
    <w:rsid w:val="0001494E"/>
    <w:rsid w:val="00031791"/>
    <w:rsid w:val="000F2FB2"/>
    <w:rsid w:val="001A0C38"/>
    <w:rsid w:val="00306D1F"/>
    <w:rsid w:val="003071E7"/>
    <w:rsid w:val="0031283C"/>
    <w:rsid w:val="00360BFB"/>
    <w:rsid w:val="003728F5"/>
    <w:rsid w:val="00397D6C"/>
    <w:rsid w:val="003B6837"/>
    <w:rsid w:val="0041202C"/>
    <w:rsid w:val="004167D1"/>
    <w:rsid w:val="004966B2"/>
    <w:rsid w:val="004D0F0C"/>
    <w:rsid w:val="004F0FF1"/>
    <w:rsid w:val="00527A8F"/>
    <w:rsid w:val="005A7DD9"/>
    <w:rsid w:val="00645C25"/>
    <w:rsid w:val="006F362E"/>
    <w:rsid w:val="00701A84"/>
    <w:rsid w:val="0071641C"/>
    <w:rsid w:val="007512AE"/>
    <w:rsid w:val="00751DC4"/>
    <w:rsid w:val="007F780C"/>
    <w:rsid w:val="00802788"/>
    <w:rsid w:val="009F0E30"/>
    <w:rsid w:val="00A35180"/>
    <w:rsid w:val="00B6548E"/>
    <w:rsid w:val="00CC38A8"/>
    <w:rsid w:val="00CF373E"/>
    <w:rsid w:val="00D043F3"/>
    <w:rsid w:val="00D35847"/>
    <w:rsid w:val="00E21191"/>
    <w:rsid w:val="00E74272"/>
    <w:rsid w:val="00F5699D"/>
    <w:rsid w:val="00FC78ED"/>
    <w:rsid w:val="00FD2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5B021"/>
  <w15:chartTrackingRefBased/>
  <w15:docId w15:val="{5B6D44ED-D13A-49F0-8DF7-AD8D4FC20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0F2F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F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F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F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F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F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F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F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F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FB2"/>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0F2FB2"/>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0F2FB2"/>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0F2FB2"/>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0F2FB2"/>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0F2FB2"/>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0F2FB2"/>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0F2FB2"/>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0F2FB2"/>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0F2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FB2"/>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0F2F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FB2"/>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0F2FB2"/>
    <w:pPr>
      <w:spacing w:before="160"/>
      <w:jc w:val="center"/>
    </w:pPr>
    <w:rPr>
      <w:i/>
      <w:iCs/>
      <w:color w:val="404040" w:themeColor="text1" w:themeTint="BF"/>
    </w:rPr>
  </w:style>
  <w:style w:type="character" w:customStyle="1" w:styleId="QuoteChar">
    <w:name w:val="Quote Char"/>
    <w:basedOn w:val="DefaultParagraphFont"/>
    <w:link w:val="Quote"/>
    <w:uiPriority w:val="29"/>
    <w:rsid w:val="000F2FB2"/>
    <w:rPr>
      <w:i/>
      <w:iCs/>
      <w:color w:val="404040" w:themeColor="text1" w:themeTint="BF"/>
      <w:lang w:val="es-PR"/>
    </w:rPr>
  </w:style>
  <w:style w:type="paragraph" w:styleId="ListParagraph">
    <w:name w:val="List Paragraph"/>
    <w:basedOn w:val="Normal"/>
    <w:uiPriority w:val="34"/>
    <w:qFormat/>
    <w:rsid w:val="000F2FB2"/>
    <w:pPr>
      <w:ind w:left="720"/>
      <w:contextualSpacing/>
    </w:pPr>
  </w:style>
  <w:style w:type="character" w:styleId="IntenseEmphasis">
    <w:name w:val="Intense Emphasis"/>
    <w:basedOn w:val="DefaultParagraphFont"/>
    <w:uiPriority w:val="21"/>
    <w:qFormat/>
    <w:rsid w:val="000F2FB2"/>
    <w:rPr>
      <w:i/>
      <w:iCs/>
      <w:color w:val="0F4761" w:themeColor="accent1" w:themeShade="BF"/>
    </w:rPr>
  </w:style>
  <w:style w:type="paragraph" w:styleId="IntenseQuote">
    <w:name w:val="Intense Quote"/>
    <w:basedOn w:val="Normal"/>
    <w:next w:val="Normal"/>
    <w:link w:val="IntenseQuoteChar"/>
    <w:uiPriority w:val="30"/>
    <w:qFormat/>
    <w:rsid w:val="000F2F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FB2"/>
    <w:rPr>
      <w:i/>
      <w:iCs/>
      <w:color w:val="0F4761" w:themeColor="accent1" w:themeShade="BF"/>
      <w:lang w:val="es-PR"/>
    </w:rPr>
  </w:style>
  <w:style w:type="character" w:styleId="IntenseReference">
    <w:name w:val="Intense Reference"/>
    <w:basedOn w:val="DefaultParagraphFont"/>
    <w:uiPriority w:val="32"/>
    <w:qFormat/>
    <w:rsid w:val="000F2FB2"/>
    <w:rPr>
      <w:b/>
      <w:bCs/>
      <w:smallCaps/>
      <w:color w:val="0F4761" w:themeColor="accent1" w:themeShade="BF"/>
      <w:spacing w:val="5"/>
    </w:rPr>
  </w:style>
  <w:style w:type="paragraph" w:styleId="Header">
    <w:name w:val="header"/>
    <w:basedOn w:val="Normal"/>
    <w:link w:val="HeaderChar"/>
    <w:uiPriority w:val="99"/>
    <w:semiHidden/>
    <w:unhideWhenUsed/>
    <w:rsid w:val="000F2F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2FB2"/>
    <w:rPr>
      <w:lang w:val="es-PR"/>
    </w:rPr>
  </w:style>
  <w:style w:type="character" w:styleId="PageNumber">
    <w:name w:val="page number"/>
    <w:basedOn w:val="DefaultParagraphFont"/>
    <w:rsid w:val="000F2FB2"/>
  </w:style>
  <w:style w:type="paragraph" w:customStyle="1" w:styleId="Title2">
    <w:name w:val="Title2"/>
    <w:basedOn w:val="Normal"/>
    <w:next w:val="Normal"/>
    <w:rsid w:val="00527A8F"/>
    <w:pPr>
      <w:autoSpaceDE w:val="0"/>
      <w:autoSpaceDN w:val="0"/>
      <w:adjustRightInd w:val="0"/>
      <w:spacing w:after="0" w:line="240" w:lineRule="auto"/>
    </w:pPr>
    <w:rPr>
      <w:rFonts w:ascii="Times New Roman" w:eastAsia="Times New Roman" w:hAnsi="Times New Roman" w:cs="Times New Roman"/>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827</Words>
  <Characters>4714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Camyl Moreno Pantojas</cp:lastModifiedBy>
  <cp:revision>2</cp:revision>
  <cp:lastPrinted>2025-11-10T20:45:00Z</cp:lastPrinted>
  <dcterms:created xsi:type="dcterms:W3CDTF">2025-11-12T13:02:00Z</dcterms:created>
  <dcterms:modified xsi:type="dcterms:W3CDTF">2025-11-12T13:02:00Z</dcterms:modified>
</cp:coreProperties>
</file>