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4790F77F"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831B65">
        <w:rPr>
          <w:rFonts w:ascii="Book Antiqua" w:hAnsi="Book Antiqua"/>
          <w:szCs w:val="24"/>
          <w:lang w:val="es-ES_tradnl"/>
        </w:rPr>
        <w:t>3r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6B5B9494"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R. DE LA C.</w:t>
      </w:r>
      <w:r w:rsidR="005D2755">
        <w:rPr>
          <w:rFonts w:ascii="Book Antiqua" w:hAnsi="Book Antiqua" w:cs="Tahoma"/>
          <w:b/>
          <w:sz w:val="52"/>
          <w:szCs w:val="52"/>
          <w:lang w:val="es-ES_tradnl"/>
        </w:rPr>
        <w:t xml:space="preserve"> 501</w:t>
      </w:r>
      <w:r w:rsidRPr="005A7E47">
        <w:rPr>
          <w:rFonts w:ascii="Book Antiqua" w:hAnsi="Book Antiqua" w:cs="Tahoma"/>
          <w:b/>
          <w:sz w:val="52"/>
          <w:szCs w:val="52"/>
          <w:lang w:val="es-ES_tradnl"/>
        </w:rPr>
        <w:t xml:space="preserve"> </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124DAD45" w:rsidR="002670C1" w:rsidRPr="005A7E47" w:rsidRDefault="00410A4F" w:rsidP="002670C1">
      <w:pPr>
        <w:jc w:val="center"/>
        <w:rPr>
          <w:rFonts w:ascii="Book Antiqua" w:hAnsi="Book Antiqua" w:cs="Tahoma"/>
          <w:lang w:val="es-ES_tradnl"/>
        </w:rPr>
      </w:pPr>
      <w:r>
        <w:rPr>
          <w:rFonts w:ascii="Book Antiqua" w:hAnsi="Book Antiqua" w:cs="Tahoma"/>
          <w:lang w:val="es-ES_tradnl"/>
        </w:rPr>
        <w:t>6</w:t>
      </w:r>
      <w:r w:rsidR="002670C1" w:rsidRPr="005A7E47">
        <w:rPr>
          <w:rFonts w:ascii="Book Antiqua" w:hAnsi="Book Antiqua" w:cs="Tahoma"/>
          <w:lang w:val="es-ES_tradnl"/>
        </w:rPr>
        <w:t xml:space="preserve"> de </w:t>
      </w:r>
      <w:r>
        <w:rPr>
          <w:rFonts w:ascii="Book Antiqua" w:hAnsi="Book Antiqua" w:cs="Tahoma"/>
          <w:lang w:val="es-ES_tradnl"/>
        </w:rPr>
        <w:t>abril</w:t>
      </w:r>
      <w:r w:rsidR="002670C1" w:rsidRPr="005A7E47">
        <w:rPr>
          <w:rFonts w:ascii="Book Antiqua" w:hAnsi="Book Antiqua" w:cs="Tahoma"/>
          <w:lang w:val="es-ES_tradnl"/>
        </w:rPr>
        <w:t xml:space="preserve"> de </w:t>
      </w:r>
      <w:r w:rsidR="003C7BBF">
        <w:rPr>
          <w:rFonts w:ascii="Book Antiqua" w:hAnsi="Book Antiqua" w:cs="Tahoma"/>
          <w:lang w:val="es-ES_tradnl"/>
        </w:rPr>
        <w:t>2026</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F854FD" w:rsidRDefault="002670C1" w:rsidP="002670C1">
      <w:pPr>
        <w:jc w:val="both"/>
        <w:rPr>
          <w:rFonts w:ascii="Book Antiqua" w:hAnsi="Book Antiqua" w:cs="Tahoma"/>
          <w:lang w:val="es-ES_tradnl"/>
        </w:rPr>
      </w:pPr>
    </w:p>
    <w:p w14:paraId="37CB50E6" w14:textId="19361BA8" w:rsidR="00682883" w:rsidRPr="00F854FD" w:rsidRDefault="002670C1" w:rsidP="00682883">
      <w:pPr>
        <w:jc w:val="both"/>
        <w:rPr>
          <w:rFonts w:ascii="Book Antiqua" w:hAnsi="Book Antiqua" w:cs="Tahoma"/>
          <w:lang w:val="es-ES_tradnl"/>
        </w:rPr>
      </w:pPr>
      <w:r w:rsidRPr="00F854FD">
        <w:rPr>
          <w:rFonts w:ascii="Book Antiqua" w:hAnsi="Book Antiqua" w:cs="Tahoma"/>
          <w:lang w:val="es-ES_tradnl"/>
        </w:rPr>
        <w:tab/>
      </w:r>
      <w:r w:rsidR="008A4022" w:rsidRPr="00F854FD">
        <w:rPr>
          <w:rFonts w:ascii="Book Antiqua" w:hAnsi="Book Antiqua" w:cs="Tahoma"/>
          <w:lang w:val="es-ES_tradnl"/>
        </w:rPr>
        <w:t>La Comisión de Asuntos Internos de la Cámara de Representantes, previo estudio y con</w:t>
      </w:r>
      <w:r w:rsidR="00062F39" w:rsidRPr="00F854FD">
        <w:rPr>
          <w:rFonts w:ascii="Book Antiqua" w:hAnsi="Book Antiqua" w:cs="Tahoma"/>
          <w:lang w:val="es-ES_tradnl"/>
        </w:rPr>
        <w:t>sideración de la R. de la C.</w:t>
      </w:r>
      <w:r w:rsidR="008A118F" w:rsidRPr="00F854FD">
        <w:rPr>
          <w:rFonts w:ascii="Book Antiqua" w:hAnsi="Book Antiqua" w:cs="Tahoma"/>
          <w:lang w:val="es-ES_tradnl"/>
        </w:rPr>
        <w:t xml:space="preserve"> </w:t>
      </w:r>
      <w:r w:rsidR="004A4C12" w:rsidRPr="00F854FD">
        <w:rPr>
          <w:rFonts w:ascii="Book Antiqua" w:hAnsi="Book Antiqua" w:cs="Tahoma"/>
          <w:lang w:val="es-ES_tradnl"/>
        </w:rPr>
        <w:t>501</w:t>
      </w:r>
      <w:r w:rsidR="00FA5F29" w:rsidRPr="00F854FD">
        <w:rPr>
          <w:rFonts w:ascii="Book Antiqua" w:hAnsi="Book Antiqua" w:cs="Tahoma"/>
          <w:lang w:val="es-ES_tradnl"/>
        </w:rPr>
        <w:t xml:space="preserve">, </w:t>
      </w:r>
      <w:r w:rsidR="00682883" w:rsidRPr="00F854FD">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F854FD" w:rsidRDefault="00BC1CB2" w:rsidP="007F3B99">
      <w:pPr>
        <w:jc w:val="both"/>
        <w:rPr>
          <w:rFonts w:ascii="Book Antiqua" w:hAnsi="Book Antiqua" w:cs="Tahoma"/>
          <w:lang w:val="es-ES_tradnl"/>
        </w:rPr>
      </w:pPr>
    </w:p>
    <w:p w14:paraId="716A98FC" w14:textId="202C6F65" w:rsidR="008D4A0A" w:rsidRPr="00F854FD" w:rsidRDefault="00BC1CB2" w:rsidP="008A118F">
      <w:pPr>
        <w:ind w:left="567" w:hanging="567"/>
        <w:jc w:val="both"/>
        <w:rPr>
          <w:rFonts w:ascii="Book Antiqua" w:hAnsi="Book Antiqua"/>
          <w:lang w:val="es-ES_tradnl"/>
        </w:rPr>
      </w:pPr>
      <w:r w:rsidRPr="00F854FD">
        <w:rPr>
          <w:rFonts w:ascii="Book Antiqua" w:hAnsi="Book Antiqua" w:cs="Tahoma"/>
          <w:lang w:val="es-ES_tradnl"/>
        </w:rPr>
        <w:t xml:space="preserve"> </w:t>
      </w:r>
      <w:r w:rsidR="00E86FF9" w:rsidRPr="00F854FD">
        <w:rPr>
          <w:rFonts w:ascii="Book Antiqua" w:hAnsi="Book Antiqua" w:cs="Tahoma"/>
          <w:lang w:val="es-ES_tradnl"/>
        </w:rPr>
        <w:t>“</w:t>
      </w:r>
      <w:r w:rsidR="00E86FF9" w:rsidRPr="00F854FD">
        <w:rPr>
          <w:rFonts w:ascii="Book Antiqua" w:hAnsi="Book Antiqua"/>
          <w:lang w:val="es-ES_tradnl"/>
        </w:rPr>
        <w:t>Para</w:t>
      </w:r>
      <w:r w:rsidR="00E86FF9" w:rsidRPr="00F854FD">
        <w:rPr>
          <w:lang w:val="es-ES_tradnl"/>
        </w:rPr>
        <w:t xml:space="preserve"> </w:t>
      </w:r>
      <w:bookmarkStart w:id="0" w:name="_Hlk481777822"/>
      <w:bookmarkStart w:id="1" w:name="_Hlk481778563"/>
      <w:bookmarkStart w:id="2" w:name="_Hlk188016072"/>
      <w:r w:rsidR="00272823" w:rsidRPr="00F854FD">
        <w:rPr>
          <w:rFonts w:ascii="Book Antiqua" w:hAnsi="Book Antiqua"/>
          <w:lang w:val="es-ES_tradnl"/>
        </w:rPr>
        <w:t xml:space="preserve">ordenar </w:t>
      </w:r>
      <w:bookmarkEnd w:id="0"/>
      <w:bookmarkEnd w:id="1"/>
      <w:bookmarkEnd w:id="2"/>
      <w:r w:rsidR="004A4C12" w:rsidRPr="00F854FD">
        <w:rPr>
          <w:rFonts w:ascii="Book Antiqua" w:hAnsi="Book Antiqua"/>
          <w:lang w:val="es-ES_tradnl"/>
        </w:rPr>
        <w:t xml:space="preserve">a las </w:t>
      </w:r>
      <w:r w:rsidR="00EA36A4">
        <w:rPr>
          <w:rFonts w:ascii="Book Antiqua" w:hAnsi="Book Antiqua"/>
          <w:lang w:val="es-ES_tradnl"/>
        </w:rPr>
        <w:t>c</w:t>
      </w:r>
      <w:r w:rsidR="004A4C12" w:rsidRPr="00F854FD">
        <w:rPr>
          <w:rFonts w:ascii="Book Antiqua" w:hAnsi="Book Antiqua"/>
          <w:lang w:val="es-ES_tradnl"/>
        </w:rPr>
        <w:t>omisiones de Transportación e Infraestructura</w:t>
      </w:r>
      <w:r w:rsidR="00EA36A4">
        <w:rPr>
          <w:rFonts w:ascii="Book Antiqua" w:hAnsi="Book Antiqua"/>
          <w:lang w:val="es-ES_tradnl"/>
        </w:rPr>
        <w:t>;</w:t>
      </w:r>
      <w:r w:rsidR="004A4C12" w:rsidRPr="00F854FD">
        <w:rPr>
          <w:rFonts w:ascii="Book Antiqua" w:hAnsi="Book Antiqua"/>
          <w:lang w:val="es-ES_tradnl"/>
        </w:rPr>
        <w:t xml:space="preserve"> y de la Región Sur </w:t>
      </w:r>
      <w:r w:rsidR="004A4C12" w:rsidRPr="00EA36A4">
        <w:rPr>
          <w:rFonts w:ascii="Book Antiqua" w:hAnsi="Book Antiqua"/>
          <w:lang w:val="es-ES_tradnl"/>
        </w:rPr>
        <w:t>de la Cámara de Representantes de Puerto Rico realizar una investigación exhaustiva sobre la situación actual de los accesos al Municipio de Santa Isabel desde la Autopista Luis A. Ferré Aguayo (PR-52), en dirección al Municipio de Coamo y hacia el casco urbano de Santa Isabel; así como para identificar y evaluar alternativas viables que permitan atender y reducir la congestión</w:t>
      </w:r>
      <w:r w:rsidR="008A118F" w:rsidRPr="00F854FD">
        <w:rPr>
          <w:rFonts w:ascii="Book Antiqua" w:hAnsi="Book Antiqua"/>
          <w:lang w:val="es-ES_tradnl"/>
        </w:rPr>
        <w:t xml:space="preserve"> vehicular en ambas direcciones.</w:t>
      </w:r>
      <w:r w:rsidR="00FA5F29" w:rsidRPr="00F854FD">
        <w:rPr>
          <w:rFonts w:ascii="Book Antiqua" w:hAnsi="Book Antiqua"/>
          <w:bCs/>
          <w:lang w:val="es-ES_tradnl"/>
        </w:rPr>
        <w:t>”</w:t>
      </w:r>
    </w:p>
    <w:p w14:paraId="0066EB36" w14:textId="77777777" w:rsidR="00AD4702" w:rsidRPr="00F854FD" w:rsidRDefault="00AD4702" w:rsidP="00AF186C">
      <w:pPr>
        <w:jc w:val="both"/>
        <w:rPr>
          <w:rFonts w:ascii="Book Antiqua" w:hAnsi="Book Antiqua" w:cs="Tahoma"/>
          <w:lang w:val="es-ES_tradnl"/>
        </w:rPr>
      </w:pPr>
    </w:p>
    <w:p w14:paraId="5331B0D5" w14:textId="77777777" w:rsidR="008A1F08" w:rsidRPr="00F854FD" w:rsidRDefault="008A1F08" w:rsidP="009852EB">
      <w:pPr>
        <w:jc w:val="center"/>
        <w:outlineLvl w:val="0"/>
        <w:rPr>
          <w:rFonts w:ascii="Book Antiqua" w:hAnsi="Book Antiqua" w:cs="Tahoma"/>
          <w:b/>
          <w:u w:val="single"/>
          <w:lang w:val="es-ES_tradnl"/>
        </w:rPr>
      </w:pPr>
      <w:r w:rsidRPr="00F854FD">
        <w:rPr>
          <w:rFonts w:ascii="Book Antiqua" w:hAnsi="Book Antiqua" w:cs="Tahoma"/>
          <w:b/>
          <w:u w:val="single"/>
          <w:lang w:val="es-ES_tradnl"/>
        </w:rPr>
        <w:t>ALCANCE Y ANÁLISIS DE LA MEDIDA</w:t>
      </w:r>
    </w:p>
    <w:p w14:paraId="553B3D6B" w14:textId="77777777" w:rsidR="00DE02EB" w:rsidRPr="00F854FD" w:rsidRDefault="00DE02EB" w:rsidP="009852EB">
      <w:pPr>
        <w:jc w:val="center"/>
        <w:outlineLvl w:val="0"/>
        <w:rPr>
          <w:rFonts w:ascii="Book Antiqua" w:hAnsi="Book Antiqua" w:cs="Tahoma"/>
          <w:b/>
          <w:u w:val="single"/>
          <w:lang w:val="es-ES_tradnl"/>
        </w:rPr>
      </w:pPr>
    </w:p>
    <w:p w14:paraId="29E7FB48" w14:textId="77777777" w:rsidR="008A118F" w:rsidRPr="00F854FD" w:rsidRDefault="00CC4336" w:rsidP="008A118F">
      <w:pPr>
        <w:jc w:val="both"/>
        <w:rPr>
          <w:rFonts w:ascii="Book Antiqua" w:hAnsi="Book Antiqua"/>
          <w:lang w:val="es-ES_tradnl"/>
        </w:rPr>
      </w:pPr>
      <w:r w:rsidRPr="00F854FD">
        <w:rPr>
          <w:rFonts w:ascii="Book Antiqua" w:eastAsiaTheme="minorHAnsi" w:hAnsi="Book Antiqua"/>
          <w:lang w:val="es-ES_tradnl"/>
        </w:rPr>
        <w:t xml:space="preserve">     </w:t>
      </w:r>
      <w:r w:rsidR="00DE02EB" w:rsidRPr="00F854FD">
        <w:rPr>
          <w:rFonts w:ascii="Book Antiqua" w:hAnsi="Book Antiqua"/>
          <w:lang w:val="es-ES_tradnl"/>
        </w:rPr>
        <w:t>La</w:t>
      </w:r>
      <w:r w:rsidR="00194744" w:rsidRPr="00F854FD">
        <w:rPr>
          <w:rFonts w:ascii="Book Antiqua" w:hAnsi="Book Antiqua"/>
          <w:lang w:val="es-ES_tradnl"/>
        </w:rPr>
        <w:t xml:space="preserve"> Resolución de la Cámara Núm.</w:t>
      </w:r>
      <w:r w:rsidR="008A118F" w:rsidRPr="00F854FD">
        <w:rPr>
          <w:rFonts w:ascii="Book Antiqua" w:hAnsi="Book Antiqua"/>
          <w:lang w:val="es-ES_tradnl"/>
        </w:rPr>
        <w:t xml:space="preserve"> 501 </w:t>
      </w:r>
      <w:r w:rsidR="00DF3E6F" w:rsidRPr="00F854FD">
        <w:rPr>
          <w:rFonts w:ascii="Book Antiqua" w:hAnsi="Book Antiqua"/>
          <w:lang w:val="es-ES_tradnl"/>
        </w:rPr>
        <w:t>tiene el propósito de realizar una investigación exhaustiva sobre</w:t>
      </w:r>
      <w:r w:rsidR="008A118F" w:rsidRPr="00F854FD">
        <w:rPr>
          <w:rFonts w:ascii="Book Antiqua" w:hAnsi="Book Antiqua"/>
          <w:lang w:val="es-ES_tradnl"/>
        </w:rPr>
        <w:t xml:space="preserve"> la situación actual de los accesos al Municipio de Santa Isabel desde la Autopista Luis A. Ferré Aguayo (PR-52), particularmente en dirección al Municipio de Coamo y al casco urbano de Santa Isabel. La medida responde a la preocupación sobre la congestión vehicular que afecta esa zona y sobre la necesidad de examinar posibles alternativas viables de infraestructura o manejo vial que permitan atender la problemática planteada en la Exposición de Motivos. </w:t>
      </w:r>
    </w:p>
    <w:p w14:paraId="62241833" w14:textId="77777777" w:rsidR="008A118F" w:rsidRPr="00F854FD" w:rsidRDefault="008A118F" w:rsidP="008A118F">
      <w:pPr>
        <w:jc w:val="both"/>
        <w:rPr>
          <w:rFonts w:ascii="Book Antiqua" w:hAnsi="Book Antiqua"/>
          <w:lang w:val="es-ES_tradnl"/>
        </w:rPr>
      </w:pPr>
    </w:p>
    <w:p w14:paraId="5E5F4EEB" w14:textId="1DC14820" w:rsidR="008A118F" w:rsidRPr="00F854FD" w:rsidRDefault="008A118F" w:rsidP="008A118F">
      <w:pPr>
        <w:jc w:val="both"/>
        <w:rPr>
          <w:rFonts w:ascii="Book Antiqua" w:hAnsi="Book Antiqua"/>
          <w:lang w:val="es-ES_tradnl"/>
        </w:rPr>
      </w:pPr>
      <w:r w:rsidRPr="00F854FD">
        <w:rPr>
          <w:rFonts w:ascii="Book Antiqua" w:hAnsi="Book Antiqua"/>
          <w:lang w:val="es-ES_tradnl"/>
        </w:rPr>
        <w:lastRenderedPageBreak/>
        <w:t xml:space="preserve">     Surge del texto de la medida que la intención legislativa consiste en atender un asunto de movilidad, seguridad vial, acceso a servicios y desarrollo económico local. En esa dirección, la Exposición de Motivos destaca la importancia de una red vial funcional, el impacto de la congestión sobre la calidad de vida de residentes, comerciantes y visitantes, y la necesidad de que la Asamblea Legislativa promueva la evaluación de alternativas correctivas en coordinación con las entidades públicas concernidas.</w:t>
      </w:r>
    </w:p>
    <w:p w14:paraId="1598E5E5" w14:textId="77777777" w:rsidR="00F854FD" w:rsidRPr="00F854FD" w:rsidRDefault="00F854FD" w:rsidP="00F854FD">
      <w:pPr>
        <w:jc w:val="both"/>
        <w:rPr>
          <w:rFonts w:ascii="Book Antiqua" w:hAnsi="Book Antiqua"/>
          <w:lang w:val="es-ES_tradnl"/>
        </w:rPr>
      </w:pPr>
    </w:p>
    <w:p w14:paraId="05E78832" w14:textId="65F7D970" w:rsidR="00DF3E6F" w:rsidRPr="00F854FD" w:rsidRDefault="00F854FD" w:rsidP="00DF3E6F">
      <w:pPr>
        <w:jc w:val="both"/>
        <w:rPr>
          <w:rFonts w:ascii="Book Antiqua" w:hAnsi="Book Antiqua"/>
          <w:lang w:val="es-ES_tradnl"/>
        </w:rPr>
      </w:pPr>
      <w:r w:rsidRPr="00F854FD">
        <w:rPr>
          <w:rFonts w:ascii="Book Antiqua" w:hAnsi="Book Antiqua"/>
          <w:lang w:val="es-ES_tradnl"/>
        </w:rPr>
        <w:t xml:space="preserve">     </w:t>
      </w:r>
      <w:r w:rsidR="008A118F" w:rsidRPr="00F854FD">
        <w:rPr>
          <w:rFonts w:ascii="Book Antiqua" w:hAnsi="Book Antiqua"/>
          <w:lang w:val="es-ES_tradnl"/>
        </w:rPr>
        <w:t>La Comisión de Asuntos Internos entiende que la medida persigue un fin legislativo legítimo y que la materia objeto de investigación guarda relación directa con la jurisdicción de las comisiones a las que se les encomienda la pesquisa. De una parte, la Comisión de Transportación e Infraestructura tiene evidente pertinencia por tratarse de un asunto vinculado al estado, funcionamiento y posibles mejoras de accesos viales. De otra pa</w:t>
      </w:r>
      <w:r w:rsidRPr="00F854FD">
        <w:rPr>
          <w:rFonts w:ascii="Book Antiqua" w:hAnsi="Book Antiqua"/>
          <w:lang w:val="es-ES_tradnl"/>
        </w:rPr>
        <w:t>rte, conforme a la R. de la C. 501</w:t>
      </w:r>
      <w:r w:rsidR="008A118F" w:rsidRPr="00F854FD">
        <w:rPr>
          <w:rFonts w:ascii="Book Antiqua" w:hAnsi="Book Antiqua"/>
          <w:lang w:val="es-ES_tradnl"/>
        </w:rPr>
        <w:t xml:space="preserve">, Santa Isabel pertenece a la jurisdicción territorial de la </w:t>
      </w:r>
      <w:r w:rsidRPr="00F854FD">
        <w:rPr>
          <w:rFonts w:ascii="Book Antiqua" w:hAnsi="Book Antiqua"/>
          <w:bCs/>
          <w:lang w:val="es-ES_tradnl"/>
        </w:rPr>
        <w:t>Comisión de la Región Sur</w:t>
      </w:r>
      <w:r w:rsidR="008A118F" w:rsidRPr="00F854FD">
        <w:rPr>
          <w:rFonts w:ascii="Book Antiqua" w:hAnsi="Book Antiqua"/>
          <w:lang w:val="es-ES_tradnl"/>
        </w:rPr>
        <w:t xml:space="preserve">, por lo que resulta procedente que dicha comisión participe en la investigación ordenada. </w:t>
      </w:r>
    </w:p>
    <w:p w14:paraId="7645A4CC" w14:textId="77777777" w:rsidR="006150BB" w:rsidRPr="00F854FD" w:rsidRDefault="006150BB" w:rsidP="006150BB">
      <w:pPr>
        <w:pStyle w:val="NormalWeb"/>
        <w:jc w:val="center"/>
        <w:outlineLvl w:val="0"/>
        <w:rPr>
          <w:rFonts w:ascii="Book Antiqua" w:hAnsi="Book Antiqua"/>
          <w:b/>
          <w:sz w:val="24"/>
          <w:szCs w:val="24"/>
          <w:u w:val="single"/>
          <w:lang w:val="es-ES_tradnl"/>
        </w:rPr>
      </w:pPr>
      <w:r w:rsidRPr="00F854FD">
        <w:rPr>
          <w:rFonts w:ascii="Book Antiqua" w:hAnsi="Book Antiqua"/>
          <w:b/>
          <w:sz w:val="24"/>
          <w:szCs w:val="24"/>
          <w:u w:val="single"/>
          <w:lang w:val="es-ES_tradnl"/>
        </w:rPr>
        <w:t>CONCLUSIÓN Y RECOMENDACIÓN</w:t>
      </w:r>
    </w:p>
    <w:p w14:paraId="3E07A231" w14:textId="71B32259" w:rsidR="008B1E7C" w:rsidRPr="00F854FD" w:rsidRDefault="001A02E8" w:rsidP="008B1E7C">
      <w:pPr>
        <w:pStyle w:val="NormalWeb"/>
        <w:jc w:val="both"/>
        <w:rPr>
          <w:rFonts w:ascii="Book Antiqua" w:hAnsi="Book Antiqua"/>
          <w:sz w:val="24"/>
          <w:szCs w:val="24"/>
          <w:lang w:val="es-ES_tradnl"/>
        </w:rPr>
      </w:pPr>
      <w:r w:rsidRPr="00F854FD">
        <w:rPr>
          <w:rFonts w:ascii="Book Antiqua" w:hAnsi="Book Antiqua"/>
          <w:sz w:val="24"/>
          <w:szCs w:val="24"/>
          <w:lang w:val="es-ES_tradnl"/>
        </w:rPr>
        <w:t xml:space="preserve">     </w:t>
      </w:r>
      <w:r w:rsidR="008B1E7C" w:rsidRPr="00F854FD">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Pr="00F854FD">
        <w:rPr>
          <w:rFonts w:ascii="Book Antiqua" w:hAnsi="Book Antiqua"/>
          <w:sz w:val="24"/>
          <w:szCs w:val="24"/>
          <w:lang w:val="es-ES_tradnl"/>
        </w:rPr>
        <w:t>e l</w:t>
      </w:r>
      <w:r w:rsidR="00F854FD" w:rsidRPr="00F854FD">
        <w:rPr>
          <w:rFonts w:ascii="Book Antiqua" w:hAnsi="Book Antiqua"/>
          <w:sz w:val="24"/>
          <w:szCs w:val="24"/>
          <w:lang w:val="es-ES_tradnl"/>
        </w:rPr>
        <w:t>a Resolución de la Cámara 501</w:t>
      </w:r>
      <w:r w:rsidR="008B1E7C" w:rsidRPr="00F854FD">
        <w:rPr>
          <w:rFonts w:ascii="Book Antiqua" w:hAnsi="Book Antiqua"/>
          <w:sz w:val="24"/>
          <w:szCs w:val="24"/>
          <w:lang w:val="es-ES_tradnl"/>
        </w:rPr>
        <w:t xml:space="preserve"> con las enmiendas contenidas en el entirillado electrónico que acompaña este informe.</w:t>
      </w:r>
    </w:p>
    <w:p w14:paraId="50FFCE58" w14:textId="16622524" w:rsidR="006150BB" w:rsidRPr="00471A74" w:rsidRDefault="001A02E8" w:rsidP="00471A74">
      <w:pPr>
        <w:pStyle w:val="NormalWeb"/>
        <w:jc w:val="both"/>
        <w:rPr>
          <w:rFonts w:ascii="Book Antiqua" w:hAnsi="Book Antiqua" w:cs="Tahoma"/>
          <w:sz w:val="24"/>
          <w:szCs w:val="24"/>
          <w:lang w:val="es-ES_tradnl"/>
        </w:rPr>
      </w:pPr>
      <w:r w:rsidRPr="00471A74">
        <w:rPr>
          <w:rFonts w:ascii="Book Antiqua" w:hAnsi="Book Antiqua"/>
          <w:sz w:val="24"/>
          <w:szCs w:val="24"/>
          <w:lang w:val="es-ES_tradnl"/>
        </w:rPr>
        <w:t xml:space="preserve"> </w:t>
      </w:r>
      <w:r w:rsidR="006150BB" w:rsidRPr="00471A74">
        <w:rPr>
          <w:rFonts w:ascii="Book Antiqua" w:hAnsi="Book Antiqua" w:cs="Tahoma"/>
          <w:sz w:val="24"/>
          <w:szCs w:val="24"/>
          <w:lang w:val="es-ES_tradnl"/>
        </w:rPr>
        <w:t>Respetuosamente sometido,</w:t>
      </w:r>
    </w:p>
    <w:p w14:paraId="788BD5EC" w14:textId="77777777" w:rsidR="00DF3E6F" w:rsidRPr="00F854FD" w:rsidRDefault="00DF3E6F" w:rsidP="00DF3E6F">
      <w:pPr>
        <w:jc w:val="both"/>
        <w:rPr>
          <w:rFonts w:ascii="Book Antiqua" w:hAnsi="Book Antiqua"/>
          <w:lang w:val="es-ES_tradnl"/>
        </w:rPr>
      </w:pPr>
    </w:p>
    <w:p w14:paraId="3F4BB2E4" w14:textId="591E7D20" w:rsidR="00F27289" w:rsidRPr="00F854FD" w:rsidRDefault="000F1167" w:rsidP="000F1167">
      <w:pPr>
        <w:jc w:val="both"/>
        <w:rPr>
          <w:rFonts w:ascii="Book Antiqua" w:hAnsi="Book Antiqua"/>
          <w:b/>
          <w:u w:val="single"/>
          <w:lang w:val="es-ES_tradnl"/>
        </w:rPr>
      </w:pPr>
      <w:r w:rsidRPr="00F854FD">
        <w:rPr>
          <w:rFonts w:ascii="Book Antiqua" w:hAnsi="Book Antiqua"/>
          <w:lang w:val="es-ES_tradnl"/>
        </w:rPr>
        <w:t xml:space="preserve">    </w:t>
      </w:r>
    </w:p>
    <w:p w14:paraId="539E1B06" w14:textId="77777777" w:rsidR="00580E90" w:rsidRPr="00F854FD" w:rsidRDefault="00580E90" w:rsidP="003F3D8D">
      <w:pPr>
        <w:jc w:val="both"/>
        <w:rPr>
          <w:rFonts w:ascii="Book Antiqua" w:hAnsi="Book Antiqua" w:cs="Tahoma"/>
          <w:lang w:val="es-ES_tradnl"/>
        </w:rPr>
      </w:pPr>
    </w:p>
    <w:p w14:paraId="6C06768D" w14:textId="77777777" w:rsidR="003F3D8D" w:rsidRPr="00F854FD" w:rsidRDefault="003F3D8D" w:rsidP="003F3D8D">
      <w:pPr>
        <w:rPr>
          <w:rFonts w:ascii="Book Antiqua" w:hAnsi="Book Antiqua" w:cs="Tahoma"/>
          <w:lang w:val="es-ES_tradnl"/>
        </w:rPr>
      </w:pPr>
    </w:p>
    <w:p w14:paraId="7DC33FC3" w14:textId="4F4319C4" w:rsidR="00307416" w:rsidRPr="00F854FD" w:rsidRDefault="003F3D8D" w:rsidP="008A4022">
      <w:pPr>
        <w:rPr>
          <w:rFonts w:ascii="Book Antiqua" w:hAnsi="Book Antiqua"/>
          <w:b/>
          <w:smallCaps/>
          <w:lang w:val="es-ES_tradnl"/>
        </w:rPr>
      </w:pPr>
      <w:r w:rsidRPr="00F854FD">
        <w:rPr>
          <w:rFonts w:ascii="Book Antiqua" w:hAnsi="Book Antiqua" w:cs="Tahoma"/>
          <w:b/>
          <w:bCs/>
          <w:lang w:val="es-ES_tradnl"/>
        </w:rPr>
        <w:t>PEDRO JULIO SANTIAGO GUZMÁN</w:t>
      </w:r>
      <w:r w:rsidRPr="00F854FD">
        <w:rPr>
          <w:rFonts w:ascii="Book Antiqua" w:hAnsi="Book Antiqua" w:cs="Tahoma"/>
          <w:lang w:val="es-ES_tradnl"/>
        </w:rPr>
        <w:br/>
        <w:t>Presidente</w:t>
      </w:r>
      <w:r w:rsidRPr="00F854FD">
        <w:rPr>
          <w:rFonts w:ascii="Book Antiqua" w:hAnsi="Book Antiqua" w:cs="Tahoma"/>
          <w:lang w:val="es-ES_tradnl"/>
        </w:rPr>
        <w:br/>
        <w:t>Comisión de Asuntos Internos</w:t>
      </w:r>
    </w:p>
    <w:sectPr w:rsidR="00307416" w:rsidRPr="00F854FD"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20AED" w14:textId="77777777" w:rsidR="000B7423" w:rsidRDefault="000B7423" w:rsidP="00614C2C">
      <w:r>
        <w:separator/>
      </w:r>
    </w:p>
  </w:endnote>
  <w:endnote w:type="continuationSeparator" w:id="0">
    <w:p w14:paraId="7CBC7829" w14:textId="77777777" w:rsidR="000B7423" w:rsidRDefault="000B742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A118F" w:rsidRDefault="008A118F">
        <w:pPr>
          <w:pStyle w:val="Footer"/>
          <w:jc w:val="center"/>
        </w:pPr>
        <w:r>
          <w:fldChar w:fldCharType="begin"/>
        </w:r>
        <w:r>
          <w:instrText xml:space="preserve"> PAGE   \* MERGEFORMAT </w:instrText>
        </w:r>
        <w:r>
          <w:fldChar w:fldCharType="separate"/>
        </w:r>
        <w:r w:rsidR="00F854FD">
          <w:rPr>
            <w:noProof/>
          </w:rPr>
          <w:t>1</w:t>
        </w:r>
        <w:r>
          <w:rPr>
            <w:noProof/>
          </w:rPr>
          <w:fldChar w:fldCharType="end"/>
        </w:r>
      </w:p>
    </w:sdtContent>
  </w:sdt>
  <w:p w14:paraId="36B11BF2" w14:textId="77777777" w:rsidR="008A118F" w:rsidRDefault="008A1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2675" w14:textId="77777777" w:rsidR="000B7423" w:rsidRDefault="000B7423" w:rsidP="00614C2C">
      <w:r>
        <w:separator/>
      </w:r>
    </w:p>
  </w:footnote>
  <w:footnote w:type="continuationSeparator" w:id="0">
    <w:p w14:paraId="2EAD303C" w14:textId="77777777" w:rsidR="000B7423" w:rsidRDefault="000B742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649617">
    <w:abstractNumId w:val="6"/>
  </w:num>
  <w:num w:numId="2" w16cid:durableId="949628964">
    <w:abstractNumId w:val="12"/>
  </w:num>
  <w:num w:numId="3" w16cid:durableId="1431392462">
    <w:abstractNumId w:val="3"/>
  </w:num>
  <w:num w:numId="4" w16cid:durableId="871302499">
    <w:abstractNumId w:val="1"/>
  </w:num>
  <w:num w:numId="5" w16cid:durableId="1180435617">
    <w:abstractNumId w:val="7"/>
  </w:num>
  <w:num w:numId="6" w16cid:durableId="1356225081">
    <w:abstractNumId w:val="4"/>
  </w:num>
  <w:num w:numId="7" w16cid:durableId="74866440">
    <w:abstractNumId w:val="5"/>
  </w:num>
  <w:num w:numId="8" w16cid:durableId="1061826405">
    <w:abstractNumId w:val="8"/>
  </w:num>
  <w:num w:numId="9" w16cid:durableId="982391660">
    <w:abstractNumId w:val="9"/>
  </w:num>
  <w:num w:numId="10" w16cid:durableId="576944569">
    <w:abstractNumId w:val="0"/>
  </w:num>
  <w:num w:numId="11" w16cid:durableId="291517511">
    <w:abstractNumId w:val="2"/>
  </w:num>
  <w:num w:numId="12" w16cid:durableId="1232693238">
    <w:abstractNumId w:val="11"/>
  </w:num>
  <w:num w:numId="13" w16cid:durableId="20426340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01461"/>
    <w:rsid w:val="00021116"/>
    <w:rsid w:val="000219DE"/>
    <w:rsid w:val="00031006"/>
    <w:rsid w:val="000606B3"/>
    <w:rsid w:val="000608DB"/>
    <w:rsid w:val="00062F39"/>
    <w:rsid w:val="00075A15"/>
    <w:rsid w:val="000836CB"/>
    <w:rsid w:val="00083DFD"/>
    <w:rsid w:val="000A3CD4"/>
    <w:rsid w:val="000B7423"/>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11CA1"/>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D5779"/>
    <w:rsid w:val="003E29B3"/>
    <w:rsid w:val="003F3D8D"/>
    <w:rsid w:val="00410A4F"/>
    <w:rsid w:val="00410C54"/>
    <w:rsid w:val="00412680"/>
    <w:rsid w:val="004129D2"/>
    <w:rsid w:val="0043389C"/>
    <w:rsid w:val="00445CFE"/>
    <w:rsid w:val="004552A8"/>
    <w:rsid w:val="00455A9A"/>
    <w:rsid w:val="00471A74"/>
    <w:rsid w:val="004761BE"/>
    <w:rsid w:val="00476691"/>
    <w:rsid w:val="00494052"/>
    <w:rsid w:val="004A4C1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2755"/>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E2DC9"/>
    <w:rsid w:val="007F0E20"/>
    <w:rsid w:val="007F3B99"/>
    <w:rsid w:val="00812C0F"/>
    <w:rsid w:val="008171E8"/>
    <w:rsid w:val="00831B65"/>
    <w:rsid w:val="00846B7C"/>
    <w:rsid w:val="00851127"/>
    <w:rsid w:val="008A0F7D"/>
    <w:rsid w:val="008A118F"/>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47CDE"/>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77718"/>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36A4"/>
    <w:rsid w:val="00EB0209"/>
    <w:rsid w:val="00EB3FFE"/>
    <w:rsid w:val="00ED37CF"/>
    <w:rsid w:val="00EF143E"/>
    <w:rsid w:val="00EF4A8F"/>
    <w:rsid w:val="00F059A3"/>
    <w:rsid w:val="00F06902"/>
    <w:rsid w:val="00F21532"/>
    <w:rsid w:val="00F226DF"/>
    <w:rsid w:val="00F27289"/>
    <w:rsid w:val="00F36705"/>
    <w:rsid w:val="00F533D4"/>
    <w:rsid w:val="00F8240A"/>
    <w:rsid w:val="00F854FD"/>
    <w:rsid w:val="00FA0364"/>
    <w:rsid w:val="00FA36D1"/>
    <w:rsid w:val="00FA5F29"/>
    <w:rsid w:val="00FB470F"/>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45D461D-9FA2-41A2-87A3-32F28BF0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6264398">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19342459">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10</cp:revision>
  <cp:lastPrinted>2025-02-17T12:55:00Z</cp:lastPrinted>
  <dcterms:created xsi:type="dcterms:W3CDTF">2026-03-26T18:09:00Z</dcterms:created>
  <dcterms:modified xsi:type="dcterms:W3CDTF">2026-04-06T17:23:00Z</dcterms:modified>
</cp:coreProperties>
</file>