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755B22" w14:textId="77777777" w:rsidR="0088762E" w:rsidRPr="00C45C7E" w:rsidRDefault="00370561" w:rsidP="00E504E0">
      <w:pPr>
        <w:jc w:val="center"/>
        <w:rPr>
          <w:rFonts w:ascii="Book Antiqua" w:eastAsia="Times New Roman" w:hAnsi="Book Antiqua"/>
          <w:sz w:val="28"/>
          <w:szCs w:val="28"/>
          <w:lang w:val="es-ES_tradnl"/>
        </w:rPr>
      </w:pPr>
      <w:r w:rsidRPr="00C45C7E">
        <w:rPr>
          <w:rFonts w:ascii="Book Antiqua" w:eastAsia="Times New Roman" w:hAnsi="Book Antiqua"/>
          <w:sz w:val="28"/>
          <w:szCs w:val="28"/>
          <w:lang w:val="es-ES_tradnl"/>
        </w:rPr>
        <w:t>GOBIERNO</w:t>
      </w:r>
      <w:r w:rsidR="00FD3117" w:rsidRPr="00C45C7E">
        <w:rPr>
          <w:rFonts w:ascii="Book Antiqua" w:eastAsia="Times New Roman" w:hAnsi="Book Antiqua"/>
          <w:sz w:val="28"/>
          <w:szCs w:val="28"/>
          <w:lang w:val="es-ES_tradnl"/>
        </w:rPr>
        <w:t xml:space="preserve"> </w:t>
      </w:r>
      <w:r w:rsidR="0088762E" w:rsidRPr="00C45C7E">
        <w:rPr>
          <w:rFonts w:ascii="Book Antiqua" w:eastAsia="Times New Roman" w:hAnsi="Book Antiqua"/>
          <w:sz w:val="28"/>
          <w:szCs w:val="28"/>
          <w:lang w:val="es-ES_tradnl"/>
        </w:rPr>
        <w:t>DE PUERTO RICO</w:t>
      </w:r>
    </w:p>
    <w:p w14:paraId="5F35E1CB" w14:textId="77777777" w:rsidR="0088762E" w:rsidRPr="00C45C7E" w:rsidRDefault="0088762E" w:rsidP="00E504E0">
      <w:pPr>
        <w:jc w:val="center"/>
        <w:rPr>
          <w:rFonts w:ascii="Book Antiqua" w:eastAsia="Times New Roman" w:hAnsi="Book Antiqua"/>
          <w:lang w:val="es-ES_tradnl"/>
        </w:rPr>
      </w:pPr>
    </w:p>
    <w:p w14:paraId="31241CA9" w14:textId="6334BAB4" w:rsidR="0088762E" w:rsidRPr="00C45C7E" w:rsidRDefault="008D45B6" w:rsidP="00E504E0">
      <w:pPr>
        <w:jc w:val="both"/>
        <w:rPr>
          <w:rFonts w:ascii="Book Antiqua" w:eastAsia="Times New Roman" w:hAnsi="Book Antiqua"/>
          <w:lang w:val="es-ES_tradnl"/>
        </w:rPr>
      </w:pPr>
      <w:r w:rsidRPr="00C45C7E">
        <w:rPr>
          <w:rFonts w:ascii="Book Antiqua" w:eastAsia="Times New Roman" w:hAnsi="Book Antiqua"/>
          <w:lang w:val="es-ES_tradnl"/>
        </w:rPr>
        <w:t>20m</w:t>
      </w:r>
      <w:r w:rsidR="0088762E" w:rsidRPr="00C45C7E">
        <w:rPr>
          <w:rFonts w:ascii="Book Antiqua" w:eastAsia="Times New Roman" w:hAnsi="Book Antiqua"/>
          <w:lang w:val="es-ES_tradnl"/>
        </w:rPr>
        <w:t>a. Asambl</w:t>
      </w:r>
      <w:r w:rsidR="00062BE3" w:rsidRPr="00C45C7E">
        <w:rPr>
          <w:rFonts w:ascii="Book Antiqua" w:eastAsia="Times New Roman" w:hAnsi="Book Antiqua"/>
          <w:lang w:val="es-ES_tradnl"/>
        </w:rPr>
        <w:t>ea</w:t>
      </w:r>
      <w:r w:rsidR="0088762E" w:rsidRPr="00C45C7E">
        <w:rPr>
          <w:rFonts w:ascii="Book Antiqua" w:eastAsia="Times New Roman" w:hAnsi="Book Antiqua"/>
          <w:lang w:val="es-ES_tradnl"/>
        </w:rPr>
        <w:t xml:space="preserve"> </w:t>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r>
      <w:r w:rsidR="00062BE3" w:rsidRPr="00C45C7E">
        <w:rPr>
          <w:rFonts w:ascii="Book Antiqua" w:eastAsia="Times New Roman" w:hAnsi="Book Antiqua"/>
          <w:lang w:val="es-ES_tradnl"/>
        </w:rPr>
        <w:tab/>
        <w:t xml:space="preserve">                     </w:t>
      </w:r>
      <w:r w:rsidR="0015346C" w:rsidRPr="00C45C7E">
        <w:rPr>
          <w:rFonts w:ascii="Book Antiqua" w:eastAsia="Times New Roman" w:hAnsi="Book Antiqua"/>
          <w:lang w:val="es-ES_tradnl"/>
        </w:rPr>
        <w:t>2d</w:t>
      </w:r>
      <w:r w:rsidR="0088762E" w:rsidRPr="00C45C7E">
        <w:rPr>
          <w:rFonts w:ascii="Book Antiqua" w:eastAsia="Times New Roman" w:hAnsi="Book Antiqua"/>
          <w:lang w:val="es-ES_tradnl"/>
        </w:rPr>
        <w:t xml:space="preserve">a. Sesión </w:t>
      </w:r>
    </w:p>
    <w:p w14:paraId="516C5928" w14:textId="2AC1ADC9" w:rsidR="0088762E" w:rsidRPr="00C45C7E" w:rsidRDefault="00062BE3" w:rsidP="00E504E0">
      <w:pPr>
        <w:jc w:val="both"/>
        <w:rPr>
          <w:rFonts w:ascii="Book Antiqua" w:eastAsia="Times New Roman" w:hAnsi="Book Antiqua"/>
          <w:lang w:val="es-ES_tradnl"/>
        </w:rPr>
      </w:pPr>
      <w:r w:rsidRPr="00C45C7E">
        <w:rPr>
          <w:rFonts w:ascii="Book Antiqua" w:eastAsia="Times New Roman" w:hAnsi="Book Antiqua"/>
          <w:lang w:val="es-ES_tradnl"/>
        </w:rPr>
        <w:tab/>
        <w:t>Legislativa</w:t>
      </w:r>
      <w:r w:rsidR="0088762E" w:rsidRPr="00C45C7E">
        <w:rPr>
          <w:rFonts w:ascii="Book Antiqua" w:eastAsia="Times New Roman" w:hAnsi="Book Antiqua"/>
          <w:lang w:val="es-ES_tradnl"/>
        </w:rPr>
        <w:t xml:space="preserve"> </w:t>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r>
      <w:r w:rsidRPr="00C45C7E">
        <w:rPr>
          <w:rFonts w:ascii="Book Antiqua" w:eastAsia="Times New Roman" w:hAnsi="Book Antiqua"/>
          <w:lang w:val="es-ES_tradnl"/>
        </w:rPr>
        <w:tab/>
        <w:t xml:space="preserve">    </w:t>
      </w:r>
      <w:r w:rsidR="0015346C" w:rsidRPr="00C45C7E">
        <w:rPr>
          <w:rFonts w:ascii="Book Antiqua" w:eastAsia="Times New Roman" w:hAnsi="Book Antiqua"/>
          <w:lang w:val="es-ES_tradnl"/>
        </w:rPr>
        <w:t xml:space="preserve"> </w:t>
      </w:r>
      <w:r w:rsidR="0088762E" w:rsidRPr="00C45C7E">
        <w:rPr>
          <w:rFonts w:ascii="Book Antiqua" w:eastAsia="Times New Roman" w:hAnsi="Book Antiqua"/>
          <w:lang w:val="es-ES_tradnl"/>
        </w:rPr>
        <w:t>Ordinaria</w:t>
      </w:r>
    </w:p>
    <w:p w14:paraId="44A54499" w14:textId="77777777" w:rsidR="0088762E" w:rsidRPr="00C45C7E" w:rsidRDefault="0088762E" w:rsidP="00E504E0">
      <w:pPr>
        <w:rPr>
          <w:rFonts w:ascii="Book Antiqua" w:eastAsia="Times New Roman" w:hAnsi="Book Antiqua"/>
          <w:lang w:val="es-ES_tradnl"/>
        </w:rPr>
      </w:pPr>
    </w:p>
    <w:p w14:paraId="13457F18" w14:textId="77777777" w:rsidR="00062BE3" w:rsidRPr="00C45C7E" w:rsidRDefault="0088762E" w:rsidP="00E504E0">
      <w:pPr>
        <w:pStyle w:val="BodyText"/>
        <w:spacing w:before="0"/>
        <w:jc w:val="center"/>
        <w:rPr>
          <w:rFonts w:ascii="Book Antiqua" w:hAnsi="Book Antiqua"/>
          <w:lang w:val="es-PR"/>
        </w:rPr>
      </w:pPr>
      <w:r w:rsidRPr="00C45C7E">
        <w:rPr>
          <w:rFonts w:ascii="Book Antiqua" w:eastAsia="Times New Roman" w:hAnsi="Book Antiqua"/>
          <w:b/>
          <w:sz w:val="36"/>
          <w:lang w:val="es-PR"/>
        </w:rPr>
        <w:t>CÁMARA DE REPRESENTANTES</w:t>
      </w:r>
    </w:p>
    <w:p w14:paraId="6C298991" w14:textId="77777777" w:rsidR="0088762E" w:rsidRPr="00C45C7E" w:rsidRDefault="0088762E" w:rsidP="00E504E0">
      <w:pPr>
        <w:rPr>
          <w:rFonts w:ascii="Book Antiqua" w:eastAsia="Times New Roman" w:hAnsi="Book Antiqua"/>
          <w:szCs w:val="24"/>
          <w:lang w:val="es-ES_tradnl"/>
        </w:rPr>
      </w:pPr>
    </w:p>
    <w:p w14:paraId="108F7551" w14:textId="62179528" w:rsidR="0088762E" w:rsidRPr="00C45C7E" w:rsidRDefault="0088762E" w:rsidP="00E504E0">
      <w:pPr>
        <w:jc w:val="center"/>
        <w:rPr>
          <w:rFonts w:ascii="Book Antiqua" w:eastAsia="Times New Roman" w:hAnsi="Book Antiqua"/>
          <w:b/>
          <w:sz w:val="52"/>
          <w:szCs w:val="52"/>
          <w:lang w:val="es-ES_tradnl"/>
        </w:rPr>
      </w:pPr>
      <w:r w:rsidRPr="00C45C7E">
        <w:rPr>
          <w:rFonts w:ascii="Book Antiqua" w:eastAsia="Times New Roman" w:hAnsi="Book Antiqua"/>
          <w:b/>
          <w:sz w:val="52"/>
          <w:szCs w:val="52"/>
          <w:lang w:val="es-ES_tradnl"/>
        </w:rPr>
        <w:t xml:space="preserve">R. </w:t>
      </w:r>
      <w:r w:rsidR="002F576C" w:rsidRPr="00C45C7E">
        <w:rPr>
          <w:rFonts w:ascii="Book Antiqua" w:eastAsia="Times New Roman" w:hAnsi="Book Antiqua"/>
          <w:b/>
          <w:sz w:val="52"/>
          <w:szCs w:val="52"/>
          <w:lang w:val="es-ES_tradnl"/>
        </w:rPr>
        <w:t xml:space="preserve">C. </w:t>
      </w:r>
      <w:r w:rsidRPr="00C45C7E">
        <w:rPr>
          <w:rFonts w:ascii="Book Antiqua" w:eastAsia="Times New Roman" w:hAnsi="Book Antiqua"/>
          <w:b/>
          <w:sz w:val="52"/>
          <w:szCs w:val="52"/>
          <w:lang w:val="es-ES_tradnl"/>
        </w:rPr>
        <w:t>de la C.</w:t>
      </w:r>
      <w:r w:rsidR="006542E0">
        <w:rPr>
          <w:rFonts w:ascii="Book Antiqua" w:eastAsia="Times New Roman" w:hAnsi="Book Antiqua"/>
          <w:b/>
          <w:sz w:val="52"/>
          <w:szCs w:val="52"/>
          <w:lang w:val="es-ES_tradnl"/>
        </w:rPr>
        <w:t xml:space="preserve"> 242</w:t>
      </w:r>
    </w:p>
    <w:p w14:paraId="6A945ECB" w14:textId="77777777" w:rsidR="0088762E" w:rsidRPr="00C45C7E" w:rsidRDefault="0088762E" w:rsidP="00E504E0">
      <w:pPr>
        <w:jc w:val="center"/>
        <w:rPr>
          <w:rFonts w:ascii="Book Antiqua" w:eastAsia="Times New Roman" w:hAnsi="Book Antiqua"/>
          <w:szCs w:val="24"/>
          <w:lang w:val="es-ES_tradnl"/>
        </w:rPr>
      </w:pPr>
    </w:p>
    <w:p w14:paraId="59057EB1" w14:textId="0ABECFDA" w:rsidR="0088762E" w:rsidRPr="00C45C7E" w:rsidRDefault="006542E0" w:rsidP="00E504E0">
      <w:pPr>
        <w:jc w:val="center"/>
        <w:rPr>
          <w:rFonts w:ascii="Book Antiqua" w:eastAsia="Times New Roman" w:hAnsi="Book Antiqua"/>
          <w:lang w:val="es-ES_tradnl"/>
        </w:rPr>
      </w:pPr>
      <w:r>
        <w:rPr>
          <w:rFonts w:ascii="Book Antiqua" w:eastAsia="Times New Roman" w:hAnsi="Book Antiqua"/>
          <w:lang w:val="es-ES_tradnl"/>
        </w:rPr>
        <w:t>6</w:t>
      </w:r>
      <w:r w:rsidR="005945DD" w:rsidRPr="00C45C7E">
        <w:rPr>
          <w:rFonts w:ascii="Book Antiqua" w:eastAsia="Times New Roman" w:hAnsi="Book Antiqua"/>
          <w:lang w:val="es-ES_tradnl"/>
        </w:rPr>
        <w:t xml:space="preserve"> </w:t>
      </w:r>
      <w:r w:rsidR="00031104" w:rsidRPr="00C45C7E">
        <w:rPr>
          <w:rFonts w:ascii="Book Antiqua" w:eastAsia="Times New Roman" w:hAnsi="Book Antiqua"/>
          <w:lang w:val="es-ES_tradnl"/>
        </w:rPr>
        <w:t>DE</w:t>
      </w:r>
      <w:r w:rsidR="0015346C" w:rsidRPr="00C45C7E">
        <w:rPr>
          <w:rFonts w:ascii="Book Antiqua" w:eastAsia="Times New Roman" w:hAnsi="Book Antiqua"/>
          <w:lang w:val="es-ES_tradnl"/>
        </w:rPr>
        <w:t xml:space="preserve"> </w:t>
      </w:r>
      <w:r w:rsidR="00BC00FC">
        <w:rPr>
          <w:rFonts w:ascii="Book Antiqua" w:eastAsia="Times New Roman" w:hAnsi="Book Antiqua"/>
          <w:lang w:val="es-ES_tradnl"/>
        </w:rPr>
        <w:t>NOVIEMBRE</w:t>
      </w:r>
      <w:r w:rsidR="008D45B6" w:rsidRPr="00C45C7E">
        <w:rPr>
          <w:rFonts w:ascii="Book Antiqua" w:eastAsia="Times New Roman" w:hAnsi="Book Antiqua"/>
          <w:lang w:val="es-ES_tradnl"/>
        </w:rPr>
        <w:t xml:space="preserve"> DE 2025</w:t>
      </w:r>
    </w:p>
    <w:p w14:paraId="42DA2A30" w14:textId="77777777" w:rsidR="00A93E86" w:rsidRPr="00C45C7E" w:rsidRDefault="00A93E86" w:rsidP="00E504E0">
      <w:pPr>
        <w:jc w:val="center"/>
        <w:rPr>
          <w:rFonts w:ascii="Book Antiqua" w:eastAsia="Times New Roman" w:hAnsi="Book Antiqua"/>
          <w:lang w:val="es-ES_tradnl"/>
        </w:rPr>
      </w:pPr>
    </w:p>
    <w:p w14:paraId="46913DC4" w14:textId="2F2C56A3" w:rsidR="00BC41FE" w:rsidRPr="00C45C7E" w:rsidRDefault="00BC41FE" w:rsidP="00352418">
      <w:pPr>
        <w:ind w:left="709" w:hanging="709"/>
        <w:jc w:val="center"/>
        <w:rPr>
          <w:rFonts w:ascii="Book Antiqua" w:eastAsia="Times New Roman" w:hAnsi="Book Antiqua"/>
          <w:lang w:val="es-ES_tradnl"/>
        </w:rPr>
      </w:pPr>
      <w:r w:rsidRPr="00C45C7E">
        <w:rPr>
          <w:rFonts w:ascii="Book Antiqua" w:eastAsia="Times New Roman" w:hAnsi="Book Antiqua"/>
          <w:lang w:val="es-ES_tradnl"/>
        </w:rPr>
        <w:t xml:space="preserve">Presentada por </w:t>
      </w:r>
      <w:r w:rsidR="000B33FF">
        <w:rPr>
          <w:rFonts w:ascii="Book Antiqua" w:eastAsia="Times New Roman" w:hAnsi="Book Antiqua"/>
          <w:lang w:val="es-ES_tradnl"/>
        </w:rPr>
        <w:t>los</w:t>
      </w:r>
      <w:r w:rsidR="00352418" w:rsidRPr="00C45C7E">
        <w:rPr>
          <w:rFonts w:ascii="Book Antiqua" w:eastAsia="Times New Roman" w:hAnsi="Book Antiqua"/>
          <w:lang w:val="es-ES_tradnl"/>
        </w:rPr>
        <w:t xml:space="preserve"> representante</w:t>
      </w:r>
      <w:r w:rsidR="000B33FF">
        <w:rPr>
          <w:rFonts w:ascii="Book Antiqua" w:eastAsia="Times New Roman" w:hAnsi="Book Antiqua"/>
          <w:lang w:val="es-ES_tradnl"/>
        </w:rPr>
        <w:t>s</w:t>
      </w:r>
      <w:r w:rsidRPr="00C45C7E">
        <w:rPr>
          <w:rFonts w:ascii="Book Antiqua" w:eastAsia="Times New Roman" w:hAnsi="Book Antiqua"/>
          <w:lang w:val="es-ES_tradnl"/>
        </w:rPr>
        <w:t xml:space="preserve"> </w:t>
      </w:r>
      <w:r w:rsidRPr="00C45C7E">
        <w:rPr>
          <w:rFonts w:ascii="Book Antiqua" w:eastAsia="Times New Roman" w:hAnsi="Book Antiqua"/>
          <w:i/>
          <w:lang w:val="es-ES_tradnl"/>
        </w:rPr>
        <w:t>F</w:t>
      </w:r>
      <w:r w:rsidR="0015346C" w:rsidRPr="00C45C7E">
        <w:rPr>
          <w:rFonts w:ascii="Book Antiqua" w:eastAsia="Times New Roman" w:hAnsi="Book Antiqua"/>
          <w:i/>
          <w:lang w:val="es-ES_tradnl"/>
        </w:rPr>
        <w:t>ourquet Corder</w:t>
      </w:r>
      <w:r w:rsidR="000B33FF">
        <w:rPr>
          <w:rFonts w:ascii="Book Antiqua" w:eastAsia="Times New Roman" w:hAnsi="Book Antiqua"/>
          <w:i/>
          <w:lang w:val="es-ES_tradnl"/>
        </w:rPr>
        <w:t>o y Torres Zamora</w:t>
      </w:r>
    </w:p>
    <w:p w14:paraId="4CFB693C" w14:textId="77777777" w:rsidR="00A774D0" w:rsidRPr="00C45C7E" w:rsidRDefault="00A774D0" w:rsidP="00E504E0">
      <w:pPr>
        <w:jc w:val="center"/>
        <w:rPr>
          <w:rFonts w:ascii="Book Antiqua" w:eastAsia="Times New Roman" w:hAnsi="Book Antiqua"/>
          <w:lang w:val="es-ES_tradnl"/>
        </w:rPr>
      </w:pPr>
    </w:p>
    <w:p w14:paraId="64010540" w14:textId="50380DF9" w:rsidR="0088762E" w:rsidRPr="00C45C7E" w:rsidRDefault="00861F7A" w:rsidP="00E504E0">
      <w:pPr>
        <w:pStyle w:val="c20"/>
        <w:spacing w:line="240" w:lineRule="auto"/>
        <w:rPr>
          <w:rFonts w:ascii="Book Antiqua" w:hAnsi="Book Antiqua"/>
          <w:snapToGrid/>
          <w:lang w:val="es-ES_tradnl"/>
        </w:rPr>
      </w:pPr>
      <w:r w:rsidRPr="00C45C7E">
        <w:rPr>
          <w:rFonts w:ascii="Book Antiqua" w:hAnsi="Book Antiqua"/>
          <w:snapToGrid/>
          <w:lang w:val="es-ES_tradnl"/>
        </w:rPr>
        <w:t>Referida a</w:t>
      </w:r>
      <w:r w:rsidR="001314A4" w:rsidRPr="00C45C7E">
        <w:rPr>
          <w:rFonts w:ascii="Book Antiqua" w:hAnsi="Book Antiqua"/>
          <w:snapToGrid/>
          <w:lang w:val="es-ES_tradnl"/>
        </w:rPr>
        <w:t xml:space="preserve"> </w:t>
      </w:r>
      <w:r w:rsidR="00A93AA6">
        <w:rPr>
          <w:rFonts w:ascii="Book Antiqua" w:hAnsi="Book Antiqua"/>
          <w:snapToGrid/>
          <w:lang w:val="es-ES_tradnl"/>
        </w:rPr>
        <w:t>la Comisión de Hacienda</w:t>
      </w:r>
    </w:p>
    <w:p w14:paraId="16335C04" w14:textId="77777777" w:rsidR="008D45B6" w:rsidRPr="00C45C7E" w:rsidRDefault="008D45B6" w:rsidP="00E504E0">
      <w:pPr>
        <w:pStyle w:val="c20"/>
        <w:spacing w:line="240" w:lineRule="auto"/>
        <w:rPr>
          <w:rFonts w:ascii="Book Antiqua" w:hAnsi="Book Antiqua"/>
          <w:lang w:val="es-ES_tradnl"/>
        </w:rPr>
      </w:pPr>
    </w:p>
    <w:p w14:paraId="4B5DD148" w14:textId="77777777" w:rsidR="0088762E" w:rsidRPr="00C45C7E" w:rsidRDefault="0088762E" w:rsidP="00E504E0">
      <w:pPr>
        <w:jc w:val="center"/>
        <w:rPr>
          <w:rFonts w:ascii="Book Antiqua" w:eastAsia="Times New Roman" w:hAnsi="Book Antiqua"/>
          <w:b/>
          <w:sz w:val="28"/>
          <w:lang w:val="es-ES_tradnl"/>
        </w:rPr>
      </w:pPr>
      <w:bookmarkStart w:id="0" w:name="OLE_LINK3"/>
      <w:bookmarkStart w:id="1" w:name="OLE_LINK4"/>
      <w:r w:rsidRPr="00C45C7E">
        <w:rPr>
          <w:rFonts w:ascii="Book Antiqua" w:eastAsia="Times New Roman" w:hAnsi="Book Antiqua"/>
          <w:b/>
          <w:sz w:val="28"/>
          <w:lang w:val="es-ES_tradnl"/>
        </w:rPr>
        <w:t>RESOLUCIÓN</w:t>
      </w:r>
      <w:r w:rsidR="0086442E" w:rsidRPr="00C45C7E">
        <w:rPr>
          <w:rFonts w:ascii="Book Antiqua" w:eastAsia="Times New Roman" w:hAnsi="Book Antiqua"/>
          <w:b/>
          <w:sz w:val="28"/>
          <w:lang w:val="es-ES_tradnl"/>
        </w:rPr>
        <w:t xml:space="preserve"> CONJUNTA</w:t>
      </w:r>
    </w:p>
    <w:p w14:paraId="69328A1A" w14:textId="77777777" w:rsidR="00062BE3" w:rsidRPr="00C45C7E" w:rsidRDefault="00062BE3" w:rsidP="00E504E0">
      <w:pPr>
        <w:jc w:val="both"/>
        <w:rPr>
          <w:rFonts w:ascii="Book Antiqua" w:hAnsi="Book Antiqua"/>
          <w:lang w:val="es-ES_tradnl"/>
        </w:rPr>
      </w:pPr>
      <w:bookmarkStart w:id="2" w:name="OLE_LINK1"/>
      <w:bookmarkStart w:id="3" w:name="OLE_LINK2"/>
      <w:bookmarkStart w:id="4" w:name="OLE_LINK20"/>
      <w:bookmarkStart w:id="5" w:name="OLE_LINK13"/>
      <w:bookmarkStart w:id="6" w:name="OLE_LINK23"/>
      <w:bookmarkEnd w:id="0"/>
      <w:bookmarkEnd w:id="1"/>
    </w:p>
    <w:p w14:paraId="52E8E435" w14:textId="5918BFE7" w:rsidR="00510006" w:rsidRPr="00C45C7E" w:rsidRDefault="00BC00FC" w:rsidP="00E504E0">
      <w:pPr>
        <w:ind w:left="630" w:hanging="630"/>
        <w:jc w:val="both"/>
        <w:rPr>
          <w:rFonts w:ascii="Book Antiqua" w:hAnsi="Book Antiqua"/>
          <w:szCs w:val="24"/>
          <w:lang w:val="es-PR"/>
        </w:rPr>
      </w:pPr>
      <w:r w:rsidRPr="00BC00FC">
        <w:rPr>
          <w:rFonts w:ascii="Book Antiqua" w:hAnsi="Book Antiqua"/>
          <w:lang w:val="es-ES_tradnl"/>
        </w:rPr>
        <w:t>Para ordenar a la Oficina de Gerencia y Presupuesto</w:t>
      </w:r>
      <w:r w:rsidR="0064184E">
        <w:rPr>
          <w:rFonts w:ascii="Book Antiqua" w:hAnsi="Book Antiqua"/>
          <w:lang w:val="es-ES_tradnl"/>
        </w:rPr>
        <w:t xml:space="preserve"> (OGP), al Departamento de Hacienda y</w:t>
      </w:r>
      <w:r w:rsidRPr="00BC00FC">
        <w:rPr>
          <w:rFonts w:ascii="Book Antiqua" w:hAnsi="Book Antiqua"/>
          <w:lang w:val="es-ES_tradnl"/>
        </w:rPr>
        <w:t xml:space="preserve"> a la Autoridad de los Puertos de Puerto Rico que, en coordinación, identifiquen y asignen los fondos y recursos disponibles del Fondo de Emergencia o de cualquier otro fondo o fuente de recursos estatales aplicables, con el fin de garantizar la continuidad de los servicios federales esenciales en los aeropuertos del país, particularmente en el Aeropuerto Internacional Luis Muñoz Marín</w:t>
      </w:r>
      <w:r w:rsidR="005D6FF2">
        <w:rPr>
          <w:rFonts w:ascii="Book Antiqua" w:hAnsi="Book Antiqua"/>
          <w:lang w:val="es-ES_tradnl"/>
        </w:rPr>
        <w:t xml:space="preserve"> (SJU)</w:t>
      </w:r>
      <w:r w:rsidR="007E776D">
        <w:rPr>
          <w:rFonts w:ascii="Book Antiqua" w:hAnsi="Book Antiqua"/>
          <w:lang w:val="es-ES_tradnl"/>
        </w:rPr>
        <w:t xml:space="preserve">, el Aeropuerto </w:t>
      </w:r>
      <w:r w:rsidR="005D6FF2">
        <w:rPr>
          <w:rFonts w:ascii="Book Antiqua" w:hAnsi="Book Antiqua"/>
          <w:lang w:val="es-ES_tradnl"/>
        </w:rPr>
        <w:t xml:space="preserve">Internacional </w:t>
      </w:r>
      <w:r w:rsidR="007E776D">
        <w:rPr>
          <w:rFonts w:ascii="Book Antiqua" w:hAnsi="Book Antiqua"/>
          <w:lang w:val="es-ES_tradnl"/>
        </w:rPr>
        <w:t>Mercedita</w:t>
      </w:r>
      <w:r w:rsidR="00E42808">
        <w:rPr>
          <w:rFonts w:ascii="Book Antiqua" w:hAnsi="Book Antiqua"/>
          <w:lang w:val="es-ES_tradnl"/>
        </w:rPr>
        <w:t xml:space="preserve"> </w:t>
      </w:r>
      <w:r w:rsidR="005D6FF2">
        <w:rPr>
          <w:rFonts w:ascii="Book Antiqua" w:hAnsi="Book Antiqua"/>
          <w:lang w:val="es-ES_tradnl"/>
        </w:rPr>
        <w:t>(PSE)</w:t>
      </w:r>
      <w:r w:rsidR="007E776D">
        <w:rPr>
          <w:rFonts w:ascii="Book Antiqua" w:hAnsi="Book Antiqua"/>
          <w:lang w:val="es-ES_tradnl"/>
        </w:rPr>
        <w:t xml:space="preserve"> y el Aeropuerto </w:t>
      </w:r>
      <w:r w:rsidR="005D6FF2">
        <w:rPr>
          <w:rFonts w:ascii="Book Antiqua" w:hAnsi="Book Antiqua"/>
          <w:lang w:val="es-ES_tradnl"/>
        </w:rPr>
        <w:t xml:space="preserve">Internacional </w:t>
      </w:r>
      <w:r w:rsidR="007E776D">
        <w:rPr>
          <w:rFonts w:ascii="Book Antiqua" w:hAnsi="Book Antiqua"/>
          <w:lang w:val="es-ES_tradnl"/>
        </w:rPr>
        <w:t>Rafael Hernández</w:t>
      </w:r>
      <w:r w:rsidR="005D6FF2">
        <w:rPr>
          <w:rFonts w:ascii="Book Antiqua" w:hAnsi="Book Antiqua"/>
          <w:lang w:val="es-ES_tradnl"/>
        </w:rPr>
        <w:t xml:space="preserve"> (BQN)</w:t>
      </w:r>
      <w:r w:rsidRPr="00BC00FC">
        <w:rPr>
          <w:rFonts w:ascii="Book Antiqua" w:hAnsi="Book Antiqua"/>
          <w:lang w:val="es-ES_tradnl"/>
        </w:rPr>
        <w:t>, ante el cierre del gobierno federal y sus efectos en los empleados federales que laboran en dichas instalaciones</w:t>
      </w:r>
      <w:r w:rsidR="00352418" w:rsidRPr="00352418">
        <w:rPr>
          <w:rFonts w:ascii="Book Antiqua" w:hAnsi="Book Antiqua"/>
          <w:lang w:val="es-ES_tradnl"/>
        </w:rPr>
        <w:t>; y para otros fines relacionados</w:t>
      </w:r>
      <w:r w:rsidR="00516320" w:rsidRPr="00C45C7E">
        <w:rPr>
          <w:rFonts w:ascii="Book Antiqua" w:hAnsi="Book Antiqua"/>
          <w:lang w:val="es-ES_tradnl"/>
        </w:rPr>
        <w:t>.</w:t>
      </w:r>
    </w:p>
    <w:p w14:paraId="4B879A26" w14:textId="77777777" w:rsidR="000A7D79" w:rsidRPr="00C45C7E" w:rsidRDefault="00CB13CF" w:rsidP="00E504E0">
      <w:pPr>
        <w:ind w:left="720" w:hanging="720"/>
        <w:jc w:val="both"/>
        <w:rPr>
          <w:rFonts w:ascii="Book Antiqua" w:hAnsi="Book Antiqua"/>
          <w:lang w:val="es-PR"/>
        </w:rPr>
      </w:pPr>
      <w:r w:rsidRPr="00C45C7E">
        <w:rPr>
          <w:rFonts w:ascii="Book Antiqua" w:hAnsi="Book Antiqua"/>
          <w:szCs w:val="24"/>
          <w:lang w:val="es-PR"/>
        </w:rPr>
        <w:t xml:space="preserve"> </w:t>
      </w:r>
    </w:p>
    <w:bookmarkEnd w:id="2"/>
    <w:bookmarkEnd w:id="3"/>
    <w:bookmarkEnd w:id="4"/>
    <w:bookmarkEnd w:id="5"/>
    <w:bookmarkEnd w:id="6"/>
    <w:p w14:paraId="0085E1F0" w14:textId="43A78E4C" w:rsidR="00062BE3" w:rsidRPr="007E776D" w:rsidRDefault="001F0092" w:rsidP="007E776D">
      <w:pPr>
        <w:jc w:val="center"/>
        <w:rPr>
          <w:rFonts w:ascii="Book Antiqua" w:hAnsi="Book Antiqua"/>
          <w:szCs w:val="24"/>
          <w:lang w:val="es-ES_tradnl"/>
        </w:rPr>
      </w:pPr>
      <w:r w:rsidRPr="00C45C7E">
        <w:rPr>
          <w:rFonts w:ascii="Book Antiqua" w:hAnsi="Book Antiqua"/>
          <w:szCs w:val="24"/>
          <w:lang w:val="es-ES_tradnl"/>
        </w:rPr>
        <w:t>EXPOSICIÓ</w:t>
      </w:r>
      <w:r w:rsidR="00AA3517" w:rsidRPr="00C45C7E">
        <w:rPr>
          <w:rFonts w:ascii="Book Antiqua" w:hAnsi="Book Antiqua"/>
          <w:szCs w:val="24"/>
          <w:lang w:val="es-ES_tradnl"/>
        </w:rPr>
        <w:t>N DE MOTIVOS</w:t>
      </w:r>
    </w:p>
    <w:p w14:paraId="40532E9A" w14:textId="5B883E57" w:rsidR="0064184E" w:rsidRPr="0064184E" w:rsidRDefault="0064184E" w:rsidP="0064184E">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t>El cierre del gobierno de los Estados Unidos ha alcanzado una duración sin precedentes en la historia moderna, con repercusiones profundas y generalizadas sobre la economía, la seguridad y la estabilidad institucional del país y sus territorios.</w:t>
      </w:r>
    </w:p>
    <w:p w14:paraId="522F8E81" w14:textId="1308F304" w:rsidR="0064184E" w:rsidRPr="0064184E" w:rsidRDefault="0064184E" w:rsidP="0064184E">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t>La paralización del gobierno federal ha provocado que decenas de agencias cesen o limiten operaciones, afectando directamente la compensación de cientos de miles de empleados públicos</w:t>
      </w:r>
      <w:r>
        <w:rPr>
          <w:rFonts w:ascii="Book Antiqua" w:eastAsia="Times New Roman" w:hAnsi="Book Antiqua" w:cs="Arial"/>
          <w:color w:val="000000"/>
          <w:shd w:val="clear" w:color="auto" w:fill="FFFFFF"/>
          <w:lang w:eastAsia="es-ES_tradnl"/>
        </w:rPr>
        <w:t xml:space="preserve"> federales</w:t>
      </w:r>
      <w:r w:rsidRPr="0064184E">
        <w:rPr>
          <w:rFonts w:ascii="Book Antiqua" w:eastAsia="Times New Roman" w:hAnsi="Book Antiqua" w:cs="Arial"/>
          <w:color w:val="000000"/>
          <w:shd w:val="clear" w:color="auto" w:fill="FFFFFF"/>
          <w:lang w:eastAsia="es-ES_tradnl"/>
        </w:rPr>
        <w:t xml:space="preserve"> y comprometiendo la prestación de servicios esenciales. De acuerdo con informes de prensa y estimaciones económicas, el impacto diario de un cierre federal prolongado representa pérdidas multimillonarias en productividad y consumo, además de la erosión de la confianza pública en las instituciones.</w:t>
      </w:r>
    </w:p>
    <w:p w14:paraId="057ACC6C" w14:textId="77777777" w:rsidR="0064184E" w:rsidRPr="0064184E" w:rsidRDefault="0064184E" w:rsidP="0064184E">
      <w:pPr>
        <w:pStyle w:val="BodyText"/>
        <w:ind w:firstLine="720"/>
        <w:rPr>
          <w:rFonts w:ascii="Book Antiqua" w:eastAsia="Times New Roman" w:hAnsi="Book Antiqua" w:cs="Arial"/>
          <w:color w:val="000000"/>
          <w:shd w:val="clear" w:color="auto" w:fill="FFFFFF"/>
          <w:lang w:eastAsia="es-ES_tradnl"/>
        </w:rPr>
      </w:pPr>
    </w:p>
    <w:p w14:paraId="530111BE" w14:textId="77777777" w:rsidR="0064184E" w:rsidRPr="0064184E" w:rsidRDefault="0064184E" w:rsidP="0064184E">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lastRenderedPageBreak/>
        <w:t>Puerto Rico, como jurisdicción bajo la autoridad federal, no está exento de esta crisis. La interrupción de fondos y servicios provenientes del gobierno de los Estados Unidos repercute de forma inmediata sobre sectores vitales como la seguridad, el transporte, la salud y la operación de los aeropuertos.</w:t>
      </w:r>
    </w:p>
    <w:p w14:paraId="3F4FF800" w14:textId="2319AFF7" w:rsidR="0064184E" w:rsidRPr="0064184E" w:rsidRDefault="0064184E" w:rsidP="007E776D">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t xml:space="preserve">En este contexto, los </w:t>
      </w:r>
      <w:r w:rsidR="005D6FF2" w:rsidRPr="005D6FF2">
        <w:rPr>
          <w:rFonts w:ascii="Book Antiqua" w:eastAsia="Times New Roman" w:hAnsi="Book Antiqua" w:cs="Arial"/>
          <w:color w:val="000000"/>
          <w:shd w:val="clear" w:color="auto" w:fill="FFFFFF"/>
          <w:lang w:eastAsia="es-ES_tradnl"/>
        </w:rPr>
        <w:t>controladores aéreos, oficiales de seguridad federal, inspectores y personal técnico asignados a los aeropuertos del país —particularmente al Aeropuerto Internacional Luis Muñoz Marín</w:t>
      </w:r>
      <w:r w:rsidR="00E42808">
        <w:rPr>
          <w:rFonts w:ascii="Book Antiqua" w:eastAsia="Times New Roman" w:hAnsi="Book Antiqua" w:cs="Arial"/>
          <w:color w:val="000000"/>
          <w:shd w:val="clear" w:color="auto" w:fill="FFFFFF"/>
          <w:lang w:eastAsia="es-ES_tradnl"/>
        </w:rPr>
        <w:t xml:space="preserve"> (SJU)</w:t>
      </w:r>
      <w:r w:rsidR="005D6FF2" w:rsidRPr="005D6FF2">
        <w:rPr>
          <w:rFonts w:ascii="Book Antiqua" w:eastAsia="Times New Roman" w:hAnsi="Book Antiqua" w:cs="Arial"/>
          <w:color w:val="000000"/>
          <w:shd w:val="clear" w:color="auto" w:fill="FFFFFF"/>
          <w:lang w:eastAsia="es-ES_tradnl"/>
        </w:rPr>
        <w:t xml:space="preserve">, al Aeropuerto </w:t>
      </w:r>
      <w:r w:rsidR="00E42808">
        <w:rPr>
          <w:rFonts w:ascii="Book Antiqua" w:eastAsia="Times New Roman" w:hAnsi="Book Antiqua" w:cs="Arial"/>
          <w:color w:val="000000"/>
          <w:shd w:val="clear" w:color="auto" w:fill="FFFFFF"/>
          <w:lang w:eastAsia="es-ES_tradnl"/>
        </w:rPr>
        <w:t xml:space="preserve">Internacional </w:t>
      </w:r>
      <w:r w:rsidR="005D6FF2" w:rsidRPr="005D6FF2">
        <w:rPr>
          <w:rFonts w:ascii="Book Antiqua" w:eastAsia="Times New Roman" w:hAnsi="Book Antiqua" w:cs="Arial"/>
          <w:color w:val="000000"/>
          <w:shd w:val="clear" w:color="auto" w:fill="FFFFFF"/>
          <w:lang w:eastAsia="es-ES_tradnl"/>
        </w:rPr>
        <w:t>Mercedita</w:t>
      </w:r>
      <w:r w:rsidR="00E42808">
        <w:rPr>
          <w:rFonts w:ascii="Book Antiqua" w:eastAsia="Times New Roman" w:hAnsi="Book Antiqua" w:cs="Arial"/>
          <w:color w:val="000000"/>
          <w:shd w:val="clear" w:color="auto" w:fill="FFFFFF"/>
          <w:lang w:eastAsia="es-ES_tradnl"/>
        </w:rPr>
        <w:t xml:space="preserve"> (PSE)</w:t>
      </w:r>
      <w:r w:rsidR="005D6FF2" w:rsidRPr="005D6FF2">
        <w:rPr>
          <w:rFonts w:ascii="Book Antiqua" w:eastAsia="Times New Roman" w:hAnsi="Book Antiqua" w:cs="Arial"/>
          <w:color w:val="000000"/>
          <w:shd w:val="clear" w:color="auto" w:fill="FFFFFF"/>
          <w:lang w:eastAsia="es-ES_tradnl"/>
        </w:rPr>
        <w:t xml:space="preserve"> y al Aeropuerto</w:t>
      </w:r>
      <w:r w:rsidR="00E42808">
        <w:rPr>
          <w:rFonts w:ascii="Book Antiqua" w:eastAsia="Times New Roman" w:hAnsi="Book Antiqua" w:cs="Arial"/>
          <w:color w:val="000000"/>
          <w:shd w:val="clear" w:color="auto" w:fill="FFFFFF"/>
          <w:lang w:eastAsia="es-ES_tradnl"/>
        </w:rPr>
        <w:t xml:space="preserve"> Internacional</w:t>
      </w:r>
      <w:r w:rsidR="005D6FF2" w:rsidRPr="005D6FF2">
        <w:rPr>
          <w:rFonts w:ascii="Book Antiqua" w:eastAsia="Times New Roman" w:hAnsi="Book Antiqua" w:cs="Arial"/>
          <w:color w:val="000000"/>
          <w:shd w:val="clear" w:color="auto" w:fill="FFFFFF"/>
          <w:lang w:eastAsia="es-ES_tradnl"/>
        </w:rPr>
        <w:t xml:space="preserve"> Rafael Hernández</w:t>
      </w:r>
      <w:r w:rsidR="00E42808">
        <w:rPr>
          <w:rFonts w:ascii="Book Antiqua" w:eastAsia="Times New Roman" w:hAnsi="Book Antiqua" w:cs="Arial"/>
          <w:color w:val="000000"/>
          <w:shd w:val="clear" w:color="auto" w:fill="FFFFFF"/>
          <w:lang w:eastAsia="es-ES_tradnl"/>
        </w:rPr>
        <w:t xml:space="preserve"> (BQN)</w:t>
      </w:r>
      <w:r w:rsidRPr="0064184E">
        <w:rPr>
          <w:rFonts w:ascii="Book Antiqua" w:eastAsia="Times New Roman" w:hAnsi="Book Antiqua" w:cs="Arial"/>
          <w:color w:val="000000"/>
          <w:shd w:val="clear" w:color="auto" w:fill="FFFFFF"/>
          <w:lang w:eastAsia="es-ES_tradnl"/>
        </w:rPr>
        <w:t>— enfrentan una situación crítica ante la suspensión o retraso en sus remuneraciones, lo que podría traducirse en ausencias, renuncias o reducciones operacionales.</w:t>
      </w:r>
    </w:p>
    <w:p w14:paraId="140E5996" w14:textId="5FFD59CD" w:rsidR="0064184E" w:rsidRDefault="0064184E" w:rsidP="007E776D">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t xml:space="preserve">El Aeropuerto Internacional Luis Muñoz Marín maneja anualmente más de </w:t>
      </w:r>
      <w:r w:rsidR="00326F3B">
        <w:rPr>
          <w:rFonts w:ascii="Book Antiqua" w:eastAsia="Times New Roman" w:hAnsi="Book Antiqua" w:cs="Arial"/>
          <w:color w:val="000000"/>
          <w:shd w:val="clear" w:color="auto" w:fill="FFFFFF"/>
          <w:lang w:eastAsia="es-ES_tradnl"/>
        </w:rPr>
        <w:t>trece</w:t>
      </w:r>
      <w:r w:rsidRPr="0064184E">
        <w:rPr>
          <w:rFonts w:ascii="Book Antiqua" w:eastAsia="Times New Roman" w:hAnsi="Book Antiqua" w:cs="Arial"/>
          <w:color w:val="000000"/>
          <w:shd w:val="clear" w:color="auto" w:fill="FFFFFF"/>
          <w:lang w:eastAsia="es-ES_tradnl"/>
        </w:rPr>
        <w:t xml:space="preserve"> millones de pasajeros y constituye la principal puerta de entrada para el turismo, el comercio y el intercambio humanitario de Puerto Rico. </w:t>
      </w:r>
      <w:r w:rsidR="005D6FF2" w:rsidRPr="005D6FF2">
        <w:rPr>
          <w:rFonts w:ascii="Book Antiqua" w:eastAsia="Times New Roman" w:hAnsi="Book Antiqua" w:cs="Arial"/>
          <w:color w:val="000000"/>
          <w:shd w:val="clear" w:color="auto" w:fill="FFFFFF"/>
          <w:lang w:eastAsia="es-ES_tradnl"/>
        </w:rPr>
        <w:t xml:space="preserve">El Aeropuerto Mercedita de Ponce y el Aeropuerto Rafael Hernández de Aguadilla, aunque de menor volumen, también cumplen un rol esencial como terminales alternas de conexión regional, de carga aérea y de vuelos domésticos e internacionales. </w:t>
      </w:r>
      <w:r w:rsidRPr="0064184E">
        <w:rPr>
          <w:rFonts w:ascii="Book Antiqua" w:eastAsia="Times New Roman" w:hAnsi="Book Antiqua" w:cs="Arial"/>
          <w:color w:val="000000"/>
          <w:shd w:val="clear" w:color="auto" w:fill="FFFFFF"/>
          <w:lang w:eastAsia="es-ES_tradnl"/>
        </w:rPr>
        <w:t>Una interrupción en sus operaciones, incluso parcial, tendría un efecto multiplicador sobre la economía local, afectando desde la cadena de suministros hasta la estabilidad de pequeñas y medianas empresas que dependen de la actividad aeroportuaria.</w:t>
      </w:r>
      <w:r>
        <w:rPr>
          <w:rFonts w:ascii="Book Antiqua" w:eastAsia="Times New Roman" w:hAnsi="Book Antiqua" w:cs="Arial"/>
          <w:color w:val="000000"/>
          <w:shd w:val="clear" w:color="auto" w:fill="FFFFFF"/>
          <w:lang w:eastAsia="es-ES_tradnl"/>
        </w:rPr>
        <w:t xml:space="preserve"> </w:t>
      </w:r>
      <w:r w:rsidRPr="0064184E">
        <w:rPr>
          <w:rFonts w:ascii="Book Antiqua" w:eastAsia="Times New Roman" w:hAnsi="Book Antiqua" w:cs="Arial"/>
          <w:color w:val="000000"/>
          <w:shd w:val="clear" w:color="auto" w:fill="FFFFFF"/>
          <w:lang w:eastAsia="es-ES_tradnl"/>
        </w:rPr>
        <w:t>Asimismo, los efectos sobre la movilidad ciudadana y el transporte de mercancías esenciales representarían un riesgo directo a la seguridad pública y al bienestar colectivo.</w:t>
      </w:r>
      <w:r>
        <w:rPr>
          <w:rFonts w:ascii="Book Antiqua" w:eastAsia="Times New Roman" w:hAnsi="Book Antiqua" w:cs="Arial"/>
          <w:color w:val="000000"/>
          <w:shd w:val="clear" w:color="auto" w:fill="FFFFFF"/>
          <w:lang w:eastAsia="es-ES_tradnl"/>
        </w:rPr>
        <w:t xml:space="preserve"> </w:t>
      </w:r>
    </w:p>
    <w:p w14:paraId="555A79F4" w14:textId="162AB854" w:rsidR="0064184E" w:rsidRPr="0064184E" w:rsidRDefault="0064184E" w:rsidP="0064184E">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t>Frente a esta coyuntura, el Gobierno de Puerto Rico tiene no solo la facultad, sino el deber moral y constitucional de proteger la continuidad de los servicios esenciales.</w:t>
      </w:r>
      <w:r>
        <w:rPr>
          <w:rFonts w:ascii="Book Antiqua" w:eastAsia="Times New Roman" w:hAnsi="Book Antiqua" w:cs="Arial"/>
          <w:color w:val="000000"/>
          <w:shd w:val="clear" w:color="auto" w:fill="FFFFFF"/>
          <w:lang w:eastAsia="es-ES_tradnl"/>
        </w:rPr>
        <w:t xml:space="preserve"> </w:t>
      </w:r>
      <w:r w:rsidRPr="0064184E">
        <w:rPr>
          <w:rFonts w:ascii="Book Antiqua" w:eastAsia="Times New Roman" w:hAnsi="Book Antiqua" w:cs="Arial"/>
          <w:color w:val="000000"/>
          <w:shd w:val="clear" w:color="auto" w:fill="FFFFFF"/>
          <w:lang w:eastAsia="es-ES_tradnl"/>
        </w:rPr>
        <w:t>La Oficina de Gerencia y Presupuesto (OGP), la Autoridad de los Puertos de Puerto Rico (APPR) y el Departamento de Hacienda cuentan con los mecanismos administrativos y financieros necesarios para identificar recursos disponibles, ya sea del Fondo de Emergencia o de cualquier otra cuenta o fondo estatal que pueda utilizarse legítimamente para estos fines.</w:t>
      </w:r>
    </w:p>
    <w:p w14:paraId="69941330" w14:textId="7D824F10" w:rsidR="0064184E" w:rsidRPr="0064184E" w:rsidRDefault="0064184E" w:rsidP="007E776D">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t xml:space="preserve">El Fondo de Emergencia existe precisamente para atender situaciones imprevistas que amenacen la estabilidad y el interés público. La prolongación de un cierre federal que impacta operaciones críticas constituye, </w:t>
      </w:r>
      <w:r w:rsidR="00F87600" w:rsidRPr="0064184E">
        <w:rPr>
          <w:rFonts w:ascii="Book Antiqua" w:eastAsia="Times New Roman" w:hAnsi="Book Antiqua" w:cs="Arial"/>
          <w:color w:val="000000"/>
          <w:shd w:val="clear" w:color="auto" w:fill="FFFFFF"/>
          <w:lang w:eastAsia="es-ES_tradnl"/>
        </w:rPr>
        <w:t>sin lugar a duda</w:t>
      </w:r>
      <w:r w:rsidRPr="0064184E">
        <w:rPr>
          <w:rFonts w:ascii="Book Antiqua" w:eastAsia="Times New Roman" w:hAnsi="Book Antiqua" w:cs="Arial"/>
          <w:color w:val="000000"/>
          <w:shd w:val="clear" w:color="auto" w:fill="FFFFFF"/>
          <w:lang w:eastAsia="es-ES_tradnl"/>
        </w:rPr>
        <w:t>, un escenario de emergencia para la seguridad operacional del país.</w:t>
      </w:r>
    </w:p>
    <w:p w14:paraId="70B107C7" w14:textId="77777777" w:rsidR="0064184E" w:rsidRPr="0064184E" w:rsidRDefault="0064184E" w:rsidP="0064184E">
      <w:pPr>
        <w:pStyle w:val="BodyText"/>
        <w:ind w:firstLine="720"/>
        <w:rPr>
          <w:rFonts w:ascii="Book Antiqua" w:eastAsia="Times New Roman" w:hAnsi="Book Antiqua" w:cs="Arial"/>
          <w:color w:val="000000"/>
          <w:shd w:val="clear" w:color="auto" w:fill="FFFFFF"/>
          <w:lang w:eastAsia="es-ES_tradnl"/>
        </w:rPr>
      </w:pPr>
      <w:r w:rsidRPr="0064184E">
        <w:rPr>
          <w:rFonts w:ascii="Book Antiqua" w:eastAsia="Times New Roman" w:hAnsi="Book Antiqua" w:cs="Arial"/>
          <w:color w:val="000000"/>
          <w:shd w:val="clear" w:color="auto" w:fill="FFFFFF"/>
          <w:lang w:eastAsia="es-ES_tradnl"/>
        </w:rPr>
        <w:t>Esta Asamblea Legislativa, consciente de la magnitud y trascendencia de esta situación, actúa responsablemente mediante esta Resolución Conjunta, no como un acto simbólico, sino como un ejercicio de responsabilidad institucional. Puerto Rico no puede permanecer inerte ante la parálisis del gobierno federal cuando los servicios que sostienen su conectividad, economía y seguridad están en riesgo.</w:t>
      </w:r>
    </w:p>
    <w:p w14:paraId="748267DF" w14:textId="5CA5A154" w:rsidR="006D2223" w:rsidRPr="00C45C7E" w:rsidRDefault="0064184E" w:rsidP="0064184E">
      <w:pPr>
        <w:pStyle w:val="BodyText"/>
        <w:ind w:firstLine="720"/>
        <w:rPr>
          <w:rFonts w:ascii="Book Antiqua" w:hAnsi="Book Antiqua"/>
        </w:rPr>
      </w:pPr>
      <w:r w:rsidRPr="0064184E">
        <w:rPr>
          <w:rFonts w:ascii="Book Antiqua" w:eastAsia="Times New Roman" w:hAnsi="Book Antiqua" w:cs="Arial"/>
          <w:color w:val="000000"/>
          <w:shd w:val="clear" w:color="auto" w:fill="FFFFFF"/>
          <w:lang w:eastAsia="es-ES_tradnl"/>
        </w:rPr>
        <w:t>Esta medida busca que el Ejecutivo active los mecanismos presupuestarios necesarios y priorice la protección de los intereses del pueblo de Puerto Rico ante cualquier eventualidad provocada por factores externos.</w:t>
      </w:r>
    </w:p>
    <w:p w14:paraId="49D7C8F4" w14:textId="77777777" w:rsidR="005D799A" w:rsidRPr="00C45C7E" w:rsidRDefault="005D799A" w:rsidP="00975CA4">
      <w:pPr>
        <w:pStyle w:val="BodyText"/>
        <w:spacing w:before="0"/>
        <w:rPr>
          <w:rFonts w:ascii="Book Antiqua" w:hAnsi="Book Antiqua"/>
          <w:lang w:val="es-PR"/>
        </w:rPr>
      </w:pPr>
    </w:p>
    <w:p w14:paraId="76451B9E" w14:textId="77777777" w:rsidR="00E504E0" w:rsidRPr="00C45C7E" w:rsidRDefault="00E504E0" w:rsidP="00E504E0">
      <w:pPr>
        <w:spacing w:line="480" w:lineRule="auto"/>
        <w:rPr>
          <w:rFonts w:ascii="Book Antiqua" w:hAnsi="Book Antiqua"/>
          <w:i/>
          <w:lang w:val="es-ES_tradnl"/>
        </w:rPr>
        <w:sectPr w:rsidR="00E504E0" w:rsidRPr="00C45C7E" w:rsidSect="00E504E0">
          <w:headerReference w:type="default" r:id="rId7"/>
          <w:type w:val="continuous"/>
          <w:pgSz w:w="12240" w:h="15840" w:code="1"/>
          <w:pgMar w:top="1440" w:right="1440" w:bottom="1440" w:left="1440" w:header="720" w:footer="720" w:gutter="0"/>
          <w:cols w:space="720"/>
          <w:titlePg/>
        </w:sectPr>
      </w:pPr>
      <w:r w:rsidRPr="00C45C7E">
        <w:rPr>
          <w:rFonts w:ascii="Book Antiqua" w:hAnsi="Book Antiqua"/>
          <w:i/>
          <w:lang w:val="es-ES_tradnl"/>
        </w:rPr>
        <w:lastRenderedPageBreak/>
        <w:t>RESUÉLVESE POR LA ASAMBLEA LEGISLATIVA DE PUERTO RICO:</w:t>
      </w:r>
    </w:p>
    <w:p w14:paraId="54417A94" w14:textId="38BF389C" w:rsidR="004B5D85" w:rsidRPr="00C45C7E" w:rsidRDefault="00AA3517" w:rsidP="00E504E0">
      <w:pPr>
        <w:widowControl w:val="0"/>
        <w:spacing w:line="480" w:lineRule="auto"/>
        <w:ind w:firstLine="720"/>
        <w:jc w:val="both"/>
        <w:rPr>
          <w:rFonts w:ascii="Book Antiqua" w:hAnsi="Book Antiqua"/>
          <w:lang w:val="es-PR"/>
        </w:rPr>
      </w:pPr>
      <w:r w:rsidRPr="00C45C7E">
        <w:rPr>
          <w:rFonts w:ascii="Book Antiqua" w:hAnsi="Book Antiqua"/>
          <w:lang w:val="es-PR"/>
        </w:rPr>
        <w:t>Sección 1.-</w:t>
      </w:r>
      <w:r w:rsidR="00AA73B7" w:rsidRPr="00C45C7E">
        <w:rPr>
          <w:rFonts w:ascii="Book Antiqua" w:hAnsi="Book Antiqua"/>
          <w:lang w:val="es-PR"/>
        </w:rPr>
        <w:t xml:space="preserve"> </w:t>
      </w:r>
      <w:r w:rsidR="00352418" w:rsidRPr="00352418">
        <w:rPr>
          <w:rFonts w:ascii="Book Antiqua" w:hAnsi="Book Antiqua"/>
          <w:lang w:val="es-ES_tradnl"/>
        </w:rPr>
        <w:t xml:space="preserve">Se </w:t>
      </w:r>
      <w:r w:rsidR="0064184E" w:rsidRPr="0064184E">
        <w:rPr>
          <w:rFonts w:ascii="Book Antiqua" w:hAnsi="Book Antiqua"/>
          <w:lang w:val="es-ES_tradnl"/>
        </w:rPr>
        <w:t>ordena a la Oficina de Gerencia y Presupuesto</w:t>
      </w:r>
      <w:r w:rsidR="00F87600">
        <w:rPr>
          <w:rFonts w:ascii="Book Antiqua" w:hAnsi="Book Antiqua"/>
          <w:lang w:val="es-ES_tradnl"/>
        </w:rPr>
        <w:t xml:space="preserve"> </w:t>
      </w:r>
      <w:r w:rsidR="0064184E" w:rsidRPr="0064184E">
        <w:rPr>
          <w:rFonts w:ascii="Book Antiqua" w:hAnsi="Book Antiqua"/>
          <w:lang w:val="es-ES_tradnl"/>
        </w:rPr>
        <w:t xml:space="preserve">(OGP), </w:t>
      </w:r>
      <w:r w:rsidR="00F87600">
        <w:rPr>
          <w:rFonts w:ascii="Book Antiqua" w:hAnsi="Book Antiqua"/>
          <w:lang w:val="es-ES_tradnl"/>
        </w:rPr>
        <w:t xml:space="preserve">al Departamento de Hacienda y </w:t>
      </w:r>
      <w:r w:rsidR="0064184E" w:rsidRPr="0064184E">
        <w:rPr>
          <w:rFonts w:ascii="Book Antiqua" w:hAnsi="Book Antiqua"/>
          <w:lang w:val="es-ES_tradnl"/>
        </w:rPr>
        <w:t xml:space="preserve">a la Autoridad de los Puertos de Puerto Rico (APPR) a identificar y asignar de manera inmediata los fondos y recursos disponibles del Fondo de Emergencia o de cualquier otro fondo o fuente estatal aplicable, con el propósito de garantizar la continuidad de los servicios federales esenciales en los aeropuertos del país, </w:t>
      </w:r>
      <w:r w:rsidR="005D6FF2" w:rsidRPr="005D6FF2">
        <w:rPr>
          <w:rFonts w:ascii="Book Antiqua" w:hAnsi="Book Antiqua"/>
          <w:lang w:val="es-ES_tradnl"/>
        </w:rPr>
        <w:t xml:space="preserve">particularmente en el </w:t>
      </w:r>
      <w:r w:rsidR="00E42808" w:rsidRPr="00E42808">
        <w:rPr>
          <w:rFonts w:ascii="Book Antiqua" w:hAnsi="Book Antiqua"/>
          <w:lang w:val="es-ES_tradnl"/>
        </w:rPr>
        <w:t xml:space="preserve">Aeropuerto Internacional Luis Muñoz Marín (SJU), </w:t>
      </w:r>
      <w:r w:rsidR="00E42808">
        <w:rPr>
          <w:rFonts w:ascii="Book Antiqua" w:hAnsi="Book Antiqua"/>
          <w:lang w:val="es-ES_tradnl"/>
        </w:rPr>
        <w:t>el</w:t>
      </w:r>
      <w:r w:rsidR="00E42808" w:rsidRPr="00E42808">
        <w:rPr>
          <w:rFonts w:ascii="Book Antiqua" w:hAnsi="Book Antiqua"/>
          <w:lang w:val="es-ES_tradnl"/>
        </w:rPr>
        <w:t xml:space="preserve"> Aeropuerto Internacional Mercedita (PSE) y </w:t>
      </w:r>
      <w:r w:rsidR="00E42808">
        <w:rPr>
          <w:rFonts w:ascii="Book Antiqua" w:hAnsi="Book Antiqua"/>
          <w:lang w:val="es-ES_tradnl"/>
        </w:rPr>
        <w:t>el</w:t>
      </w:r>
      <w:r w:rsidR="00E42808" w:rsidRPr="00E42808">
        <w:rPr>
          <w:rFonts w:ascii="Book Antiqua" w:hAnsi="Book Antiqua"/>
          <w:lang w:val="es-ES_tradnl"/>
        </w:rPr>
        <w:t xml:space="preserve"> Aeropuerto Internacional Rafael Hernández (BQN)</w:t>
      </w:r>
      <w:r w:rsidR="0064184E" w:rsidRPr="0064184E">
        <w:rPr>
          <w:rFonts w:ascii="Book Antiqua" w:hAnsi="Book Antiqua"/>
          <w:lang w:val="es-ES_tradnl"/>
        </w:rPr>
        <w:t>, mientras dure el cierre del gobierno federal</w:t>
      </w:r>
      <w:r w:rsidR="00AA73B7" w:rsidRPr="00C45C7E">
        <w:rPr>
          <w:rFonts w:ascii="Book Antiqua" w:hAnsi="Book Antiqua"/>
          <w:lang w:val="es-ES_tradnl"/>
        </w:rPr>
        <w:t>.</w:t>
      </w:r>
    </w:p>
    <w:p w14:paraId="79ED2CE1" w14:textId="05EAA71E" w:rsidR="00DB6704" w:rsidRPr="00352418" w:rsidRDefault="00DB6704" w:rsidP="00352418">
      <w:pPr>
        <w:spacing w:line="480" w:lineRule="auto"/>
        <w:ind w:firstLine="720"/>
        <w:jc w:val="both"/>
        <w:rPr>
          <w:rFonts w:ascii="Book Antiqua" w:hAnsi="Book Antiqua"/>
          <w:lang w:val="es-PR"/>
        </w:rPr>
      </w:pPr>
      <w:r w:rsidRPr="00C45C7E">
        <w:rPr>
          <w:rFonts w:ascii="Book Antiqua" w:hAnsi="Book Antiqua"/>
          <w:lang w:val="es-PR"/>
        </w:rPr>
        <w:t xml:space="preserve">Sección </w:t>
      </w:r>
      <w:r w:rsidR="00F87600" w:rsidRPr="00C45C7E">
        <w:rPr>
          <w:rFonts w:ascii="Book Antiqua" w:hAnsi="Book Antiqua"/>
          <w:lang w:val="es-PR"/>
        </w:rPr>
        <w:t>2.–</w:t>
      </w:r>
      <w:r w:rsidRPr="00C45C7E">
        <w:rPr>
          <w:rFonts w:ascii="Book Antiqua" w:hAnsi="Book Antiqua"/>
          <w:lang w:val="es-PR"/>
        </w:rPr>
        <w:t xml:space="preserve"> </w:t>
      </w:r>
      <w:r w:rsidR="00F87600" w:rsidRPr="00F87600">
        <w:rPr>
          <w:rFonts w:ascii="Book Antiqua" w:hAnsi="Book Antiqua"/>
          <w:lang w:val="es-PR"/>
        </w:rPr>
        <w:t>La Oficina de Gerencia y Presupuesto</w:t>
      </w:r>
      <w:r w:rsidR="00F87600">
        <w:rPr>
          <w:rFonts w:ascii="Book Antiqua" w:hAnsi="Book Antiqua"/>
          <w:lang w:val="es-PR"/>
        </w:rPr>
        <w:t xml:space="preserve"> </w:t>
      </w:r>
      <w:r w:rsidR="00F87600" w:rsidRPr="00F87600">
        <w:rPr>
          <w:rFonts w:ascii="Book Antiqua" w:hAnsi="Book Antiqua"/>
          <w:lang w:val="es-PR"/>
        </w:rPr>
        <w:t xml:space="preserve">(OGP), </w:t>
      </w:r>
      <w:r w:rsidR="00F87600">
        <w:rPr>
          <w:rFonts w:ascii="Book Antiqua" w:hAnsi="Book Antiqua"/>
          <w:lang w:val="es-PR"/>
        </w:rPr>
        <w:t>el</w:t>
      </w:r>
      <w:r w:rsidR="00F87600" w:rsidRPr="00F87600">
        <w:rPr>
          <w:rFonts w:ascii="Book Antiqua" w:hAnsi="Book Antiqua"/>
          <w:lang w:val="es-PR"/>
        </w:rPr>
        <w:t xml:space="preserve"> Departamento de Hacienda y la Autoridad de los Puertos de Puerto Rico (APPR)</w:t>
      </w:r>
      <w:r w:rsidR="00F87600">
        <w:rPr>
          <w:rFonts w:ascii="Book Antiqua" w:hAnsi="Book Antiqua"/>
          <w:lang w:val="es-PR"/>
        </w:rPr>
        <w:t xml:space="preserve"> </w:t>
      </w:r>
      <w:r w:rsidR="00F87600" w:rsidRPr="00F87600">
        <w:rPr>
          <w:rFonts w:ascii="Book Antiqua" w:hAnsi="Book Antiqua"/>
          <w:lang w:val="es-PR"/>
        </w:rPr>
        <w:t>deberán coordinar la implementación de un plan de asignación de recursos que permita la utilización efectiva y responsable de los fondos identificados, asegurando la transparencia en los procesos, la continuidad de los servicios y el cumplimiento de los fines establecidos en esta Resolución</w:t>
      </w:r>
      <w:r w:rsidRPr="00352418">
        <w:rPr>
          <w:rFonts w:ascii="Book Antiqua" w:hAnsi="Book Antiqua"/>
          <w:lang w:val="es-PR"/>
        </w:rPr>
        <w:t>.</w:t>
      </w:r>
    </w:p>
    <w:p w14:paraId="7A2C8B57" w14:textId="39E754EF" w:rsidR="00AA3517" w:rsidRDefault="00AA3517" w:rsidP="00352418">
      <w:pPr>
        <w:widowControl w:val="0"/>
        <w:spacing w:line="480" w:lineRule="auto"/>
        <w:ind w:firstLine="720"/>
        <w:jc w:val="both"/>
        <w:rPr>
          <w:rFonts w:ascii="Book Antiqua" w:hAnsi="Book Antiqua"/>
          <w:lang w:val="es-PR"/>
        </w:rPr>
      </w:pPr>
      <w:r w:rsidRPr="00C45C7E">
        <w:rPr>
          <w:rFonts w:ascii="Book Antiqua" w:hAnsi="Book Antiqua"/>
          <w:lang w:val="es-PR"/>
        </w:rPr>
        <w:t xml:space="preserve">Sección </w:t>
      </w:r>
      <w:r w:rsidR="00DB6704" w:rsidRPr="00C45C7E">
        <w:rPr>
          <w:rFonts w:ascii="Book Antiqua" w:hAnsi="Book Antiqua"/>
          <w:lang w:val="es-PR"/>
        </w:rPr>
        <w:t>3</w:t>
      </w:r>
      <w:r w:rsidRPr="00C45C7E">
        <w:rPr>
          <w:rFonts w:ascii="Book Antiqua" w:hAnsi="Book Antiqua"/>
          <w:lang w:val="es-PR"/>
        </w:rPr>
        <w:t>.-</w:t>
      </w:r>
      <w:r w:rsidR="00352418">
        <w:rPr>
          <w:rFonts w:ascii="Book Antiqua" w:hAnsi="Book Antiqua"/>
          <w:lang w:val="es-PR"/>
        </w:rPr>
        <w:t xml:space="preserve"> </w:t>
      </w:r>
      <w:r w:rsidR="00F87600" w:rsidRPr="00F87600">
        <w:rPr>
          <w:rFonts w:ascii="Book Antiqua" w:hAnsi="Book Antiqua"/>
          <w:lang w:val="es-PR"/>
        </w:rPr>
        <w:t>La OGP, la APPR y el Departamento de Hacienda presentarán un informe conjunto a la Cámara de Representantes y al Senado de Puerto Rico, detallando los fondos identificados, el monto asignado y las acciones tomadas para garantizar la operación continua de los aeropuertos y la protección de los empleados afectados</w:t>
      </w:r>
      <w:r w:rsidRPr="00C45C7E">
        <w:rPr>
          <w:rFonts w:ascii="Book Antiqua" w:hAnsi="Book Antiqua"/>
          <w:lang w:val="es-PR"/>
        </w:rPr>
        <w:t>.</w:t>
      </w:r>
    </w:p>
    <w:p w14:paraId="69ED4831" w14:textId="6EA01C4D" w:rsidR="00F87600" w:rsidRPr="00C45C7E" w:rsidRDefault="00F87600" w:rsidP="00352418">
      <w:pPr>
        <w:widowControl w:val="0"/>
        <w:spacing w:line="480" w:lineRule="auto"/>
        <w:ind w:firstLine="720"/>
        <w:jc w:val="both"/>
        <w:rPr>
          <w:rFonts w:ascii="Book Antiqua" w:hAnsi="Book Antiqua"/>
          <w:lang w:val="es-PR"/>
        </w:rPr>
      </w:pPr>
      <w:r w:rsidRPr="00F87600">
        <w:rPr>
          <w:rFonts w:ascii="Book Antiqua" w:hAnsi="Book Antiqua"/>
          <w:lang w:val="es-PR"/>
        </w:rPr>
        <w:t xml:space="preserve">Sección </w:t>
      </w:r>
      <w:r w:rsidR="00396885">
        <w:rPr>
          <w:rFonts w:ascii="Book Antiqua" w:hAnsi="Book Antiqua"/>
          <w:lang w:val="es-PR"/>
        </w:rPr>
        <w:t>4</w:t>
      </w:r>
      <w:r w:rsidRPr="00F87600">
        <w:rPr>
          <w:rFonts w:ascii="Book Antiqua" w:hAnsi="Book Antiqua"/>
          <w:lang w:val="es-PR"/>
        </w:rPr>
        <w:t>.- Esta Resolución Conjunta comenzará a regir inmediatamente después de su aprobación.</w:t>
      </w:r>
    </w:p>
    <w:sectPr w:rsidR="00F87600" w:rsidRPr="00C45C7E" w:rsidSect="00230E64">
      <w:headerReference w:type="default" r:id="rId8"/>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41B714" w14:textId="77777777" w:rsidR="00305726" w:rsidRDefault="00305726">
      <w:r>
        <w:separator/>
      </w:r>
    </w:p>
  </w:endnote>
  <w:endnote w:type="continuationSeparator" w:id="0">
    <w:p w14:paraId="6EE24254" w14:textId="77777777" w:rsidR="00305726" w:rsidRDefault="003057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G Times(w1)">
    <w:altName w:val="Times New Roman"/>
    <w:panose1 w:val="00000000000000000000"/>
    <w:charset w:val="00"/>
    <w:family w:val="roman"/>
    <w:notTrueType/>
    <w:pitch w:val="default"/>
    <w:sig w:usb0="77BC919B" w:usb1="001E2E68" w:usb2="00000008" w:usb3="001E2E68" w:csb0="00000009" w:csb1="00000020"/>
  </w:font>
  <w:font w:name="CG Times (W1)">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309E34" w14:textId="77777777" w:rsidR="00305726" w:rsidRDefault="00305726">
      <w:r>
        <w:separator/>
      </w:r>
    </w:p>
  </w:footnote>
  <w:footnote w:type="continuationSeparator" w:id="0">
    <w:p w14:paraId="2E492DDB" w14:textId="77777777" w:rsidR="00305726" w:rsidRDefault="003057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A01A3" w14:textId="77777777" w:rsidR="00E504E0" w:rsidRDefault="00E504E0">
    <w:pPr>
      <w:pStyle w:val="Header"/>
      <w:jc w:val="cente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8C3734" w14:textId="77777777" w:rsidR="00BC5169" w:rsidRDefault="001B55E2">
    <w:pPr>
      <w:pStyle w:val="Header"/>
      <w:jc w:val="center"/>
    </w:pPr>
    <w:r>
      <w:rPr>
        <w:rStyle w:val="PageNumber"/>
      </w:rPr>
      <w:fldChar w:fldCharType="begin"/>
    </w:r>
    <w:r w:rsidR="00BC5169">
      <w:rPr>
        <w:rStyle w:val="PageNumber"/>
      </w:rPr>
      <w:instrText xml:space="preserve"> </w:instrText>
    </w:r>
    <w:r w:rsidR="006C366E">
      <w:rPr>
        <w:rStyle w:val="PageNumber"/>
      </w:rPr>
      <w:instrText>PAGE</w:instrText>
    </w:r>
    <w:r w:rsidR="00BC5169">
      <w:rPr>
        <w:rStyle w:val="PageNumber"/>
      </w:rPr>
      <w:instrText xml:space="preserve"> </w:instrText>
    </w:r>
    <w:r>
      <w:rPr>
        <w:rStyle w:val="PageNumber"/>
      </w:rPr>
      <w:fldChar w:fldCharType="separate"/>
    </w:r>
    <w:r w:rsidR="00ED4231">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032E"/>
    <w:multiLevelType w:val="hybridMultilevel"/>
    <w:tmpl w:val="D4DEFE2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1" w15:restartNumberingAfterBreak="0">
    <w:nsid w:val="03811C72"/>
    <w:multiLevelType w:val="hybridMultilevel"/>
    <w:tmpl w:val="FAC62C82"/>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2" w15:restartNumberingAfterBreak="0">
    <w:nsid w:val="184006A9"/>
    <w:multiLevelType w:val="hybridMultilevel"/>
    <w:tmpl w:val="39B41D16"/>
    <w:lvl w:ilvl="0" w:tplc="81AE875C">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 w15:restartNumberingAfterBreak="0">
    <w:nsid w:val="26AB2BC9"/>
    <w:multiLevelType w:val="hybridMultilevel"/>
    <w:tmpl w:val="E6248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4D3C35F0"/>
    <w:multiLevelType w:val="hybridMultilevel"/>
    <w:tmpl w:val="E9400358"/>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5" w15:restartNumberingAfterBreak="0">
    <w:nsid w:val="52B53E5B"/>
    <w:multiLevelType w:val="hybridMultilevel"/>
    <w:tmpl w:val="48680B5C"/>
    <w:lvl w:ilvl="0" w:tplc="500A0001">
      <w:start w:val="1"/>
      <w:numFmt w:val="bullet"/>
      <w:lvlText w:val=""/>
      <w:lvlJc w:val="left"/>
      <w:pPr>
        <w:ind w:left="1800" w:hanging="360"/>
      </w:pPr>
      <w:rPr>
        <w:rFonts w:ascii="Symbol" w:hAnsi="Symbol" w:hint="default"/>
      </w:rPr>
    </w:lvl>
    <w:lvl w:ilvl="1" w:tplc="500A0003" w:tentative="1">
      <w:start w:val="1"/>
      <w:numFmt w:val="bullet"/>
      <w:lvlText w:val="o"/>
      <w:lvlJc w:val="left"/>
      <w:pPr>
        <w:ind w:left="2520" w:hanging="360"/>
      </w:pPr>
      <w:rPr>
        <w:rFonts w:ascii="Courier New" w:hAnsi="Courier New" w:cs="Courier New" w:hint="default"/>
      </w:rPr>
    </w:lvl>
    <w:lvl w:ilvl="2" w:tplc="500A0005" w:tentative="1">
      <w:start w:val="1"/>
      <w:numFmt w:val="bullet"/>
      <w:lvlText w:val=""/>
      <w:lvlJc w:val="left"/>
      <w:pPr>
        <w:ind w:left="3240" w:hanging="360"/>
      </w:pPr>
      <w:rPr>
        <w:rFonts w:ascii="Wingdings" w:hAnsi="Wingdings" w:hint="default"/>
      </w:rPr>
    </w:lvl>
    <w:lvl w:ilvl="3" w:tplc="500A0001" w:tentative="1">
      <w:start w:val="1"/>
      <w:numFmt w:val="bullet"/>
      <w:lvlText w:val=""/>
      <w:lvlJc w:val="left"/>
      <w:pPr>
        <w:ind w:left="3960" w:hanging="360"/>
      </w:pPr>
      <w:rPr>
        <w:rFonts w:ascii="Symbol" w:hAnsi="Symbol" w:hint="default"/>
      </w:rPr>
    </w:lvl>
    <w:lvl w:ilvl="4" w:tplc="500A0003" w:tentative="1">
      <w:start w:val="1"/>
      <w:numFmt w:val="bullet"/>
      <w:lvlText w:val="o"/>
      <w:lvlJc w:val="left"/>
      <w:pPr>
        <w:ind w:left="4680" w:hanging="360"/>
      </w:pPr>
      <w:rPr>
        <w:rFonts w:ascii="Courier New" w:hAnsi="Courier New" w:cs="Courier New" w:hint="default"/>
      </w:rPr>
    </w:lvl>
    <w:lvl w:ilvl="5" w:tplc="500A0005" w:tentative="1">
      <w:start w:val="1"/>
      <w:numFmt w:val="bullet"/>
      <w:lvlText w:val=""/>
      <w:lvlJc w:val="left"/>
      <w:pPr>
        <w:ind w:left="5400" w:hanging="360"/>
      </w:pPr>
      <w:rPr>
        <w:rFonts w:ascii="Wingdings" w:hAnsi="Wingdings" w:hint="default"/>
      </w:rPr>
    </w:lvl>
    <w:lvl w:ilvl="6" w:tplc="500A0001" w:tentative="1">
      <w:start w:val="1"/>
      <w:numFmt w:val="bullet"/>
      <w:lvlText w:val=""/>
      <w:lvlJc w:val="left"/>
      <w:pPr>
        <w:ind w:left="6120" w:hanging="360"/>
      </w:pPr>
      <w:rPr>
        <w:rFonts w:ascii="Symbol" w:hAnsi="Symbol" w:hint="default"/>
      </w:rPr>
    </w:lvl>
    <w:lvl w:ilvl="7" w:tplc="500A0003" w:tentative="1">
      <w:start w:val="1"/>
      <w:numFmt w:val="bullet"/>
      <w:lvlText w:val="o"/>
      <w:lvlJc w:val="left"/>
      <w:pPr>
        <w:ind w:left="6840" w:hanging="360"/>
      </w:pPr>
      <w:rPr>
        <w:rFonts w:ascii="Courier New" w:hAnsi="Courier New" w:cs="Courier New" w:hint="default"/>
      </w:rPr>
    </w:lvl>
    <w:lvl w:ilvl="8" w:tplc="500A0005" w:tentative="1">
      <w:start w:val="1"/>
      <w:numFmt w:val="bullet"/>
      <w:lvlText w:val=""/>
      <w:lvlJc w:val="left"/>
      <w:pPr>
        <w:ind w:left="7560" w:hanging="360"/>
      </w:pPr>
      <w:rPr>
        <w:rFonts w:ascii="Wingdings" w:hAnsi="Wingdings" w:hint="default"/>
      </w:rPr>
    </w:lvl>
  </w:abstractNum>
  <w:abstractNum w:abstractNumId="6" w15:restartNumberingAfterBreak="0">
    <w:nsid w:val="6FBA06FB"/>
    <w:multiLevelType w:val="hybridMultilevel"/>
    <w:tmpl w:val="C3448334"/>
    <w:lvl w:ilvl="0" w:tplc="FC6EB70C">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16cid:durableId="748891731">
    <w:abstractNumId w:val="6"/>
  </w:num>
  <w:num w:numId="2" w16cid:durableId="1704136521">
    <w:abstractNumId w:val="3"/>
  </w:num>
  <w:num w:numId="3" w16cid:durableId="462968849">
    <w:abstractNumId w:val="2"/>
  </w:num>
  <w:num w:numId="4" w16cid:durableId="388652236">
    <w:abstractNumId w:val="4"/>
  </w:num>
  <w:num w:numId="5" w16cid:durableId="1662462281">
    <w:abstractNumId w:val="0"/>
  </w:num>
  <w:num w:numId="6" w16cid:durableId="1187716047">
    <w:abstractNumId w:val="1"/>
  </w:num>
  <w:num w:numId="7" w16cid:durableId="164037908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47FFA"/>
    <w:rsid w:val="00004782"/>
    <w:rsid w:val="000079FB"/>
    <w:rsid w:val="00011C81"/>
    <w:rsid w:val="00031104"/>
    <w:rsid w:val="00031412"/>
    <w:rsid w:val="00037C51"/>
    <w:rsid w:val="00040E24"/>
    <w:rsid w:val="00043042"/>
    <w:rsid w:val="000434A4"/>
    <w:rsid w:val="00044590"/>
    <w:rsid w:val="00047FFA"/>
    <w:rsid w:val="0005103B"/>
    <w:rsid w:val="00055427"/>
    <w:rsid w:val="00062BE3"/>
    <w:rsid w:val="000709C0"/>
    <w:rsid w:val="00081F6A"/>
    <w:rsid w:val="00097F36"/>
    <w:rsid w:val="000A0AEF"/>
    <w:rsid w:val="000A7D79"/>
    <w:rsid w:val="000B1999"/>
    <w:rsid w:val="000B33FF"/>
    <w:rsid w:val="000C0C88"/>
    <w:rsid w:val="000D6FE9"/>
    <w:rsid w:val="000E3402"/>
    <w:rsid w:val="000F1B08"/>
    <w:rsid w:val="000F2711"/>
    <w:rsid w:val="00100F2C"/>
    <w:rsid w:val="00102481"/>
    <w:rsid w:val="0012133F"/>
    <w:rsid w:val="00126547"/>
    <w:rsid w:val="001314A4"/>
    <w:rsid w:val="00133944"/>
    <w:rsid w:val="0015346C"/>
    <w:rsid w:val="00160527"/>
    <w:rsid w:val="0016126F"/>
    <w:rsid w:val="0017712F"/>
    <w:rsid w:val="001848F8"/>
    <w:rsid w:val="001A4436"/>
    <w:rsid w:val="001B436F"/>
    <w:rsid w:val="001B55E2"/>
    <w:rsid w:val="001B63C4"/>
    <w:rsid w:val="001C242F"/>
    <w:rsid w:val="001F0092"/>
    <w:rsid w:val="001F49E1"/>
    <w:rsid w:val="0020360D"/>
    <w:rsid w:val="00206FDA"/>
    <w:rsid w:val="00210337"/>
    <w:rsid w:val="00217C71"/>
    <w:rsid w:val="00230E64"/>
    <w:rsid w:val="00232EAB"/>
    <w:rsid w:val="00232EF4"/>
    <w:rsid w:val="00234F4A"/>
    <w:rsid w:val="00245225"/>
    <w:rsid w:val="00262E9E"/>
    <w:rsid w:val="00263762"/>
    <w:rsid w:val="00267946"/>
    <w:rsid w:val="00277624"/>
    <w:rsid w:val="002778E1"/>
    <w:rsid w:val="00285F23"/>
    <w:rsid w:val="00295447"/>
    <w:rsid w:val="002A068D"/>
    <w:rsid w:val="002A6371"/>
    <w:rsid w:val="002A74A6"/>
    <w:rsid w:val="002B0E72"/>
    <w:rsid w:val="002B5682"/>
    <w:rsid w:val="002C0919"/>
    <w:rsid w:val="002E2C17"/>
    <w:rsid w:val="002E69D6"/>
    <w:rsid w:val="002F576C"/>
    <w:rsid w:val="002F7EDC"/>
    <w:rsid w:val="0030369A"/>
    <w:rsid w:val="00305726"/>
    <w:rsid w:val="00326F3B"/>
    <w:rsid w:val="00340180"/>
    <w:rsid w:val="00352418"/>
    <w:rsid w:val="003537DB"/>
    <w:rsid w:val="00357FC8"/>
    <w:rsid w:val="00370561"/>
    <w:rsid w:val="00380AA3"/>
    <w:rsid w:val="00396885"/>
    <w:rsid w:val="003A015B"/>
    <w:rsid w:val="003A7175"/>
    <w:rsid w:val="003C60A2"/>
    <w:rsid w:val="003E1D7B"/>
    <w:rsid w:val="003F6A7B"/>
    <w:rsid w:val="004173E3"/>
    <w:rsid w:val="00423BE7"/>
    <w:rsid w:val="00423DAF"/>
    <w:rsid w:val="00431070"/>
    <w:rsid w:val="004327A4"/>
    <w:rsid w:val="004361F9"/>
    <w:rsid w:val="0044248E"/>
    <w:rsid w:val="00456C45"/>
    <w:rsid w:val="0047433D"/>
    <w:rsid w:val="004807C9"/>
    <w:rsid w:val="0049023D"/>
    <w:rsid w:val="00491F27"/>
    <w:rsid w:val="004938B7"/>
    <w:rsid w:val="004A7284"/>
    <w:rsid w:val="004B5D85"/>
    <w:rsid w:val="004D18F1"/>
    <w:rsid w:val="004D1C72"/>
    <w:rsid w:val="004D3A13"/>
    <w:rsid w:val="004D6563"/>
    <w:rsid w:val="004E0658"/>
    <w:rsid w:val="004E791F"/>
    <w:rsid w:val="00510006"/>
    <w:rsid w:val="00516320"/>
    <w:rsid w:val="005233FA"/>
    <w:rsid w:val="005241C8"/>
    <w:rsid w:val="0053352F"/>
    <w:rsid w:val="00537B4F"/>
    <w:rsid w:val="00544A56"/>
    <w:rsid w:val="005517EA"/>
    <w:rsid w:val="00567063"/>
    <w:rsid w:val="00572AB6"/>
    <w:rsid w:val="00587732"/>
    <w:rsid w:val="00591D25"/>
    <w:rsid w:val="005945DD"/>
    <w:rsid w:val="005C7667"/>
    <w:rsid w:val="005D6FF2"/>
    <w:rsid w:val="005D764E"/>
    <w:rsid w:val="005D799A"/>
    <w:rsid w:val="005E22A8"/>
    <w:rsid w:val="005F019C"/>
    <w:rsid w:val="00602FD6"/>
    <w:rsid w:val="006066C1"/>
    <w:rsid w:val="00623AB2"/>
    <w:rsid w:val="0064184E"/>
    <w:rsid w:val="006542E0"/>
    <w:rsid w:val="00657380"/>
    <w:rsid w:val="006636DA"/>
    <w:rsid w:val="006740AE"/>
    <w:rsid w:val="006874BD"/>
    <w:rsid w:val="006904B7"/>
    <w:rsid w:val="006A5BA9"/>
    <w:rsid w:val="006B5E22"/>
    <w:rsid w:val="006C0A89"/>
    <w:rsid w:val="006C366E"/>
    <w:rsid w:val="006D2223"/>
    <w:rsid w:val="006F2CE8"/>
    <w:rsid w:val="006F3D82"/>
    <w:rsid w:val="006F5011"/>
    <w:rsid w:val="00746A10"/>
    <w:rsid w:val="00762138"/>
    <w:rsid w:val="007920D0"/>
    <w:rsid w:val="00796988"/>
    <w:rsid w:val="007A0D61"/>
    <w:rsid w:val="007A11F9"/>
    <w:rsid w:val="007A5ECE"/>
    <w:rsid w:val="007B2B9B"/>
    <w:rsid w:val="007E71AF"/>
    <w:rsid w:val="007E776D"/>
    <w:rsid w:val="00826075"/>
    <w:rsid w:val="00827E27"/>
    <w:rsid w:val="00836FBF"/>
    <w:rsid w:val="00861F7A"/>
    <w:rsid w:val="0086442E"/>
    <w:rsid w:val="00867752"/>
    <w:rsid w:val="00871F32"/>
    <w:rsid w:val="00871F5F"/>
    <w:rsid w:val="00876A4F"/>
    <w:rsid w:val="00884CDB"/>
    <w:rsid w:val="0088762E"/>
    <w:rsid w:val="00891B72"/>
    <w:rsid w:val="008A4C2F"/>
    <w:rsid w:val="008B605A"/>
    <w:rsid w:val="008B6A3C"/>
    <w:rsid w:val="008C1DB8"/>
    <w:rsid w:val="008D45B6"/>
    <w:rsid w:val="008E3875"/>
    <w:rsid w:val="008E5A57"/>
    <w:rsid w:val="008F1247"/>
    <w:rsid w:val="008F132E"/>
    <w:rsid w:val="009153A9"/>
    <w:rsid w:val="009163B5"/>
    <w:rsid w:val="00921864"/>
    <w:rsid w:val="00927A64"/>
    <w:rsid w:val="009444A3"/>
    <w:rsid w:val="009620AD"/>
    <w:rsid w:val="00975CA4"/>
    <w:rsid w:val="009B0422"/>
    <w:rsid w:val="009C1537"/>
    <w:rsid w:val="009C21E3"/>
    <w:rsid w:val="00A14412"/>
    <w:rsid w:val="00A247D4"/>
    <w:rsid w:val="00A3499E"/>
    <w:rsid w:val="00A42E78"/>
    <w:rsid w:val="00A44A82"/>
    <w:rsid w:val="00A472A9"/>
    <w:rsid w:val="00A4773A"/>
    <w:rsid w:val="00A51472"/>
    <w:rsid w:val="00A774D0"/>
    <w:rsid w:val="00A8719B"/>
    <w:rsid w:val="00A87AD9"/>
    <w:rsid w:val="00A93AA6"/>
    <w:rsid w:val="00A93E86"/>
    <w:rsid w:val="00AA3517"/>
    <w:rsid w:val="00AA73B7"/>
    <w:rsid w:val="00AC0CAE"/>
    <w:rsid w:val="00AC0E57"/>
    <w:rsid w:val="00AC168E"/>
    <w:rsid w:val="00AC78F3"/>
    <w:rsid w:val="00AD5CFD"/>
    <w:rsid w:val="00AF2114"/>
    <w:rsid w:val="00B217AC"/>
    <w:rsid w:val="00B30C30"/>
    <w:rsid w:val="00B32DAC"/>
    <w:rsid w:val="00B46A26"/>
    <w:rsid w:val="00B56B2E"/>
    <w:rsid w:val="00B765BF"/>
    <w:rsid w:val="00B94AD0"/>
    <w:rsid w:val="00BA1932"/>
    <w:rsid w:val="00BA7E80"/>
    <w:rsid w:val="00BC00FC"/>
    <w:rsid w:val="00BC41FE"/>
    <w:rsid w:val="00BC5169"/>
    <w:rsid w:val="00BC658B"/>
    <w:rsid w:val="00BD61D3"/>
    <w:rsid w:val="00BF3FC0"/>
    <w:rsid w:val="00BF498B"/>
    <w:rsid w:val="00BF6151"/>
    <w:rsid w:val="00BF64EB"/>
    <w:rsid w:val="00C01124"/>
    <w:rsid w:val="00C0535F"/>
    <w:rsid w:val="00C44CA8"/>
    <w:rsid w:val="00C45C7E"/>
    <w:rsid w:val="00C45D16"/>
    <w:rsid w:val="00C4737E"/>
    <w:rsid w:val="00CB13CF"/>
    <w:rsid w:val="00CC0D0B"/>
    <w:rsid w:val="00CE1E18"/>
    <w:rsid w:val="00CF6A6F"/>
    <w:rsid w:val="00D17E48"/>
    <w:rsid w:val="00D30B02"/>
    <w:rsid w:val="00D34173"/>
    <w:rsid w:val="00D3545E"/>
    <w:rsid w:val="00D47D2B"/>
    <w:rsid w:val="00D50BD3"/>
    <w:rsid w:val="00D71C3D"/>
    <w:rsid w:val="00D81EF0"/>
    <w:rsid w:val="00DB4DC4"/>
    <w:rsid w:val="00DB5F2E"/>
    <w:rsid w:val="00DB6547"/>
    <w:rsid w:val="00DB6704"/>
    <w:rsid w:val="00DF2A6A"/>
    <w:rsid w:val="00E028FE"/>
    <w:rsid w:val="00E20625"/>
    <w:rsid w:val="00E27AB2"/>
    <w:rsid w:val="00E32180"/>
    <w:rsid w:val="00E42808"/>
    <w:rsid w:val="00E504E0"/>
    <w:rsid w:val="00E5085A"/>
    <w:rsid w:val="00E54C8A"/>
    <w:rsid w:val="00E669F1"/>
    <w:rsid w:val="00E711FD"/>
    <w:rsid w:val="00E75E35"/>
    <w:rsid w:val="00E77E34"/>
    <w:rsid w:val="00E966D9"/>
    <w:rsid w:val="00E97329"/>
    <w:rsid w:val="00EB0039"/>
    <w:rsid w:val="00EB029F"/>
    <w:rsid w:val="00ED4231"/>
    <w:rsid w:val="00ED51B3"/>
    <w:rsid w:val="00ED64BC"/>
    <w:rsid w:val="00EF1A16"/>
    <w:rsid w:val="00F00060"/>
    <w:rsid w:val="00F160A6"/>
    <w:rsid w:val="00F23B02"/>
    <w:rsid w:val="00F37309"/>
    <w:rsid w:val="00F40513"/>
    <w:rsid w:val="00F62CAC"/>
    <w:rsid w:val="00F6409C"/>
    <w:rsid w:val="00F65E2E"/>
    <w:rsid w:val="00F65FA0"/>
    <w:rsid w:val="00F80406"/>
    <w:rsid w:val="00F87600"/>
    <w:rsid w:val="00F95DE0"/>
    <w:rsid w:val="00F95F42"/>
    <w:rsid w:val="00FB1C52"/>
    <w:rsid w:val="00FC05BB"/>
    <w:rsid w:val="00FD3117"/>
    <w:rsid w:val="00FD345D"/>
    <w:rsid w:val="00FD4B5F"/>
    <w:rsid w:val="00FE2901"/>
    <w:rsid w:val="00FE30FB"/>
    <w:rsid w:val="00FE6B17"/>
    <w:rsid w:val="00FF1731"/>
    <w:rsid w:val="00FF2A7E"/>
    <w:rsid w:val="00FF5A37"/>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CBCFA8"/>
  <w15:chartTrackingRefBased/>
  <w15:docId w15:val="{833B5357-A76E-4702-A206-D3AEF6474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Batang"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uiPriority="51"/>
    <w:lsdException w:name="Smart Hyperlink" w:uiPriority="52"/>
    <w:lsdException w:name="Hashtag" w:uiPriority="46"/>
    <w:lsdException w:name="Unresolved Mention" w:uiPriority="47"/>
    <w:lsdException w:name="Smart Link" w:uiPriority="48"/>
  </w:latentStyles>
  <w:style w:type="paragraph" w:default="1" w:styleId="Normal">
    <w:name w:val="Normal"/>
    <w:qFormat/>
    <w:rsid w:val="008A4C2F"/>
    <w:rPr>
      <w:sz w:val="24"/>
      <w:lang w:val="en-US" w:eastAsia="en-US"/>
    </w:rPr>
  </w:style>
  <w:style w:type="paragraph" w:styleId="Heading1">
    <w:name w:val="heading 1"/>
    <w:basedOn w:val="Normal"/>
    <w:next w:val="Normal"/>
    <w:link w:val="Heading1Char"/>
    <w:qFormat/>
    <w:rsid w:val="00E669F1"/>
    <w:pPr>
      <w:keepNext/>
      <w:jc w:val="center"/>
      <w:outlineLvl w:val="0"/>
    </w:pPr>
    <w:rPr>
      <w:rFonts w:ascii="CG Times(w1)" w:eastAsia="Times New Roman" w:hAnsi="CG Times(w1)"/>
      <w:b/>
      <w:sz w:val="36"/>
      <w:lang w:val="x-none" w:eastAsia="x-none"/>
    </w:rPr>
  </w:style>
  <w:style w:type="paragraph" w:styleId="Heading4">
    <w:name w:val="heading 4"/>
    <w:basedOn w:val="Normal"/>
    <w:next w:val="Normal"/>
    <w:link w:val="Heading4Char"/>
    <w:qFormat/>
    <w:rsid w:val="00E669F1"/>
    <w:pPr>
      <w:keepNext/>
      <w:tabs>
        <w:tab w:val="left" w:pos="7830"/>
      </w:tabs>
      <w:outlineLvl w:val="3"/>
    </w:pPr>
    <w:rPr>
      <w:rFonts w:ascii="CG Times (W1)" w:eastAsia="Times New Roman" w:hAnsi="CG Times (W1)"/>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rsid w:val="008A4C2F"/>
  </w:style>
  <w:style w:type="paragraph" w:customStyle="1" w:styleId="Title2">
    <w:name w:val="Title2"/>
    <w:basedOn w:val="Normal"/>
    <w:next w:val="Normal"/>
    <w:rsid w:val="008A4C2F"/>
    <w:pPr>
      <w:tabs>
        <w:tab w:val="left" w:pos="648"/>
        <w:tab w:val="right" w:pos="7776"/>
        <w:tab w:val="left" w:pos="7848"/>
      </w:tabs>
    </w:pPr>
  </w:style>
  <w:style w:type="paragraph" w:styleId="Header">
    <w:name w:val="header"/>
    <w:basedOn w:val="Normal"/>
    <w:rsid w:val="008A4C2F"/>
    <w:pPr>
      <w:tabs>
        <w:tab w:val="center" w:pos="4320"/>
        <w:tab w:val="right" w:pos="8640"/>
      </w:tabs>
    </w:pPr>
  </w:style>
  <w:style w:type="paragraph" w:styleId="Footer">
    <w:name w:val="footer"/>
    <w:basedOn w:val="Normal"/>
    <w:rsid w:val="008A4C2F"/>
    <w:pPr>
      <w:tabs>
        <w:tab w:val="center" w:pos="4320"/>
        <w:tab w:val="right" w:pos="8640"/>
      </w:tabs>
    </w:pPr>
  </w:style>
  <w:style w:type="character" w:styleId="PageNumber">
    <w:name w:val="page number"/>
    <w:basedOn w:val="DefaultParagraphFont"/>
    <w:rsid w:val="008A4C2F"/>
  </w:style>
  <w:style w:type="paragraph" w:styleId="BodyText">
    <w:name w:val="Body Text"/>
    <w:basedOn w:val="Normal"/>
    <w:rsid w:val="008A4C2F"/>
    <w:pPr>
      <w:spacing w:before="120"/>
      <w:jc w:val="both"/>
    </w:pPr>
    <w:rPr>
      <w:rFonts w:ascii="CG Times(w1)" w:hAnsi="CG Times(w1)"/>
      <w:szCs w:val="24"/>
      <w:lang w:val="es-ES_tradnl"/>
    </w:rPr>
  </w:style>
  <w:style w:type="paragraph" w:styleId="BodyTextIndent3">
    <w:name w:val="Body Text Indent 3"/>
    <w:basedOn w:val="Normal"/>
    <w:rsid w:val="00C01124"/>
    <w:pPr>
      <w:spacing w:after="120"/>
      <w:ind w:left="360"/>
    </w:pPr>
    <w:rPr>
      <w:sz w:val="16"/>
      <w:szCs w:val="16"/>
    </w:rPr>
  </w:style>
  <w:style w:type="paragraph" w:styleId="NormalWeb">
    <w:name w:val="Normal (Web)"/>
    <w:basedOn w:val="Normal"/>
    <w:rsid w:val="004D18F1"/>
    <w:pPr>
      <w:spacing w:before="100" w:beforeAutospacing="1" w:after="100" w:afterAutospacing="1"/>
    </w:pPr>
    <w:rPr>
      <w:szCs w:val="24"/>
    </w:rPr>
  </w:style>
  <w:style w:type="paragraph" w:styleId="BodyTextIndent">
    <w:name w:val="Body Text Indent"/>
    <w:basedOn w:val="Normal"/>
    <w:rsid w:val="00F37309"/>
    <w:pPr>
      <w:spacing w:after="120"/>
      <w:ind w:left="360"/>
    </w:pPr>
  </w:style>
  <w:style w:type="paragraph" w:styleId="BalloonText">
    <w:name w:val="Balloon Text"/>
    <w:basedOn w:val="Normal"/>
    <w:semiHidden/>
    <w:rsid w:val="000F1B08"/>
    <w:rPr>
      <w:rFonts w:ascii="Tahoma" w:hAnsi="Tahoma" w:cs="Tahoma"/>
      <w:sz w:val="16"/>
      <w:szCs w:val="16"/>
    </w:rPr>
  </w:style>
  <w:style w:type="character" w:customStyle="1" w:styleId="Heading1Char">
    <w:name w:val="Heading 1 Char"/>
    <w:link w:val="Heading1"/>
    <w:rsid w:val="00E669F1"/>
    <w:rPr>
      <w:rFonts w:ascii="CG Times(w1)" w:eastAsia="Times New Roman" w:hAnsi="CG Times(w1)"/>
      <w:b/>
      <w:sz w:val="36"/>
    </w:rPr>
  </w:style>
  <w:style w:type="character" w:customStyle="1" w:styleId="Heading4Char">
    <w:name w:val="Heading 4 Char"/>
    <w:link w:val="Heading4"/>
    <w:semiHidden/>
    <w:rsid w:val="00E669F1"/>
    <w:rPr>
      <w:rFonts w:ascii="CG Times (W1)" w:eastAsia="Times New Roman" w:hAnsi="CG Times (W1)"/>
      <w:sz w:val="24"/>
    </w:rPr>
  </w:style>
  <w:style w:type="paragraph" w:styleId="Title">
    <w:name w:val="Title"/>
    <w:basedOn w:val="Normal"/>
    <w:link w:val="TitleChar"/>
    <w:qFormat/>
    <w:rsid w:val="00E669F1"/>
    <w:pPr>
      <w:jc w:val="center"/>
    </w:pPr>
    <w:rPr>
      <w:rFonts w:ascii="CG Times(w1)" w:eastAsia="Times New Roman" w:hAnsi="CG Times(w1)"/>
      <w:b/>
      <w:lang w:val="es-ES_tradnl" w:eastAsia="x-none"/>
    </w:rPr>
  </w:style>
  <w:style w:type="character" w:customStyle="1" w:styleId="TitleChar">
    <w:name w:val="Title Char"/>
    <w:link w:val="Title"/>
    <w:rsid w:val="00E669F1"/>
    <w:rPr>
      <w:rFonts w:ascii="CG Times(w1)" w:eastAsia="Times New Roman" w:hAnsi="CG Times(w1)"/>
      <w:b/>
      <w:sz w:val="24"/>
      <w:lang w:val="es-ES_tradnl"/>
    </w:rPr>
  </w:style>
  <w:style w:type="paragraph" w:customStyle="1" w:styleId="c20">
    <w:name w:val="c20"/>
    <w:basedOn w:val="Normal"/>
    <w:rsid w:val="00861F7A"/>
    <w:pPr>
      <w:widowControl w:val="0"/>
      <w:spacing w:line="240" w:lineRule="atLeast"/>
      <w:jc w:val="center"/>
    </w:pPr>
    <w:rPr>
      <w:rFonts w:eastAsia="Times New Roman"/>
      <w:snapToGrid w:val="0"/>
      <w:lang w:val="es-ES"/>
    </w:rPr>
  </w:style>
  <w:style w:type="paragraph" w:styleId="ListParagraph">
    <w:name w:val="List Paragraph"/>
    <w:basedOn w:val="Normal"/>
    <w:uiPriority w:val="72"/>
    <w:qFormat/>
    <w:rsid w:val="0015346C"/>
    <w:pPr>
      <w:ind w:left="720"/>
      <w:contextualSpacing/>
    </w:pPr>
    <w:rPr>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34984">
      <w:bodyDiv w:val="1"/>
      <w:marLeft w:val="0"/>
      <w:marRight w:val="0"/>
      <w:marTop w:val="0"/>
      <w:marBottom w:val="0"/>
      <w:divBdr>
        <w:top w:val="none" w:sz="0" w:space="0" w:color="auto"/>
        <w:left w:val="none" w:sz="0" w:space="0" w:color="auto"/>
        <w:bottom w:val="none" w:sz="0" w:space="0" w:color="auto"/>
        <w:right w:val="none" w:sz="0" w:space="0" w:color="auto"/>
      </w:divBdr>
    </w:div>
    <w:div w:id="145702852">
      <w:bodyDiv w:val="1"/>
      <w:marLeft w:val="0"/>
      <w:marRight w:val="0"/>
      <w:marTop w:val="0"/>
      <w:marBottom w:val="0"/>
      <w:divBdr>
        <w:top w:val="none" w:sz="0" w:space="0" w:color="auto"/>
        <w:left w:val="none" w:sz="0" w:space="0" w:color="auto"/>
        <w:bottom w:val="none" w:sz="0" w:space="0" w:color="auto"/>
        <w:right w:val="none" w:sz="0" w:space="0" w:color="auto"/>
      </w:divBdr>
    </w:div>
    <w:div w:id="189799466">
      <w:bodyDiv w:val="1"/>
      <w:marLeft w:val="0"/>
      <w:marRight w:val="0"/>
      <w:marTop w:val="0"/>
      <w:marBottom w:val="0"/>
      <w:divBdr>
        <w:top w:val="none" w:sz="0" w:space="0" w:color="auto"/>
        <w:left w:val="none" w:sz="0" w:space="0" w:color="auto"/>
        <w:bottom w:val="none" w:sz="0" w:space="0" w:color="auto"/>
        <w:right w:val="none" w:sz="0" w:space="0" w:color="auto"/>
      </w:divBdr>
    </w:div>
    <w:div w:id="385036225">
      <w:bodyDiv w:val="1"/>
      <w:marLeft w:val="0"/>
      <w:marRight w:val="0"/>
      <w:marTop w:val="0"/>
      <w:marBottom w:val="0"/>
      <w:divBdr>
        <w:top w:val="none" w:sz="0" w:space="0" w:color="auto"/>
        <w:left w:val="none" w:sz="0" w:space="0" w:color="auto"/>
        <w:bottom w:val="none" w:sz="0" w:space="0" w:color="auto"/>
        <w:right w:val="none" w:sz="0" w:space="0" w:color="auto"/>
      </w:divBdr>
    </w:div>
    <w:div w:id="397244033">
      <w:bodyDiv w:val="1"/>
      <w:marLeft w:val="0"/>
      <w:marRight w:val="0"/>
      <w:marTop w:val="0"/>
      <w:marBottom w:val="0"/>
      <w:divBdr>
        <w:top w:val="none" w:sz="0" w:space="0" w:color="auto"/>
        <w:left w:val="none" w:sz="0" w:space="0" w:color="auto"/>
        <w:bottom w:val="none" w:sz="0" w:space="0" w:color="auto"/>
        <w:right w:val="none" w:sz="0" w:space="0" w:color="auto"/>
      </w:divBdr>
    </w:div>
    <w:div w:id="743990980">
      <w:bodyDiv w:val="1"/>
      <w:marLeft w:val="0"/>
      <w:marRight w:val="0"/>
      <w:marTop w:val="0"/>
      <w:marBottom w:val="0"/>
      <w:divBdr>
        <w:top w:val="none" w:sz="0" w:space="0" w:color="auto"/>
        <w:left w:val="none" w:sz="0" w:space="0" w:color="auto"/>
        <w:bottom w:val="none" w:sz="0" w:space="0" w:color="auto"/>
        <w:right w:val="none" w:sz="0" w:space="0" w:color="auto"/>
      </w:divBdr>
    </w:div>
    <w:div w:id="829520382">
      <w:bodyDiv w:val="1"/>
      <w:marLeft w:val="0"/>
      <w:marRight w:val="0"/>
      <w:marTop w:val="0"/>
      <w:marBottom w:val="0"/>
      <w:divBdr>
        <w:top w:val="none" w:sz="0" w:space="0" w:color="auto"/>
        <w:left w:val="none" w:sz="0" w:space="0" w:color="auto"/>
        <w:bottom w:val="none" w:sz="0" w:space="0" w:color="auto"/>
        <w:right w:val="none" w:sz="0" w:space="0" w:color="auto"/>
      </w:divBdr>
    </w:div>
    <w:div w:id="837038415">
      <w:bodyDiv w:val="1"/>
      <w:marLeft w:val="0"/>
      <w:marRight w:val="0"/>
      <w:marTop w:val="0"/>
      <w:marBottom w:val="0"/>
      <w:divBdr>
        <w:top w:val="none" w:sz="0" w:space="0" w:color="auto"/>
        <w:left w:val="none" w:sz="0" w:space="0" w:color="auto"/>
        <w:bottom w:val="none" w:sz="0" w:space="0" w:color="auto"/>
        <w:right w:val="none" w:sz="0" w:space="0" w:color="auto"/>
      </w:divBdr>
    </w:div>
    <w:div w:id="842859938">
      <w:bodyDiv w:val="1"/>
      <w:marLeft w:val="0"/>
      <w:marRight w:val="0"/>
      <w:marTop w:val="0"/>
      <w:marBottom w:val="0"/>
      <w:divBdr>
        <w:top w:val="none" w:sz="0" w:space="0" w:color="auto"/>
        <w:left w:val="none" w:sz="0" w:space="0" w:color="auto"/>
        <w:bottom w:val="none" w:sz="0" w:space="0" w:color="auto"/>
        <w:right w:val="none" w:sz="0" w:space="0" w:color="auto"/>
      </w:divBdr>
    </w:div>
    <w:div w:id="870415399">
      <w:bodyDiv w:val="1"/>
      <w:marLeft w:val="0"/>
      <w:marRight w:val="0"/>
      <w:marTop w:val="0"/>
      <w:marBottom w:val="0"/>
      <w:divBdr>
        <w:top w:val="none" w:sz="0" w:space="0" w:color="auto"/>
        <w:left w:val="none" w:sz="0" w:space="0" w:color="auto"/>
        <w:bottom w:val="none" w:sz="0" w:space="0" w:color="auto"/>
        <w:right w:val="none" w:sz="0" w:space="0" w:color="auto"/>
      </w:divBdr>
    </w:div>
    <w:div w:id="1007905745">
      <w:bodyDiv w:val="1"/>
      <w:marLeft w:val="0"/>
      <w:marRight w:val="0"/>
      <w:marTop w:val="0"/>
      <w:marBottom w:val="0"/>
      <w:divBdr>
        <w:top w:val="none" w:sz="0" w:space="0" w:color="auto"/>
        <w:left w:val="none" w:sz="0" w:space="0" w:color="auto"/>
        <w:bottom w:val="none" w:sz="0" w:space="0" w:color="auto"/>
        <w:right w:val="none" w:sz="0" w:space="0" w:color="auto"/>
      </w:divBdr>
    </w:div>
    <w:div w:id="1417827543">
      <w:bodyDiv w:val="1"/>
      <w:marLeft w:val="0"/>
      <w:marRight w:val="0"/>
      <w:marTop w:val="0"/>
      <w:marBottom w:val="0"/>
      <w:divBdr>
        <w:top w:val="none" w:sz="0" w:space="0" w:color="auto"/>
        <w:left w:val="none" w:sz="0" w:space="0" w:color="auto"/>
        <w:bottom w:val="none" w:sz="0" w:space="0" w:color="auto"/>
        <w:right w:val="none" w:sz="0" w:space="0" w:color="auto"/>
      </w:divBdr>
    </w:div>
    <w:div w:id="1502356882">
      <w:bodyDiv w:val="1"/>
      <w:marLeft w:val="0"/>
      <w:marRight w:val="0"/>
      <w:marTop w:val="0"/>
      <w:marBottom w:val="0"/>
      <w:divBdr>
        <w:top w:val="none" w:sz="0" w:space="0" w:color="auto"/>
        <w:left w:val="none" w:sz="0" w:space="0" w:color="auto"/>
        <w:bottom w:val="none" w:sz="0" w:space="0" w:color="auto"/>
        <w:right w:val="none" w:sz="0" w:space="0" w:color="auto"/>
      </w:divBdr>
    </w:div>
    <w:div w:id="1775978796">
      <w:bodyDiv w:val="1"/>
      <w:marLeft w:val="0"/>
      <w:marRight w:val="0"/>
      <w:marTop w:val="0"/>
      <w:marBottom w:val="0"/>
      <w:divBdr>
        <w:top w:val="none" w:sz="0" w:space="0" w:color="auto"/>
        <w:left w:val="none" w:sz="0" w:space="0" w:color="auto"/>
        <w:bottom w:val="none" w:sz="0" w:space="0" w:color="auto"/>
        <w:right w:val="none" w:sz="0" w:space="0" w:color="auto"/>
      </w:divBdr>
    </w:div>
    <w:div w:id="1897005110">
      <w:bodyDiv w:val="1"/>
      <w:marLeft w:val="0"/>
      <w:marRight w:val="0"/>
      <w:marTop w:val="0"/>
      <w:marBottom w:val="0"/>
      <w:divBdr>
        <w:top w:val="none" w:sz="0" w:space="0" w:color="auto"/>
        <w:left w:val="none" w:sz="0" w:space="0" w:color="auto"/>
        <w:bottom w:val="none" w:sz="0" w:space="0" w:color="auto"/>
        <w:right w:val="none" w:sz="0" w:space="0" w:color="auto"/>
      </w:divBdr>
    </w:div>
    <w:div w:id="1947040406">
      <w:bodyDiv w:val="1"/>
      <w:marLeft w:val="0"/>
      <w:marRight w:val="0"/>
      <w:marTop w:val="0"/>
      <w:marBottom w:val="0"/>
      <w:divBdr>
        <w:top w:val="none" w:sz="0" w:space="0" w:color="auto"/>
        <w:left w:val="none" w:sz="0" w:space="0" w:color="auto"/>
        <w:bottom w:val="none" w:sz="0" w:space="0" w:color="auto"/>
        <w:right w:val="none" w:sz="0" w:space="0" w:color="auto"/>
      </w:divBdr>
    </w:div>
    <w:div w:id="1990011947">
      <w:bodyDiv w:val="1"/>
      <w:marLeft w:val="0"/>
      <w:marRight w:val="0"/>
      <w:marTop w:val="0"/>
      <w:marBottom w:val="0"/>
      <w:divBdr>
        <w:top w:val="none" w:sz="0" w:space="0" w:color="auto"/>
        <w:left w:val="none" w:sz="0" w:space="0" w:color="auto"/>
        <w:bottom w:val="none" w:sz="0" w:space="0" w:color="auto"/>
        <w:right w:val="none" w:sz="0" w:space="0" w:color="auto"/>
      </w:divBdr>
    </w:div>
    <w:div w:id="2087149313">
      <w:bodyDiv w:val="1"/>
      <w:marLeft w:val="0"/>
      <w:marRight w:val="0"/>
      <w:marTop w:val="0"/>
      <w:marBottom w:val="0"/>
      <w:divBdr>
        <w:top w:val="none" w:sz="0" w:space="0" w:color="auto"/>
        <w:left w:val="none" w:sz="0" w:space="0" w:color="auto"/>
        <w:bottom w:val="none" w:sz="0" w:space="0" w:color="auto"/>
        <w:right w:val="none" w:sz="0" w:space="0" w:color="auto"/>
      </w:divBdr>
    </w:div>
    <w:div w:id="2131168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WINNT\Profiles\cguerrero.000\Application%20Data\Microsoft\Templates\Medida_200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Medida_2001</Template>
  <TotalTime>2</TotalTime>
  <Pages>3</Pages>
  <Words>945</Words>
  <Characters>5501</Characters>
  <Application>Microsoft Office Word</Application>
  <DocSecurity>0</DocSecurity>
  <Lines>45</Lines>
  <Paragraphs>12</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6434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condiciones de la infraestructura, el mantenimiento de la misma y la calidad del servicio que brinda la Autoridad de Energía Eléctrica</dc:subject>
  <dc:creator>Ramón Luis, JRA</dc:creator>
  <cp:keywords>RESOLUCIÓN; Región Este; Autoridad de Energía Eléctrica</cp:keywords>
  <dc:description>Para ordenar a las Comisiones de Desarrollo Integrado de la Región Este; y la de Transportación e Infraestructura de la Cámara de Representantes del Estado Libre Asociado de Puerto Rico, realizar una abarcadora investigación sobre la las condiciones de la infraestructura, el mantenimiento de la misma y la calidad del servicio que brinda la Autoridad de Energía Eléctrica en los municipios de Yabucoa, Maunabo, Patillas y San Lorenzo.</dc:description>
  <cp:lastModifiedBy>Gladys J. Burgos Torres</cp:lastModifiedBy>
  <cp:revision>3</cp:revision>
  <cp:lastPrinted>2025-11-06T17:42:00Z</cp:lastPrinted>
  <dcterms:created xsi:type="dcterms:W3CDTF">2025-11-06T18:25:00Z</dcterms:created>
  <dcterms:modified xsi:type="dcterms:W3CDTF">2025-11-10T12:51:00Z</dcterms:modified>
  <cp:category>Desarrollo Integrado de la Región Este;y la de Transportación e Infraestructura</cp:category>
</cp:coreProperties>
</file>