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48938C1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3ra.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t>Legislativa</w:t>
      </w:r>
      <w:r>
        <w:rPr>
          <w:rFonts w:ascii="Book Antiqua" w:hAnsi="Book Antiqua"/>
          <w:szCs w:val="24"/>
          <w:lang w:val="es-ES_tradnl"/>
        </w:rPr>
        <w:tab/>
        <w:t xml:space="preserve">            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13433487" w:rsidR="002670C1" w:rsidRPr="005A7E47" w:rsidRDefault="002670C1" w:rsidP="009852EB">
      <w:pPr>
        <w:jc w:val="center"/>
        <w:outlineLvl w:val="0"/>
        <w:rPr>
          <w:rFonts w:ascii="Book Antiqua" w:hAnsi="Book Antiqua" w:cs="Tahoma"/>
          <w:b/>
          <w:sz w:val="52"/>
          <w:szCs w:val="52"/>
          <w:lang w:val="es-ES_tradnl"/>
        </w:rPr>
      </w:pPr>
      <w:r>
        <w:rPr>
          <w:rFonts w:ascii="Book Antiqua" w:hAnsi="Book Antiqua" w:cs="Tahoma"/>
          <w:b/>
          <w:sz w:val="52"/>
          <w:szCs w:val="52"/>
          <w:lang w:val="es-ES_tradnl"/>
        </w:rPr>
        <w:t>R. DE LA C. 603</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Pr>
          <w:rFonts w:ascii="Book Antiqua" w:hAnsi="Book Antiqua" w:cs="Tahoma"/>
          <w:b/>
          <w:sz w:val="28"/>
          <w:szCs w:val="28"/>
          <w:lang w:val="es-ES_tradnl"/>
        </w:rPr>
        <w:t>INFORME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F52645A" w:rsidR="002670C1" w:rsidRPr="005A7E47" w:rsidRDefault="001B02AF" w:rsidP="002670C1">
      <w:pPr>
        <w:jc w:val="center"/>
        <w:rPr>
          <w:rFonts w:ascii="Book Antiqua" w:hAnsi="Book Antiqua" w:cs="Tahoma"/>
          <w:lang w:val="es-ES_tradnl"/>
        </w:rPr>
      </w:pPr>
      <w:r>
        <w:rPr>
          <w:rFonts w:ascii="Book Antiqua" w:hAnsi="Book Antiqua" w:cs="Tahoma"/>
          <w:lang w:val="es-ES_tradnl"/>
        </w:rPr>
        <w:t>21 de abril</w:t>
      </w:r>
      <w:r w:rsidR="002670C1">
        <w:rPr>
          <w:rFonts w:ascii="Book Antiqua" w:hAnsi="Book Antiqua" w:cs="Tahoma"/>
          <w:lang w:val="es-ES_tradnl"/>
        </w:rPr>
        <w:t xml:space="preserve"> de 2026</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5D56D179" w:rsidR="00682883" w:rsidRPr="00506C85" w:rsidRDefault="002670C1" w:rsidP="00682883">
      <w:pPr>
        <w:jc w:val="both"/>
        <w:rPr>
          <w:rFonts w:ascii="Book Antiqua" w:hAnsi="Book Antiqua" w:cs="Tahoma"/>
          <w:lang w:val="es-ES_tradnl"/>
        </w:rPr>
      </w:pPr>
      <w:r>
        <w:rPr>
          <w:rFonts w:ascii="Book Antiqua" w:hAnsi="Book Antiqua" w:cs="Tahoma"/>
          <w:lang w:val="es-ES_tradnl"/>
        </w:rPr>
        <w:tab/>
        <w:t>La Comisión de Asuntos Internos de la Cámara de Representantes, previo estudio y consideración de la R. de la C. 603, 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48CA10C4" w14:textId="74FCEBE3" w:rsidR="000F1167" w:rsidRDefault="00BC1CB2" w:rsidP="00DF3E6F">
      <w:pPr>
        <w:ind w:left="567" w:hanging="567"/>
        <w:jc w:val="both"/>
        <w:rPr>
          <w:rFonts w:ascii="Book Antiqua" w:hAnsi="Book Antiqua"/>
          <w:lang w:val="es-ES_tradnl"/>
        </w:rPr>
      </w:pPr>
      <w:r>
        <w:rPr>
          <w:rFonts w:ascii="Book Antiqua" w:hAnsi="Book Antiqua"/>
          <w:lang w:val="es-ES_tradnl"/>
        </w:rPr>
        <w:t xml:space="preserve"> “Para ordenar a la Comisión de Asuntos del Consumidor de la Cámara de Representantes de Puerto Rico realizar una investigación exhaustiva sobre la estructura de precios, los criterios de fijación de precios, los márgenes de ganancia, los costos administrativos y de transportación, el proceso de selección de vendedores, y el grado de fiscalización ejercido por el Departamento de Agricultura sobre los Mercados Familiares auspiciados por dicho Departamento; todo ello con el fin de garantizar que dichos mercados cumplan con su misión social y económica de beneficiar al consumidor y al agricultor local, y de reducir el impacto económico en las familias puertorriqueñas; y para otros fines relacionados.”</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49A8E811" w14:textId="6904BD12" w:rsidR="00DF3E6F" w:rsidRDefault="00CC4336" w:rsidP="00652A89">
      <w:pPr>
        <w:ind w:firstLine="708"/>
        <w:jc w:val="both"/>
        <w:rPr>
          <w:rFonts w:ascii="Book Antiqua" w:hAnsi="Book Antiqua"/>
          <w:lang w:val="es-ES_tradnl"/>
        </w:rPr>
      </w:pPr>
      <w:r>
        <w:rPr>
          <w:rFonts w:ascii="Book Antiqua" w:hAnsi="Book Antiqua"/>
          <w:lang w:val="es-ES_tradnl"/>
        </w:rPr>
        <w:t xml:space="preserve">La Resolución de la Cámara Núm. 603 tiene el propósito de ordenar a la Comisión de Asuntos del Consumidor de la Cámara de Representantes de Puerto Rico realizar una investigación exhaustiva sobre el funcionamiento de los Mercados Familiares auspiciados por el Departamento de Agricultura de Puerto Rico. La medida responde a preocupaciones ciudadanas sobre incrementos en los precios de los </w:t>
      </w:r>
      <w:r>
        <w:rPr>
          <w:rFonts w:ascii="Book Antiqua" w:hAnsi="Book Antiqua"/>
          <w:lang w:val="es-ES_tradnl"/>
        </w:rPr>
        <w:lastRenderedPageBreak/>
        <w:t>productos ofrecidos en dichos mercados, y busca determinar si estos cumplen con su misión social y económica de beneficiar al consumidor y al agricultor local.</w:t>
      </w:r>
    </w:p>
    <w:p w14:paraId="393FF414" w14:textId="77777777" w:rsidR="00652A89" w:rsidRPr="00652A89" w:rsidRDefault="00652A89" w:rsidP="00652A89">
      <w:pPr>
        <w:ind w:firstLine="708"/>
        <w:jc w:val="both"/>
        <w:rPr>
          <w:rFonts w:ascii="Book Antiqua" w:hAnsi="Book Antiqua"/>
          <w:lang w:val="es-PR"/>
        </w:rPr>
      </w:pPr>
    </w:p>
    <w:p w14:paraId="165EF5E4" w14:textId="62BDCCE6" w:rsidR="00DF3E6F" w:rsidRPr="00652A89" w:rsidRDefault="00DF3E6F" w:rsidP="00652A89">
      <w:pPr>
        <w:ind w:firstLine="708"/>
        <w:jc w:val="both"/>
        <w:rPr>
          <w:rFonts w:ascii="Book Antiqua" w:hAnsi="Book Antiqua"/>
          <w:lang w:val="es-PR"/>
        </w:rPr>
      </w:pPr>
      <w:r w:rsidRPr="00652A89">
        <w:rPr>
          <w:rFonts w:ascii="Book Antiqua" w:hAnsi="Book Antiqua"/>
          <w:lang w:val="es-PR"/>
        </w:rPr>
        <w:t>En la exposición de motivos se establece que los Mercados Familiares fueron creados con el propósito de fortalecer el vínculo directo entre el agricultor local y el consumidor, reducir intermediarios y promover el desarrollo económico del sector agropecuario de Puerto Rico. Sin embargo, han llegado a esta Asamblea Legislativa múltiples expresiones de ciudadanos que manifiestan preocupación por incrementos significativos en los precios de los productos ofrecidos en dichos mercados, lo que genera interrogantes sobre si estos están cumpliendo cabalmente con su propósito social y económico.</w:t>
      </w:r>
    </w:p>
    <w:p w14:paraId="66E082BF" w14:textId="77777777" w:rsidR="001B02AF" w:rsidRPr="00652A89" w:rsidRDefault="001B02AF" w:rsidP="00DF3E6F">
      <w:pPr>
        <w:jc w:val="both"/>
        <w:rPr>
          <w:rFonts w:ascii="Book Antiqua" w:hAnsi="Book Antiqua"/>
          <w:lang w:val="es-PR"/>
        </w:rPr>
      </w:pPr>
    </w:p>
    <w:p w14:paraId="05E78832" w14:textId="4AE1DC32" w:rsidR="00DF3E6F" w:rsidRPr="00652A89" w:rsidRDefault="00DF3E6F" w:rsidP="00652A89">
      <w:pPr>
        <w:ind w:firstLine="708"/>
        <w:jc w:val="both"/>
        <w:rPr>
          <w:rFonts w:ascii="Book Antiqua" w:hAnsi="Book Antiqua"/>
          <w:lang w:val="es-PR"/>
        </w:rPr>
      </w:pPr>
      <w:r w:rsidRPr="00652A89">
        <w:rPr>
          <w:rFonts w:ascii="Book Antiqua" w:hAnsi="Book Antiqua"/>
          <w:lang w:val="es-PR"/>
        </w:rPr>
        <w:t>La investigación abarcará, entre otros asuntos, la estructura de precios, los criterios de fijación de precios, los márgenes de ganancia, los costos administrativos y de transportación, el proceso de selección de vendedores, y el grado de fiscalización ejercido por el Departamento de Agricultura sobre los Mercados Familiares. La Comisión de Asuntos del Consumidor deberá rendir un informe con sus hallazgos, conclusiones y recomendaciones dentro de los ciento ochenta (180) días siguientes a la aprobación de esta Resolución.</w:t>
      </w:r>
    </w:p>
    <w:p w14:paraId="7645A4CC" w14:textId="77777777" w:rsidR="006150BB" w:rsidRPr="005A7E47" w:rsidRDefault="006150BB" w:rsidP="006150BB">
      <w:pPr>
        <w:pStyle w:val="NormalWeb"/>
        <w:jc w:val="center"/>
        <w:outlineLvl w:val="0"/>
        <w:rPr>
          <w:rFonts w:ascii="Book Antiqua" w:hAnsi="Book Antiqua"/>
          <w:b/>
          <w:sz w:val="24"/>
          <w:szCs w:val="24"/>
          <w:u w:val="single"/>
          <w:lang w:val="es-ES_tradnl"/>
        </w:rPr>
      </w:pPr>
      <w:r>
        <w:rPr>
          <w:rFonts w:ascii="Book Antiqua" w:hAnsi="Book Antiqua"/>
          <w:b/>
          <w:sz w:val="24"/>
          <w:szCs w:val="24"/>
          <w:u w:val="single"/>
          <w:lang w:val="es-ES_tradnl"/>
        </w:rPr>
        <w:t>CONCLUSIÓN Y RECOMENDACIÓN</w:t>
      </w:r>
    </w:p>
    <w:p w14:paraId="3E07A231" w14:textId="4680830F" w:rsidR="008B1E7C" w:rsidRPr="00652A89" w:rsidRDefault="001A02E8" w:rsidP="00652A89">
      <w:pPr>
        <w:pStyle w:val="NormalWeb"/>
        <w:ind w:firstLine="708"/>
        <w:jc w:val="both"/>
        <w:rPr>
          <w:rFonts w:ascii="Book Antiqua" w:hAnsi="Book Antiqua"/>
          <w:sz w:val="24"/>
          <w:szCs w:val="24"/>
          <w:lang w:val="es-PR"/>
        </w:rPr>
      </w:pPr>
      <w:r w:rsidRPr="00652A89">
        <w:rPr>
          <w:rFonts w:ascii="Book Antiqua" w:hAnsi="Book Antiqua"/>
          <w:sz w:val="24"/>
          <w:szCs w:val="24"/>
          <w:lang w:val="es-PR"/>
        </w:rPr>
        <w:t xml:space="preserve">En atención a lo expuesto, la Comisión de Asuntos Internos concluye que la medida propuesta persigue un fin apremiante y cumple con los requisitos necesarios para su aprobación. Por tal razón, se recomienda la aprobación de la Resolución de la Cámara 603, con las enmiendas contenidas en el </w:t>
      </w:r>
      <w:proofErr w:type="spellStart"/>
      <w:r w:rsidRPr="00652A89">
        <w:rPr>
          <w:rFonts w:ascii="Book Antiqua" w:hAnsi="Book Antiqua"/>
          <w:sz w:val="24"/>
          <w:szCs w:val="24"/>
          <w:lang w:val="es-PR"/>
        </w:rPr>
        <w:t>entirillado</w:t>
      </w:r>
      <w:proofErr w:type="spellEnd"/>
      <w:r w:rsidRPr="00652A89">
        <w:rPr>
          <w:rFonts w:ascii="Book Antiqua" w:hAnsi="Book Antiqua"/>
          <w:sz w:val="24"/>
          <w:szCs w:val="24"/>
          <w:lang w:val="es-PR"/>
        </w:rPr>
        <w:t xml:space="preserve"> electrónico que acompaña este informe.</w:t>
      </w:r>
    </w:p>
    <w:p w14:paraId="50FFCE58" w14:textId="77777777" w:rsidR="006150BB" w:rsidRPr="00DE02EB" w:rsidRDefault="006150BB" w:rsidP="006150BB">
      <w:pPr>
        <w:jc w:val="both"/>
        <w:rPr>
          <w:rFonts w:ascii="Book Antiqua" w:hAnsi="Book Antiqua" w:cs="Tahoma"/>
          <w:lang w:val="es-ES_tradnl"/>
        </w:rPr>
      </w:pPr>
      <w:r>
        <w:rPr>
          <w:rFonts w:ascii="Book Antiqua" w:hAnsi="Book Antiqua" w:cs="Tahoma"/>
          <w:lang w:val="es-ES_tradnl"/>
        </w:rPr>
        <w:t>Respetuosamente sometido,</w:t>
      </w:r>
    </w:p>
    <w:p w14:paraId="788BD5EC" w14:textId="77777777" w:rsidR="00DF3E6F" w:rsidRPr="00DF3E6F" w:rsidRDefault="00DF3E6F" w:rsidP="00DF3E6F">
      <w:pPr>
        <w:jc w:val="both"/>
        <w:rPr>
          <w:rFonts w:ascii="Book Antiqua" w:hAnsi="Book Antiqua"/>
        </w:rPr>
      </w:pPr>
    </w:p>
    <w:p w14:paraId="3F4BB2E4" w14:textId="591E7D20" w:rsidR="00F27289" w:rsidRPr="005A7E47" w:rsidRDefault="000F1167" w:rsidP="000F1167">
      <w:pPr>
        <w:jc w:val="both"/>
        <w:rPr>
          <w:rFonts w:ascii="Book Antiqua" w:hAnsi="Book Antiqua"/>
          <w:b/>
          <w:u w:val="single"/>
          <w:lang w:val="es-ES_tradnl"/>
        </w:rPr>
      </w:pPr>
      <w:r>
        <w:rPr>
          <w:rFonts w:ascii="Book Antiqua" w:hAnsi="Book Antiqua"/>
        </w:rPr>
        <w:t xml:space="preserve">    </w:t>
      </w: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Pr>
          <w:rFonts w:ascii="Book Antiqua" w:hAnsi="Book Antiqua" w:cs="Tahoma"/>
          <w:b/>
          <w:bCs/>
          <w:lang w:val="es-ES_tradnl"/>
        </w:rPr>
        <w:t>PEDRO JULIO SANTIAGO GUZMÁN</w:t>
      </w:r>
      <w:r>
        <w:rPr>
          <w:rFonts w:ascii="Book Antiqua" w:hAnsi="Book Antiqua" w:cs="Tahoma"/>
          <w:lang w:val="es-ES_tradnl"/>
        </w:rPr>
        <w:br/>
        <w:t>Presidente</w:t>
      </w:r>
      <w:r>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09BA0" w14:textId="77777777" w:rsidR="006E0061" w:rsidRDefault="006E0061" w:rsidP="00614C2C">
      <w:r>
        <w:separator/>
      </w:r>
    </w:p>
  </w:endnote>
  <w:endnote w:type="continuationSeparator" w:id="0">
    <w:p w14:paraId="060B0C4E" w14:textId="77777777" w:rsidR="006E0061" w:rsidRDefault="006E006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Content>
      <w:p w14:paraId="44ACDD43" w14:textId="77777777" w:rsidR="009E2C2B" w:rsidRDefault="009E2C2B">
        <w:pPr>
          <w:pStyle w:val="Footer"/>
          <w:jc w:val="center"/>
        </w:pPr>
        <w:r>
          <w:fldChar w:fldCharType="begin"/>
        </w:r>
        <w:r>
          <w:instrText xml:space="preserve"> PAGE   \* MERGEFORMAT </w:instrText>
        </w:r>
        <w:r>
          <w:fldChar w:fldCharType="separate"/>
        </w:r>
        <w:r w:rsidR="001B02AF">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F771" w14:textId="77777777" w:rsidR="006E0061" w:rsidRDefault="006E0061" w:rsidP="00614C2C">
      <w:r>
        <w:separator/>
      </w:r>
    </w:p>
  </w:footnote>
  <w:footnote w:type="continuationSeparator" w:id="0">
    <w:p w14:paraId="56C55F80" w14:textId="77777777" w:rsidR="006E0061" w:rsidRDefault="006E006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5154777">
    <w:abstractNumId w:val="6"/>
  </w:num>
  <w:num w:numId="2" w16cid:durableId="1352612844">
    <w:abstractNumId w:val="12"/>
  </w:num>
  <w:num w:numId="3" w16cid:durableId="1401440841">
    <w:abstractNumId w:val="3"/>
  </w:num>
  <w:num w:numId="4" w16cid:durableId="252010696">
    <w:abstractNumId w:val="1"/>
  </w:num>
  <w:num w:numId="5" w16cid:durableId="213127322">
    <w:abstractNumId w:val="7"/>
  </w:num>
  <w:num w:numId="6" w16cid:durableId="1634561863">
    <w:abstractNumId w:val="4"/>
  </w:num>
  <w:num w:numId="7" w16cid:durableId="409884519">
    <w:abstractNumId w:val="5"/>
  </w:num>
  <w:num w:numId="8" w16cid:durableId="992681212">
    <w:abstractNumId w:val="8"/>
  </w:num>
  <w:num w:numId="9" w16cid:durableId="461308554">
    <w:abstractNumId w:val="9"/>
  </w:num>
  <w:num w:numId="10" w16cid:durableId="2036885233">
    <w:abstractNumId w:val="0"/>
  </w:num>
  <w:num w:numId="11" w16cid:durableId="1665351400">
    <w:abstractNumId w:val="2"/>
  </w:num>
  <w:num w:numId="12" w16cid:durableId="1940480430">
    <w:abstractNumId w:val="11"/>
  </w:num>
  <w:num w:numId="13" w16cid:durableId="20112550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B02AF"/>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52A89"/>
    <w:rsid w:val="00680F2A"/>
    <w:rsid w:val="00682883"/>
    <w:rsid w:val="006B0997"/>
    <w:rsid w:val="006B6230"/>
    <w:rsid w:val="006E0061"/>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E31DEEB-BD3B-4D20-BDDD-B51C2EC5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Miguel A. Candelario Piñeiro</cp:lastModifiedBy>
  <cp:revision>3</cp:revision>
  <cp:lastPrinted>2025-02-17T12:55:00Z</cp:lastPrinted>
  <dcterms:created xsi:type="dcterms:W3CDTF">2026-04-21T00:26:00Z</dcterms:created>
  <dcterms:modified xsi:type="dcterms:W3CDTF">2026-04-21T13:55:00Z</dcterms:modified>
</cp:coreProperties>
</file>