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37D8961C" w:rsidR="00FF6BD2" w:rsidRDefault="00AE3864" w:rsidP="00D45911">
      <w:pPr>
        <w:jc w:val="center"/>
        <w:rPr>
          <w:rFonts w:ascii="Book Antiqua" w:hAnsi="Book Antiqua"/>
          <w:sz w:val="28"/>
          <w:lang w:val="es-ES_tradnl"/>
        </w:rPr>
      </w:pPr>
      <w:r>
        <w:rPr>
          <w:rFonts w:ascii="Book Antiqua" w:hAnsi="Book Antiqua"/>
          <w:sz w:val="28"/>
          <w:lang w:val="es-ES_tradnl"/>
        </w:rPr>
        <w:t>GOBIERNO DE PUERTO RICO</w:t>
      </w:r>
    </w:p>
    <w:p w14:paraId="7913E5A3" w14:textId="77777777" w:rsidR="00061F79" w:rsidRPr="00D45911" w:rsidRDefault="00061F79" w:rsidP="00D45911">
      <w:pPr>
        <w:jc w:val="center"/>
        <w:rPr>
          <w:rFonts w:ascii="Book Antiqua" w:hAnsi="Book Antiqua"/>
          <w:lang w:val="es-ES_tradnl"/>
        </w:rPr>
      </w:pPr>
    </w:p>
    <w:p w14:paraId="0B5DA1E8" w14:textId="02F0BA2E" w:rsidR="00061F79" w:rsidRDefault="006718B9" w:rsidP="006718B9">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061F79">
        <w:rPr>
          <w:rFonts w:ascii="Book Antiqua" w:hAnsi="Book Antiqua"/>
          <w:lang w:val="es-ES_tradnl"/>
        </w:rPr>
        <w:tab/>
        <w:t>Asamblea</w:t>
      </w:r>
      <w:r w:rsidR="00061F79">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3ra. </w:t>
      </w:r>
      <w:r w:rsidR="00061F79">
        <w:rPr>
          <w:rFonts w:ascii="Book Antiqua" w:hAnsi="Book Antiqua"/>
          <w:lang w:val="es-ES_tradnl"/>
        </w:rPr>
        <w:t>Sesión</w:t>
      </w:r>
    </w:p>
    <w:p w14:paraId="2218EA92" w14:textId="6E37D085" w:rsidR="00061F79" w:rsidRDefault="00061F79" w:rsidP="006718B9">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718B9">
        <w:rPr>
          <w:rFonts w:ascii="Book Antiqua" w:hAnsi="Book Antiqua"/>
          <w:lang w:val="es-ES_tradnl"/>
        </w:rPr>
        <w:tab/>
      </w:r>
      <w:r w:rsidR="006718B9">
        <w:rPr>
          <w:rFonts w:ascii="Book Antiqua" w:hAnsi="Book Antiqua"/>
          <w:lang w:val="es-ES_tradnl"/>
        </w:rPr>
        <w:tab/>
      </w:r>
      <w:r w:rsidR="006718B9">
        <w:rPr>
          <w:rFonts w:ascii="Book Antiqua" w:hAnsi="Book Antiqua"/>
          <w:lang w:val="es-ES_tradnl"/>
        </w:rPr>
        <w:tab/>
      </w:r>
      <w:r w:rsidR="006718B9">
        <w:rPr>
          <w:rFonts w:ascii="Book Antiqua" w:hAnsi="Book Antiqua"/>
          <w:lang w:val="es-ES_tradnl"/>
        </w:rPr>
        <w:tab/>
      </w:r>
      <w:r w:rsidR="006718B9">
        <w:rPr>
          <w:rFonts w:ascii="Book Antiqua" w:hAnsi="Book Antiqua"/>
          <w:lang w:val="es-ES_tradnl"/>
        </w:rPr>
        <w:tab/>
      </w:r>
      <w:r w:rsidR="006718B9">
        <w:rPr>
          <w:rFonts w:ascii="Book Antiqua" w:hAnsi="Book Antiqua"/>
          <w:lang w:val="es-ES_tradnl"/>
        </w:rPr>
        <w:tab/>
      </w:r>
      <w:r w:rsidR="006718B9">
        <w:rPr>
          <w:rFonts w:ascii="Book Antiqua" w:hAnsi="Book Antiqua"/>
          <w:lang w:val="es-ES_tradnl"/>
        </w:rPr>
        <w:tab/>
        <w:t xml:space="preserve">      </w:t>
      </w:r>
      <w:r>
        <w:rPr>
          <w:rFonts w:ascii="Book Antiqua" w:hAnsi="Book Antiqua"/>
          <w:lang w:val="es-ES_tradnl"/>
        </w:rPr>
        <w:t>Ordinaria</w:t>
      </w:r>
    </w:p>
    <w:p w14:paraId="30EB99BD" w14:textId="77777777" w:rsidR="00061F79" w:rsidRDefault="00061F79" w:rsidP="00D45911">
      <w:pPr>
        <w:rPr>
          <w:lang w:val="es-ES_tradnl"/>
        </w:rPr>
      </w:pPr>
    </w:p>
    <w:p w14:paraId="5975B210" w14:textId="77777777" w:rsidR="00061F79" w:rsidRDefault="00061F79" w:rsidP="00D45911">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D45911" w:rsidRDefault="00061F79" w:rsidP="00D45911">
      <w:pPr>
        <w:jc w:val="center"/>
        <w:rPr>
          <w:rFonts w:ascii="Book Antiqua" w:hAnsi="Book Antiqua"/>
          <w:b/>
          <w:szCs w:val="24"/>
          <w:lang w:val="es-ES_tradnl"/>
        </w:rPr>
      </w:pPr>
    </w:p>
    <w:p w14:paraId="24FBC4E6" w14:textId="6B4BD60C" w:rsidR="00061F79" w:rsidRDefault="00061F79" w:rsidP="00D45911">
      <w:pPr>
        <w:jc w:val="center"/>
        <w:rPr>
          <w:rFonts w:ascii="Book Antiqua" w:hAnsi="Book Antiqua"/>
          <w:b/>
          <w:sz w:val="52"/>
          <w:lang w:val="es-ES_tradnl"/>
        </w:rPr>
      </w:pPr>
      <w:r>
        <w:rPr>
          <w:rFonts w:ascii="Book Antiqua" w:hAnsi="Book Antiqua"/>
          <w:b/>
          <w:sz w:val="52"/>
          <w:lang w:val="es-ES_tradnl"/>
        </w:rPr>
        <w:t xml:space="preserve">R. de la C. </w:t>
      </w:r>
      <w:r w:rsidR="00A94726">
        <w:rPr>
          <w:rFonts w:ascii="Book Antiqua" w:hAnsi="Book Antiqua"/>
          <w:b/>
          <w:sz w:val="52"/>
          <w:lang w:val="es-ES_tradnl"/>
        </w:rPr>
        <w:t>606</w:t>
      </w:r>
    </w:p>
    <w:p w14:paraId="1F2FEB27" w14:textId="77777777" w:rsidR="00D45911" w:rsidRPr="00D45911" w:rsidRDefault="00D45911" w:rsidP="00D45911">
      <w:pPr>
        <w:jc w:val="center"/>
        <w:rPr>
          <w:rFonts w:ascii="Book Antiqua" w:hAnsi="Book Antiqua"/>
          <w:b/>
          <w:szCs w:val="24"/>
          <w:lang w:val="es-ES_tradnl"/>
        </w:rPr>
      </w:pPr>
    </w:p>
    <w:p w14:paraId="69BD7954" w14:textId="070CA51F" w:rsidR="00061F79" w:rsidRDefault="00AE3864" w:rsidP="00D45911">
      <w:pPr>
        <w:jc w:val="center"/>
        <w:rPr>
          <w:rFonts w:ascii="Book Antiqua" w:hAnsi="Book Antiqua"/>
          <w:lang w:val="es-ES_tradnl"/>
        </w:rPr>
      </w:pPr>
      <w:r>
        <w:rPr>
          <w:rFonts w:ascii="Book Antiqua" w:hAnsi="Book Antiqua"/>
          <w:lang w:val="es-ES_tradnl"/>
        </w:rPr>
        <w:t>9 DE FEBRERO DE 2026</w:t>
      </w:r>
    </w:p>
    <w:p w14:paraId="0C5D0938" w14:textId="77777777" w:rsidR="00D45911" w:rsidRDefault="00D45911" w:rsidP="00D45911">
      <w:pPr>
        <w:jc w:val="center"/>
        <w:rPr>
          <w:rFonts w:ascii="Book Antiqua" w:hAnsi="Book Antiqua"/>
          <w:lang w:val="es-ES_tradnl"/>
        </w:rPr>
      </w:pPr>
    </w:p>
    <w:p w14:paraId="24E47A30" w14:textId="57260DFE" w:rsidR="00061F79" w:rsidRDefault="00061F79" w:rsidP="00AE3864">
      <w:pPr>
        <w:ind w:left="720" w:hanging="630"/>
        <w:jc w:val="center"/>
        <w:rPr>
          <w:rFonts w:ascii="Book Antiqua" w:hAnsi="Book Antiqua"/>
          <w:i/>
          <w:lang w:val="es-ES_tradnl"/>
        </w:rPr>
      </w:pPr>
      <w:r>
        <w:rPr>
          <w:rFonts w:ascii="Book Antiqua" w:hAnsi="Book Antiqua"/>
          <w:lang w:val="es-ES_tradnl"/>
        </w:rPr>
        <w:t xml:space="preserve">Presentada por </w:t>
      </w:r>
      <w:r w:rsidR="003C5862">
        <w:rPr>
          <w:rFonts w:ascii="Book Antiqua" w:hAnsi="Book Antiqua"/>
          <w:lang w:val="es-ES_tradnl"/>
        </w:rPr>
        <w:t>los</w:t>
      </w:r>
      <w:r>
        <w:rPr>
          <w:rFonts w:ascii="Book Antiqua" w:hAnsi="Book Antiqua"/>
          <w:lang w:val="es-ES_tradnl"/>
        </w:rPr>
        <w:t xml:space="preserve"> representante</w:t>
      </w:r>
      <w:r w:rsidR="003C5862">
        <w:rPr>
          <w:rFonts w:ascii="Book Antiqua" w:hAnsi="Book Antiqua"/>
          <w:lang w:val="es-ES_tradnl"/>
        </w:rPr>
        <w:t>s</w:t>
      </w:r>
      <w:r>
        <w:rPr>
          <w:rFonts w:ascii="Book Antiqua" w:hAnsi="Book Antiqua"/>
          <w:lang w:val="es-ES_tradnl"/>
        </w:rPr>
        <w:t xml:space="preserve"> </w:t>
      </w:r>
      <w:r w:rsidR="00353A67" w:rsidRPr="0091630E">
        <w:rPr>
          <w:rFonts w:ascii="Book Antiqua" w:hAnsi="Book Antiqua"/>
          <w:i/>
          <w:lang w:val="es-ES"/>
        </w:rPr>
        <w:t>Torres García</w:t>
      </w:r>
      <w:r w:rsidR="00AE3864">
        <w:rPr>
          <w:rFonts w:ascii="Book Antiqua" w:hAnsi="Book Antiqua"/>
          <w:i/>
          <w:lang w:val="es-ES"/>
        </w:rPr>
        <w:t xml:space="preserve"> </w:t>
      </w:r>
      <w:r w:rsidR="00AE3864" w:rsidRPr="00995EFA">
        <w:rPr>
          <w:rFonts w:ascii="Book Antiqua" w:hAnsi="Book Antiqua"/>
          <w:iCs/>
          <w:lang w:val="es-ES"/>
        </w:rPr>
        <w:t>y</w:t>
      </w:r>
      <w:r w:rsidR="00AE3864">
        <w:rPr>
          <w:rFonts w:ascii="Book Antiqua" w:hAnsi="Book Antiqua"/>
          <w:i/>
          <w:lang w:val="es-ES"/>
        </w:rPr>
        <w:t xml:space="preserve"> Fourquet Cordero</w:t>
      </w:r>
    </w:p>
    <w:p w14:paraId="683758D9" w14:textId="77777777" w:rsidR="00D45911" w:rsidRDefault="00D45911" w:rsidP="00D45911">
      <w:pPr>
        <w:ind w:left="720" w:hanging="630"/>
        <w:jc w:val="both"/>
        <w:rPr>
          <w:rFonts w:ascii="Book Antiqua" w:hAnsi="Book Antiqua"/>
          <w:lang w:val="es-ES_tradnl"/>
        </w:rPr>
      </w:pPr>
    </w:p>
    <w:p w14:paraId="6C3041C7" w14:textId="0EED8B8E" w:rsidR="00061F79" w:rsidRDefault="00061F79" w:rsidP="00D45911">
      <w:pPr>
        <w:jc w:val="center"/>
        <w:rPr>
          <w:rFonts w:ascii="Book Antiqua" w:hAnsi="Book Antiqua"/>
          <w:lang w:val="es-ES_tradnl"/>
        </w:rPr>
      </w:pPr>
      <w:r>
        <w:rPr>
          <w:rFonts w:ascii="Book Antiqua" w:hAnsi="Book Antiqua"/>
          <w:lang w:val="es-ES_tradnl"/>
        </w:rPr>
        <w:t xml:space="preserve">Referida a </w:t>
      </w:r>
      <w:r w:rsidR="00D45911">
        <w:rPr>
          <w:rFonts w:ascii="Book Antiqua" w:hAnsi="Book Antiqua"/>
          <w:lang w:val="es-ES_tradnl"/>
        </w:rPr>
        <w:t>la Comisión de Asuntos Internos</w:t>
      </w:r>
    </w:p>
    <w:p w14:paraId="12584DEE" w14:textId="77777777" w:rsidR="00061F79" w:rsidRDefault="00061F79" w:rsidP="00D45911">
      <w:pPr>
        <w:jc w:val="both"/>
        <w:rPr>
          <w:rFonts w:ascii="Book Antiqua" w:hAnsi="Book Antiqua"/>
          <w:lang w:val="es-ES_tradnl"/>
        </w:rPr>
      </w:pPr>
    </w:p>
    <w:p w14:paraId="60B266D2" w14:textId="77777777" w:rsidR="00061F79" w:rsidRDefault="00061F79" w:rsidP="00D45911">
      <w:pPr>
        <w:jc w:val="center"/>
        <w:rPr>
          <w:rFonts w:ascii="Book Antiqua" w:hAnsi="Book Antiqua"/>
          <w:b/>
          <w:sz w:val="28"/>
          <w:lang w:val="es-ES_tradnl"/>
        </w:rPr>
      </w:pPr>
      <w:r>
        <w:rPr>
          <w:rFonts w:ascii="Book Antiqua" w:hAnsi="Book Antiqua"/>
          <w:b/>
          <w:sz w:val="28"/>
          <w:lang w:val="es-ES_tradnl"/>
        </w:rPr>
        <w:t>RESOLUCIÓN</w:t>
      </w:r>
    </w:p>
    <w:p w14:paraId="371F6B71" w14:textId="77777777" w:rsidR="00061F79" w:rsidRDefault="00061F79" w:rsidP="00D45911">
      <w:pPr>
        <w:jc w:val="both"/>
        <w:rPr>
          <w:rFonts w:ascii="Book Antiqua" w:hAnsi="Book Antiqua"/>
          <w:lang w:val="es-ES_tradnl"/>
        </w:rPr>
      </w:pPr>
    </w:p>
    <w:p w14:paraId="4B69B022" w14:textId="10A67FF2" w:rsidR="00061F79" w:rsidRDefault="00061F79" w:rsidP="00995EFA">
      <w:pPr>
        <w:ind w:left="720" w:hanging="720"/>
        <w:jc w:val="both"/>
        <w:rPr>
          <w:rFonts w:ascii="Book Antiqua" w:hAnsi="Book Antiqua"/>
          <w:lang w:val="es-ES_tradnl"/>
        </w:rPr>
      </w:pPr>
      <w:r>
        <w:rPr>
          <w:rFonts w:ascii="Book Antiqua" w:hAnsi="Book Antiqua"/>
          <w:lang w:val="es-ES_tradnl"/>
        </w:rPr>
        <w:t xml:space="preserve">Para </w:t>
      </w:r>
      <w:r w:rsidR="00C70158">
        <w:rPr>
          <w:rFonts w:ascii="Book Antiqua" w:hAnsi="Book Antiqua"/>
          <w:lang w:val="es-ES_tradnl"/>
        </w:rPr>
        <w:t xml:space="preserve">ordenar </w:t>
      </w:r>
      <w:bookmarkStart w:id="0" w:name="_Hlk95221168"/>
      <w:r w:rsidR="00C70158">
        <w:rPr>
          <w:rFonts w:ascii="Book Antiqua" w:hAnsi="Book Antiqua"/>
          <w:lang w:val="es-ES_tradnl"/>
        </w:rPr>
        <w:t xml:space="preserve">a la </w:t>
      </w:r>
      <w:bookmarkEnd w:id="0"/>
      <w:r w:rsidR="00AE3864">
        <w:rPr>
          <w:rFonts w:ascii="Book Antiqua" w:hAnsi="Book Antiqua"/>
          <w:lang w:val="es-ES_tradnl"/>
        </w:rPr>
        <w:t xml:space="preserve">Comisión del Trabajo y Asuntos Laborales de la Cámara de Representantes del Gobierno de Puerto Rico que realice una investigación exhaustiva sobre la implementación del Plan de Clasificación y Retribución por parte de la Oficina de Administración y Transformación de los Recursos Humanos (OATRH); la planificación sobre implementación de etapas futuras del Plan de Clasificación y Retribución; los efectos causados; la disponibilidad e identificación de fondos para etapas posteriores; y otros fines relacionados. </w:t>
      </w:r>
    </w:p>
    <w:p w14:paraId="062FD2A1" w14:textId="43DC9C89" w:rsidR="00350B6E" w:rsidRDefault="00350B6E" w:rsidP="00D45911">
      <w:pPr>
        <w:ind w:left="360" w:hanging="360"/>
        <w:jc w:val="both"/>
        <w:rPr>
          <w:rFonts w:ascii="Book Antiqua" w:hAnsi="Book Antiqua"/>
          <w:lang w:val="es-ES_tradnl"/>
        </w:rPr>
      </w:pPr>
    </w:p>
    <w:p w14:paraId="376D8B44" w14:textId="77777777" w:rsidR="00350B6E" w:rsidRPr="00581EE9" w:rsidRDefault="00350B6E" w:rsidP="00D45911">
      <w:pPr>
        <w:ind w:firstLine="360"/>
        <w:jc w:val="center"/>
        <w:rPr>
          <w:rFonts w:ascii="Book Antiqua" w:hAnsi="Book Antiqua"/>
          <w:lang w:val="es-ES_tradnl"/>
        </w:rPr>
      </w:pPr>
      <w:r w:rsidRPr="00581EE9">
        <w:rPr>
          <w:rFonts w:ascii="Book Antiqua" w:hAnsi="Book Antiqua"/>
          <w:lang w:val="es-ES_tradnl"/>
        </w:rPr>
        <w:t>EXPOSICIÓN DE MOTIVOS</w:t>
      </w:r>
    </w:p>
    <w:p w14:paraId="1CD64ACF" w14:textId="77777777" w:rsidR="00AE3864" w:rsidRPr="00AE3864" w:rsidRDefault="00AE3864" w:rsidP="00AE3864">
      <w:pPr>
        <w:rPr>
          <w:rFonts w:ascii="Book Antiqua" w:hAnsi="Book Antiqua"/>
          <w:lang w:val="es-ES"/>
        </w:rPr>
      </w:pPr>
    </w:p>
    <w:p w14:paraId="3324E108" w14:textId="03A19848" w:rsidR="00AE3864" w:rsidRDefault="00AE3864" w:rsidP="00995EFA">
      <w:pPr>
        <w:shd w:val="clear" w:color="auto" w:fill="FFFFFF" w:themeFill="background1"/>
        <w:jc w:val="both"/>
        <w:rPr>
          <w:rFonts w:ascii="Book Antiqua" w:hAnsi="Book Antiqua"/>
          <w:color w:val="000000" w:themeColor="text1"/>
          <w:lang w:val="es-ES"/>
        </w:rPr>
      </w:pPr>
      <w:r w:rsidRPr="00AE3864">
        <w:rPr>
          <w:rFonts w:ascii="Book Antiqua" w:hAnsi="Book Antiqua"/>
          <w:color w:val="000000" w:themeColor="text1"/>
          <w:lang w:val="es-ES"/>
        </w:rPr>
        <w:tab/>
        <w:t xml:space="preserve">Durante el pasado cuatrienio, el Gobierno de Puerto Rico ha estado impulsando la Reforma de Servicio Público. La Reforma del Servicio Público </w:t>
      </w:r>
      <w:r>
        <w:rPr>
          <w:rFonts w:ascii="Book Antiqua" w:hAnsi="Book Antiqua"/>
          <w:color w:val="000000" w:themeColor="text1"/>
          <w:lang w:val="es-ES"/>
        </w:rPr>
        <w:t xml:space="preserve">es una iniciativa para entre otras cosas, transformar las capacidades y recursos del capital humano en el Gobierno de Puerto Rico centrada en reclutamiento, evaluación y compensación salarial competitiva. En esa línea, el Gobierno de Puerto Rico estuvo implementando distintas fases evaluadas por la Junta de Supervisión y Administración Financiera para Puerto Rico que culminaron con la implementación del Plan de Clasificación y Retribución para el Gobierno de Puerto Rico. </w:t>
      </w:r>
    </w:p>
    <w:p w14:paraId="00616AF5" w14:textId="77777777" w:rsidR="00AE3864" w:rsidRDefault="00AE3864" w:rsidP="00995EFA">
      <w:pPr>
        <w:shd w:val="clear" w:color="auto" w:fill="FFFFFF" w:themeFill="background1"/>
        <w:jc w:val="both"/>
        <w:rPr>
          <w:rFonts w:ascii="Book Antiqua" w:hAnsi="Book Antiqua"/>
          <w:color w:val="000000" w:themeColor="text1"/>
          <w:lang w:val="es-ES"/>
        </w:rPr>
      </w:pPr>
    </w:p>
    <w:p w14:paraId="6FC06F10" w14:textId="786871D1" w:rsidR="00AE3864" w:rsidRDefault="00AE3864" w:rsidP="00995EFA">
      <w:pPr>
        <w:shd w:val="clear" w:color="auto" w:fill="FFFFFF" w:themeFill="background1"/>
        <w:jc w:val="both"/>
        <w:rPr>
          <w:rFonts w:ascii="Book Antiqua" w:hAnsi="Book Antiqua"/>
          <w:color w:val="000000" w:themeColor="text1"/>
          <w:lang w:val="es-ES"/>
        </w:rPr>
      </w:pPr>
      <w:r>
        <w:rPr>
          <w:rFonts w:ascii="Book Antiqua" w:hAnsi="Book Antiqua"/>
          <w:color w:val="000000" w:themeColor="text1"/>
          <w:lang w:val="es-ES"/>
        </w:rPr>
        <w:tab/>
        <w:t xml:space="preserve">Entre los beneficios reseñados previamente por la Oficina de Administración y Transformación de los Recursos Humanos (OATRH) se encuentran: reducción de 176 planes de clasificación a dos, a saber: uno para servicio de carrera y otro para servicio de confianza; de 25 mil clases de puestos se redujeron a 1,500; de 44 escalas salariales se </w:t>
      </w:r>
      <w:r>
        <w:rPr>
          <w:rFonts w:ascii="Book Antiqua" w:hAnsi="Book Antiqua"/>
          <w:color w:val="000000" w:themeColor="text1"/>
          <w:lang w:val="es-ES"/>
        </w:rPr>
        <w:lastRenderedPageBreak/>
        <w:t>redujeron a 25; se establece un salario uniforme entre agencias.</w:t>
      </w:r>
      <w:r>
        <w:rPr>
          <w:rStyle w:val="Refdenotaalpie"/>
          <w:rFonts w:ascii="Book Antiqua" w:hAnsi="Book Antiqua"/>
          <w:color w:val="000000" w:themeColor="text1"/>
          <w:lang w:val="es-ES"/>
        </w:rPr>
        <w:footnoteReference w:id="1"/>
      </w:r>
      <w:r>
        <w:rPr>
          <w:rFonts w:ascii="Book Antiqua" w:hAnsi="Book Antiqua"/>
          <w:color w:val="000000" w:themeColor="text1"/>
          <w:lang w:val="es-ES"/>
        </w:rPr>
        <w:t xml:space="preserve"> No empecé lo anterior, la implementación de este plan también tuvo el efecto de desmotivar empleados que ya tenían un salario igual o mayor al que se estableció para su clasificación de puesto, pues no recibieron aumento alguno. Por otra parte, el Plan de Clasificación y Retribución no tomo en consideración la antigüedad como componente para ajuste. </w:t>
      </w:r>
    </w:p>
    <w:p w14:paraId="03D09AA3" w14:textId="77777777" w:rsidR="00AE3864" w:rsidRDefault="00AE3864" w:rsidP="00995EFA">
      <w:pPr>
        <w:shd w:val="clear" w:color="auto" w:fill="FFFFFF" w:themeFill="background1"/>
        <w:jc w:val="both"/>
        <w:rPr>
          <w:rFonts w:ascii="Book Antiqua" w:hAnsi="Book Antiqua"/>
          <w:color w:val="000000" w:themeColor="text1"/>
          <w:lang w:val="es-ES"/>
        </w:rPr>
      </w:pPr>
    </w:p>
    <w:p w14:paraId="0A4C8C65" w14:textId="02D80952" w:rsidR="00AE3864" w:rsidRDefault="00AE3864" w:rsidP="00995EFA">
      <w:pPr>
        <w:shd w:val="clear" w:color="auto" w:fill="FFFFFF" w:themeFill="background1"/>
        <w:jc w:val="both"/>
        <w:rPr>
          <w:rFonts w:ascii="Book Antiqua" w:hAnsi="Book Antiqua"/>
          <w:color w:val="000000" w:themeColor="text1"/>
          <w:lang w:val="es-ES"/>
        </w:rPr>
      </w:pPr>
      <w:r>
        <w:rPr>
          <w:rFonts w:ascii="Book Antiqua" w:hAnsi="Book Antiqua"/>
          <w:color w:val="000000" w:themeColor="text1"/>
          <w:lang w:val="es-ES"/>
        </w:rPr>
        <w:tab/>
        <w:t>Al culminar el pasado cuatrienio, la pasada directora de la OATRH, Lcda. Zahira Maldonado Molina, estableció que estaban en discusiones con la Junta para una nueva Guía de Administración Salarial, que estableciera como se evaluaría periódicamente los salarios para el servidor de carrera.</w:t>
      </w:r>
      <w:r>
        <w:rPr>
          <w:rStyle w:val="Refdenotaalpie"/>
          <w:rFonts w:ascii="Book Antiqua" w:hAnsi="Book Antiqua"/>
          <w:color w:val="000000" w:themeColor="text1"/>
          <w:lang w:val="es-ES"/>
        </w:rPr>
        <w:footnoteReference w:id="2"/>
      </w:r>
      <w:r>
        <w:rPr>
          <w:rFonts w:ascii="Book Antiqua" w:hAnsi="Book Antiqua"/>
          <w:color w:val="000000" w:themeColor="text1"/>
          <w:lang w:val="es-ES"/>
        </w:rPr>
        <w:t xml:space="preserve"> Según se reseñara en aquella ocasión, la Lcda. Molina expresó que estaban trabajando con un borrador de esas guías. </w:t>
      </w:r>
    </w:p>
    <w:p w14:paraId="1BB4DF97" w14:textId="77777777" w:rsidR="00AE3864" w:rsidRDefault="00AE3864" w:rsidP="00995EFA">
      <w:pPr>
        <w:shd w:val="clear" w:color="auto" w:fill="FFFFFF" w:themeFill="background1"/>
        <w:jc w:val="both"/>
        <w:rPr>
          <w:rFonts w:ascii="Book Antiqua" w:hAnsi="Book Antiqua"/>
          <w:color w:val="000000" w:themeColor="text1"/>
          <w:lang w:val="es-ES"/>
        </w:rPr>
      </w:pPr>
    </w:p>
    <w:p w14:paraId="6979799C" w14:textId="7F8FF2D5" w:rsidR="00AE3864" w:rsidRPr="00AE3864" w:rsidRDefault="00AE3864" w:rsidP="00995EFA">
      <w:pPr>
        <w:shd w:val="clear" w:color="auto" w:fill="FFFFFF" w:themeFill="background1"/>
        <w:jc w:val="both"/>
        <w:rPr>
          <w:rFonts w:ascii="Book Antiqua" w:hAnsi="Book Antiqua"/>
          <w:color w:val="000000" w:themeColor="text1"/>
          <w:lang w:val="es-ES"/>
        </w:rPr>
      </w:pPr>
      <w:r>
        <w:rPr>
          <w:rFonts w:ascii="Book Antiqua" w:hAnsi="Book Antiqua"/>
          <w:color w:val="000000" w:themeColor="text1"/>
          <w:lang w:val="es-ES"/>
        </w:rPr>
        <w:tab/>
        <w:t xml:space="preserve">Estas guías son sumamente importantes, ya que como mencionado previamente hubo una gran cantidad de empleados que no recibieron el ajuste. Según datos reseñados al momento de la implementación del Plan de Clasificación y Retribución se reclasificaron 22,000 empleados de carrera, pero solo 12,000 recibieron un impacto en su salario. Tomando en consideración que el universo de empleados de carrera, exceptuando las corporaciones públicas, asciende a 100,000 se puede identificar que la cantidad de empleados fue ínfima. Originalmente, se presupuestaron $99 millones para los ajustes salariales, pero al momento se desconocen los planes futuros para continuar con la implementación de las fases subsiguientes. </w:t>
      </w:r>
    </w:p>
    <w:p w14:paraId="241949DA" w14:textId="77777777" w:rsidR="00AE3864" w:rsidRDefault="00AE3864" w:rsidP="00995EFA">
      <w:pPr>
        <w:ind w:firstLine="360"/>
        <w:rPr>
          <w:rFonts w:ascii="Book Antiqua" w:hAnsi="Book Antiqua"/>
          <w:lang w:val="es-ES_tradnl"/>
        </w:rPr>
      </w:pPr>
    </w:p>
    <w:p w14:paraId="41B8F70C" w14:textId="1D3B4ABA" w:rsidR="00AE3864" w:rsidRDefault="00AE3864" w:rsidP="00995EFA">
      <w:pPr>
        <w:ind w:firstLine="360"/>
        <w:jc w:val="both"/>
        <w:rPr>
          <w:rFonts w:ascii="Book Antiqua" w:hAnsi="Book Antiqua"/>
          <w:lang w:val="es-ES_tradnl"/>
        </w:rPr>
      </w:pPr>
      <w:r>
        <w:rPr>
          <w:rFonts w:ascii="Book Antiqua" w:hAnsi="Book Antiqua"/>
          <w:lang w:val="es-ES_tradnl"/>
        </w:rPr>
        <w:tab/>
        <w:t xml:space="preserve">En ánimos de continuar la justicia salarial a los empleados públicos del Gobierno de Puerto Rico, resulta importante que esta Cámara de Representantes investigue el estado actual en que se encuentran las fases de implementación del Plan de Clasificación y Retribución, así como toda la información relacionada. Asimismo, resulta importante que se identifique la cantidad de fondos necesarios en el presupuesto del Gobierno de Puerto Rico para implementar fases futuras. Por otra parte, que se identifique cómo va el desarrollo de las Guías de Administración Salarial del Gobierno de Puerto Rico. </w:t>
      </w:r>
    </w:p>
    <w:p w14:paraId="023DE0F1" w14:textId="77777777" w:rsidR="00995EFA" w:rsidRPr="00AA7AC2" w:rsidRDefault="00995EFA" w:rsidP="00995EFA">
      <w:pPr>
        <w:ind w:firstLine="360"/>
        <w:jc w:val="both"/>
        <w:rPr>
          <w:rFonts w:ascii="Book Antiqua" w:hAnsi="Book Antiqua"/>
          <w:lang w:val="es-ES_tradnl"/>
        </w:rPr>
      </w:pPr>
    </w:p>
    <w:p w14:paraId="5B269CA6" w14:textId="77777777" w:rsidR="00061F79" w:rsidRDefault="00061F79" w:rsidP="00995EFA">
      <w:pPr>
        <w:rPr>
          <w:rFonts w:ascii="Book Antiqua" w:hAnsi="Book Antiqua"/>
          <w:i/>
          <w:lang w:val="es-ES_tradnl"/>
        </w:rPr>
      </w:pPr>
      <w:r>
        <w:rPr>
          <w:rFonts w:ascii="Book Antiqua" w:hAnsi="Book Antiqua"/>
          <w:i/>
          <w:lang w:val="es-ES_tradnl"/>
        </w:rPr>
        <w:t>RESUÉLVESE POR LA CÁMARA DE REPRESENTANTES DE PUERTO RICO:</w:t>
      </w:r>
    </w:p>
    <w:p w14:paraId="29C174F7" w14:textId="77777777" w:rsidR="00061F79" w:rsidRDefault="00061F79" w:rsidP="00995EFA">
      <w:pPr>
        <w:jc w:val="both"/>
        <w:rPr>
          <w:rFonts w:ascii="Book Antiqua" w:hAnsi="Book Antiqua"/>
          <w:lang w:val="es-ES_tradnl"/>
        </w:rPr>
      </w:pPr>
    </w:p>
    <w:p w14:paraId="73547893" w14:textId="77777777" w:rsidR="00995EFA" w:rsidRDefault="00995EFA" w:rsidP="00995EFA">
      <w:pPr>
        <w:jc w:val="both"/>
        <w:rPr>
          <w:rFonts w:ascii="Book Antiqua" w:hAnsi="Book Antiqua"/>
          <w:lang w:val="es-ES_tradnl"/>
        </w:rPr>
        <w:sectPr w:rsidR="00995EFA">
          <w:headerReference w:type="default" r:id="rId9"/>
          <w:type w:val="continuous"/>
          <w:pgSz w:w="12240" w:h="15840" w:code="1"/>
          <w:pgMar w:top="1440" w:right="1440" w:bottom="1440" w:left="1440" w:header="720" w:footer="720" w:gutter="0"/>
          <w:cols w:space="720"/>
          <w:titlePg/>
        </w:sectPr>
      </w:pPr>
    </w:p>
    <w:p w14:paraId="0A3D2308" w14:textId="657CDC40" w:rsidR="00AE3864" w:rsidRDefault="00D45911" w:rsidP="00995EFA">
      <w:pPr>
        <w:spacing w:line="480" w:lineRule="auto"/>
        <w:ind w:firstLine="360"/>
        <w:jc w:val="both"/>
        <w:rPr>
          <w:rFonts w:ascii="Book Antiqua" w:hAnsi="Book Antiqua"/>
          <w:lang w:val="es-ES_tradnl"/>
        </w:rPr>
      </w:pPr>
      <w:r>
        <w:rPr>
          <w:rFonts w:ascii="Book Antiqua" w:hAnsi="Book Antiqua"/>
          <w:lang w:val="es-ES_tradnl"/>
        </w:rPr>
        <w:tab/>
      </w:r>
      <w:r w:rsidR="00061F79">
        <w:rPr>
          <w:rFonts w:ascii="Book Antiqua" w:hAnsi="Book Antiqua"/>
          <w:lang w:val="es-ES_tradnl"/>
        </w:rPr>
        <w:t xml:space="preserve">Sección 1.- Se ordena </w:t>
      </w:r>
      <w:r w:rsidR="00353A67" w:rsidRPr="00353A67">
        <w:rPr>
          <w:rFonts w:ascii="Book Antiqua" w:hAnsi="Book Antiqua"/>
          <w:lang w:val="es-ES_tradnl"/>
        </w:rPr>
        <w:t xml:space="preserve">a la </w:t>
      </w:r>
      <w:r w:rsidR="00AE3864">
        <w:rPr>
          <w:rFonts w:ascii="Book Antiqua" w:hAnsi="Book Antiqua"/>
          <w:lang w:val="es-ES_tradnl"/>
        </w:rPr>
        <w:t xml:space="preserve">Comisión del Trabajo y Relaciones Laborales de la Cámara de Representantes del Estado Libre Asociado de Puerto Rico a realizar una investigación exhaustiva sobre la implementación por parte de la Oficina de </w:t>
      </w:r>
      <w:r w:rsidR="00AE3864">
        <w:rPr>
          <w:rFonts w:ascii="Book Antiqua" w:hAnsi="Book Antiqua"/>
          <w:lang w:val="es-ES_tradnl"/>
        </w:rPr>
        <w:lastRenderedPageBreak/>
        <w:t xml:space="preserve">Administración y Transformación de los Recursos Humanos de Puerto Rico (OATRH) del Plan de Clasificación y Retribución en las agencias del Gobierno de Puerto Rico; la planificación sobre implementación de etapas futuras del Plan de Clasificación y Retribución; los efectos causados; la disponibilidad e identificación de fondos para etapas posteriores; el desarrollo de las Guías de Administración Salarial y evaluar cualquier ajuste a alguna escala ya existente. </w:t>
      </w:r>
    </w:p>
    <w:p w14:paraId="27B93289" w14:textId="67A07B3C" w:rsidR="00AE3864" w:rsidRPr="00AE3864" w:rsidRDefault="00AE3864" w:rsidP="00AE3864">
      <w:pPr>
        <w:spacing w:line="480" w:lineRule="auto"/>
        <w:ind w:firstLine="720"/>
        <w:jc w:val="both"/>
        <w:rPr>
          <w:rFonts w:ascii="Book Antiqua" w:hAnsi="Book Antiqua"/>
          <w:szCs w:val="24"/>
          <w:lang w:val="es-ES_tradnl"/>
        </w:rPr>
      </w:pPr>
      <w:r w:rsidRPr="00072A94">
        <w:rPr>
          <w:rFonts w:ascii="Book Antiqua" w:hAnsi="Book Antiqua"/>
          <w:szCs w:val="24"/>
          <w:lang w:val="es-ES_tradnl"/>
        </w:rPr>
        <w:t xml:space="preserve">Sección </w:t>
      </w:r>
      <w:r>
        <w:rPr>
          <w:rFonts w:ascii="Book Antiqua" w:hAnsi="Book Antiqua"/>
          <w:szCs w:val="24"/>
          <w:lang w:val="es-ES"/>
        </w:rPr>
        <w:t>2</w:t>
      </w:r>
      <w:r w:rsidRPr="00072A94">
        <w:rPr>
          <w:rFonts w:ascii="Book Antiqua" w:hAnsi="Book Antiqua"/>
          <w:szCs w:val="24"/>
          <w:lang w:val="es-ES"/>
        </w:rPr>
        <w:t>.-</w:t>
      </w:r>
      <w:r w:rsidRPr="00072A94">
        <w:rPr>
          <w:rFonts w:ascii="Book Antiqua" w:hAnsi="Book Antiqua"/>
          <w:szCs w:val="24"/>
          <w:lang w:val="es-ES_tradnl"/>
        </w:rPr>
        <w:t>La Comisión rendirá un informe</w:t>
      </w:r>
      <w:r>
        <w:rPr>
          <w:rFonts w:ascii="Book Antiqua" w:hAnsi="Book Antiqua"/>
          <w:szCs w:val="24"/>
          <w:lang w:val="es-ES_tradnl"/>
        </w:rPr>
        <w:t xml:space="preserve"> final</w:t>
      </w:r>
      <w:r w:rsidRPr="00072A94">
        <w:rPr>
          <w:rFonts w:ascii="Book Antiqua" w:hAnsi="Book Antiqua"/>
          <w:szCs w:val="24"/>
          <w:lang w:val="es-ES_tradnl"/>
        </w:rPr>
        <w:t xml:space="preserve"> </w:t>
      </w:r>
      <w:r w:rsidRPr="00072A94">
        <w:rPr>
          <w:rFonts w:ascii="Book Antiqua" w:hAnsi="Book Antiqua"/>
          <w:szCs w:val="24"/>
          <w:lang w:val="es-PR"/>
        </w:rPr>
        <w:t xml:space="preserve">con sus hallazgos, conclusiones y recomendaciones, </w:t>
      </w:r>
      <w:r w:rsidRPr="00072A94">
        <w:rPr>
          <w:rFonts w:ascii="Book Antiqua" w:hAnsi="Book Antiqua"/>
          <w:szCs w:val="24"/>
          <w:lang w:val="es-ES_tradnl"/>
        </w:rPr>
        <w:t xml:space="preserve">en o antes de que culmine la </w:t>
      </w:r>
      <w:r>
        <w:rPr>
          <w:rFonts w:ascii="Book Antiqua" w:hAnsi="Book Antiqua"/>
          <w:szCs w:val="24"/>
          <w:lang w:val="es-ES_tradnl"/>
        </w:rPr>
        <w:t>4t</w:t>
      </w:r>
      <w:r w:rsidRPr="00072A94">
        <w:rPr>
          <w:rFonts w:ascii="Book Antiqua" w:hAnsi="Book Antiqua"/>
          <w:szCs w:val="24"/>
          <w:lang w:val="es-ES_tradnl"/>
        </w:rPr>
        <w:t xml:space="preserve">a. Sesión Ordinaria de la </w:t>
      </w:r>
      <w:r>
        <w:rPr>
          <w:rFonts w:ascii="Book Antiqua" w:hAnsi="Book Antiqua"/>
          <w:szCs w:val="24"/>
          <w:lang w:val="es-ES_tradnl"/>
        </w:rPr>
        <w:t>20m</w:t>
      </w:r>
      <w:r w:rsidRPr="00072A94">
        <w:rPr>
          <w:rFonts w:ascii="Book Antiqua" w:hAnsi="Book Antiqua"/>
          <w:szCs w:val="24"/>
          <w:lang w:val="es-ES_tradnl"/>
        </w:rPr>
        <w:t>a.</w:t>
      </w:r>
      <w:r>
        <w:rPr>
          <w:rFonts w:ascii="Book Antiqua" w:hAnsi="Book Antiqua"/>
          <w:szCs w:val="24"/>
          <w:lang w:val="es-ES_tradnl"/>
        </w:rPr>
        <w:t xml:space="preserve"> </w:t>
      </w:r>
      <w:r w:rsidRPr="00072A94">
        <w:rPr>
          <w:rFonts w:ascii="Book Antiqua" w:hAnsi="Book Antiqua"/>
          <w:szCs w:val="24"/>
          <w:lang w:val="es-ES_tradnl"/>
        </w:rPr>
        <w:t>Asamblea Legislativa.</w:t>
      </w:r>
    </w:p>
    <w:p w14:paraId="1E743435" w14:textId="4E70E281" w:rsidR="00061F79" w:rsidRPr="00B76B9B" w:rsidRDefault="00AE3864" w:rsidP="00353A67">
      <w:pPr>
        <w:spacing w:line="480" w:lineRule="auto"/>
        <w:ind w:firstLine="360"/>
        <w:jc w:val="both"/>
        <w:rPr>
          <w:rFonts w:ascii="Book Antiqua" w:hAnsi="Book Antiqua"/>
          <w:lang w:val="es-PR"/>
        </w:rPr>
      </w:pPr>
      <w:r>
        <w:rPr>
          <w:rFonts w:ascii="Book Antiqua" w:hAnsi="Book Antiqua"/>
          <w:lang w:val="es-PR"/>
        </w:rPr>
        <w:t xml:space="preserve">Sección 3.- </w:t>
      </w:r>
      <w:r w:rsidR="00061F79">
        <w:rPr>
          <w:rFonts w:ascii="Book Antiqua" w:hAnsi="Book Antiqua"/>
          <w:lang w:val="es-PR"/>
        </w:rPr>
        <w:t xml:space="preserve">Esta Resolución comenzará a regir inmediatamente después de su aprobación. </w:t>
      </w:r>
    </w:p>
    <w:sectPr w:rsidR="00061F79" w:rsidRPr="00B76B9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A7BA6" w14:textId="77777777" w:rsidR="00493D5C" w:rsidRDefault="00493D5C">
      <w:r>
        <w:separator/>
      </w:r>
    </w:p>
  </w:endnote>
  <w:endnote w:type="continuationSeparator" w:id="0">
    <w:p w14:paraId="671E9AE3" w14:textId="77777777" w:rsidR="00493D5C" w:rsidRDefault="0049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FD83C" w14:textId="77777777" w:rsidR="00493D5C" w:rsidRDefault="00493D5C">
      <w:r>
        <w:separator/>
      </w:r>
    </w:p>
  </w:footnote>
  <w:footnote w:type="continuationSeparator" w:id="0">
    <w:p w14:paraId="55E7746A" w14:textId="77777777" w:rsidR="00493D5C" w:rsidRDefault="00493D5C">
      <w:r>
        <w:continuationSeparator/>
      </w:r>
    </w:p>
  </w:footnote>
  <w:footnote w:id="1">
    <w:p w14:paraId="5E1CF0C9" w14:textId="6B479AA3" w:rsidR="00AE3864" w:rsidRDefault="00AE3864">
      <w:pPr>
        <w:pStyle w:val="Textonotapie"/>
      </w:pPr>
      <w:r>
        <w:rPr>
          <w:rStyle w:val="Refdenotaalpie"/>
        </w:rPr>
        <w:footnoteRef/>
      </w:r>
      <w:hyperlink r:id="rId1" w:history="1">
        <w:r w:rsidRPr="00207C26">
          <w:rPr>
            <w:rStyle w:val="Hipervnculo"/>
          </w:rPr>
          <w:t>https://oatrh.pr.gov/ServiciosProgramas/Area_Tecnico/Planes%20de%20retribucin/Reforma%20del%20Servicio%20Pu%CC%81blico.pdf</w:t>
        </w:r>
      </w:hyperlink>
      <w:r>
        <w:t xml:space="preserve"> </w:t>
      </w:r>
    </w:p>
  </w:footnote>
  <w:footnote w:id="2">
    <w:p w14:paraId="656A4521" w14:textId="4C3FCFE3" w:rsidR="00AE3864" w:rsidRDefault="00AE3864">
      <w:pPr>
        <w:pStyle w:val="Textonotapie"/>
      </w:pPr>
      <w:r>
        <w:rPr>
          <w:rStyle w:val="Refdenotaalpie"/>
        </w:rPr>
        <w:footnoteRef/>
      </w:r>
      <w:r>
        <w:t xml:space="preserve"> </w:t>
      </w:r>
      <w:hyperlink r:id="rId2" w:history="1">
        <w:r w:rsidRPr="00207C26">
          <w:rPr>
            <w:rStyle w:val="Hipervnculo"/>
          </w:rPr>
          <w:t>https://www.elvocero.com/gobierno/determinar-n-la-revisi-n-salarial-peri-dica-a-los-empleados-p-blicos/article_0e02af9a-c4a4-11ef-b169-c7a9440a2d02.html</w:t>
        </w:r>
      </w:hyperlink>
    </w:p>
    <w:p w14:paraId="5E2BDE25" w14:textId="77777777" w:rsidR="00AE3864" w:rsidRDefault="00AE386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45911">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C7D7F"/>
    <w:multiLevelType w:val="hybridMultilevel"/>
    <w:tmpl w:val="CF84960E"/>
    <w:lvl w:ilvl="0" w:tplc="3F90F05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2818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20BBB"/>
    <w:rsid w:val="000225B1"/>
    <w:rsid w:val="00034919"/>
    <w:rsid w:val="00056024"/>
    <w:rsid w:val="00061F79"/>
    <w:rsid w:val="00063080"/>
    <w:rsid w:val="00095AE1"/>
    <w:rsid w:val="000A09CF"/>
    <w:rsid w:val="000A6B6C"/>
    <w:rsid w:val="000B0DBB"/>
    <w:rsid w:val="00111E71"/>
    <w:rsid w:val="00127C6A"/>
    <w:rsid w:val="001363FE"/>
    <w:rsid w:val="00166532"/>
    <w:rsid w:val="0017132B"/>
    <w:rsid w:val="0017200C"/>
    <w:rsid w:val="001F4CA3"/>
    <w:rsid w:val="001F612A"/>
    <w:rsid w:val="00211396"/>
    <w:rsid w:val="00226AE6"/>
    <w:rsid w:val="00245B34"/>
    <w:rsid w:val="00263355"/>
    <w:rsid w:val="00273792"/>
    <w:rsid w:val="002D4AC8"/>
    <w:rsid w:val="00320D78"/>
    <w:rsid w:val="00320DE2"/>
    <w:rsid w:val="00326B1B"/>
    <w:rsid w:val="00333016"/>
    <w:rsid w:val="00350B6E"/>
    <w:rsid w:val="00353A67"/>
    <w:rsid w:val="00370447"/>
    <w:rsid w:val="00380FE5"/>
    <w:rsid w:val="003924DD"/>
    <w:rsid w:val="00394FCB"/>
    <w:rsid w:val="003963F4"/>
    <w:rsid w:val="00397494"/>
    <w:rsid w:val="003A13DC"/>
    <w:rsid w:val="003B5254"/>
    <w:rsid w:val="003B75A6"/>
    <w:rsid w:val="003C5862"/>
    <w:rsid w:val="00402FB7"/>
    <w:rsid w:val="004061CA"/>
    <w:rsid w:val="00415689"/>
    <w:rsid w:val="004440CB"/>
    <w:rsid w:val="004713D2"/>
    <w:rsid w:val="00493D5C"/>
    <w:rsid w:val="004B58DF"/>
    <w:rsid w:val="004E6220"/>
    <w:rsid w:val="00503FC6"/>
    <w:rsid w:val="00521639"/>
    <w:rsid w:val="00532BB7"/>
    <w:rsid w:val="005332E4"/>
    <w:rsid w:val="0053550C"/>
    <w:rsid w:val="00536DA4"/>
    <w:rsid w:val="00555018"/>
    <w:rsid w:val="005624A6"/>
    <w:rsid w:val="005723DC"/>
    <w:rsid w:val="005F671E"/>
    <w:rsid w:val="006210DC"/>
    <w:rsid w:val="0064349D"/>
    <w:rsid w:val="00653EED"/>
    <w:rsid w:val="006718B9"/>
    <w:rsid w:val="00685549"/>
    <w:rsid w:val="00695419"/>
    <w:rsid w:val="006B7365"/>
    <w:rsid w:val="006C2D81"/>
    <w:rsid w:val="006C6429"/>
    <w:rsid w:val="006C7DF8"/>
    <w:rsid w:val="006D6D70"/>
    <w:rsid w:val="00750FC8"/>
    <w:rsid w:val="007533D0"/>
    <w:rsid w:val="00755069"/>
    <w:rsid w:val="00793716"/>
    <w:rsid w:val="007B0660"/>
    <w:rsid w:val="007E3868"/>
    <w:rsid w:val="0080403D"/>
    <w:rsid w:val="00820C41"/>
    <w:rsid w:val="0084799B"/>
    <w:rsid w:val="00850256"/>
    <w:rsid w:val="008606E4"/>
    <w:rsid w:val="0093512A"/>
    <w:rsid w:val="0093686F"/>
    <w:rsid w:val="00942FD4"/>
    <w:rsid w:val="00951997"/>
    <w:rsid w:val="00990352"/>
    <w:rsid w:val="0099074E"/>
    <w:rsid w:val="00995EFA"/>
    <w:rsid w:val="00A03405"/>
    <w:rsid w:val="00A1528A"/>
    <w:rsid w:val="00A33918"/>
    <w:rsid w:val="00A7629F"/>
    <w:rsid w:val="00A94726"/>
    <w:rsid w:val="00AE3864"/>
    <w:rsid w:val="00AF0CEE"/>
    <w:rsid w:val="00AF5B9E"/>
    <w:rsid w:val="00B16D34"/>
    <w:rsid w:val="00B23A99"/>
    <w:rsid w:val="00B667AD"/>
    <w:rsid w:val="00B76B9B"/>
    <w:rsid w:val="00B84C38"/>
    <w:rsid w:val="00B86C00"/>
    <w:rsid w:val="00B9223D"/>
    <w:rsid w:val="00B947F6"/>
    <w:rsid w:val="00BF16AA"/>
    <w:rsid w:val="00C13F94"/>
    <w:rsid w:val="00C2380B"/>
    <w:rsid w:val="00C354B8"/>
    <w:rsid w:val="00C52517"/>
    <w:rsid w:val="00C60921"/>
    <w:rsid w:val="00C62936"/>
    <w:rsid w:val="00C653F2"/>
    <w:rsid w:val="00C679E6"/>
    <w:rsid w:val="00C70158"/>
    <w:rsid w:val="00C8337E"/>
    <w:rsid w:val="00C908F9"/>
    <w:rsid w:val="00CA0917"/>
    <w:rsid w:val="00CA1099"/>
    <w:rsid w:val="00CE53B4"/>
    <w:rsid w:val="00D25393"/>
    <w:rsid w:val="00D370AE"/>
    <w:rsid w:val="00D417C2"/>
    <w:rsid w:val="00D45911"/>
    <w:rsid w:val="00D60936"/>
    <w:rsid w:val="00D6369B"/>
    <w:rsid w:val="00D709EB"/>
    <w:rsid w:val="00D74714"/>
    <w:rsid w:val="00D82F3F"/>
    <w:rsid w:val="00D911F4"/>
    <w:rsid w:val="00D921C6"/>
    <w:rsid w:val="00D958C2"/>
    <w:rsid w:val="00DC74C3"/>
    <w:rsid w:val="00E04AB5"/>
    <w:rsid w:val="00E50EEA"/>
    <w:rsid w:val="00E52F58"/>
    <w:rsid w:val="00EC26AA"/>
    <w:rsid w:val="00ED7A53"/>
    <w:rsid w:val="00EE4273"/>
    <w:rsid w:val="00F02004"/>
    <w:rsid w:val="00F042CB"/>
    <w:rsid w:val="00F2632A"/>
    <w:rsid w:val="00F27347"/>
    <w:rsid w:val="00F3172B"/>
    <w:rsid w:val="00F44D50"/>
    <w:rsid w:val="00F60A20"/>
    <w:rsid w:val="00F97CA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styleId="Refdenotaalpie">
    <w:name w:val="footnote reference"/>
    <w:basedOn w:val="Fuentedeprrafopredeter"/>
    <w:uiPriority w:val="99"/>
    <w:semiHidden/>
    <w:unhideWhenUsed/>
    <w:rsid w:val="00333016"/>
    <w:rPr>
      <w:vertAlign w:val="superscript"/>
    </w:rPr>
  </w:style>
  <w:style w:type="paragraph" w:styleId="Textonotapie">
    <w:name w:val="footnote text"/>
    <w:basedOn w:val="Normal"/>
    <w:link w:val="TextonotapieCar"/>
    <w:uiPriority w:val="99"/>
    <w:semiHidden/>
    <w:unhideWhenUsed/>
    <w:rsid w:val="00AE3864"/>
    <w:rPr>
      <w:sz w:val="20"/>
    </w:rPr>
  </w:style>
  <w:style w:type="character" w:customStyle="1" w:styleId="TextonotapieCar">
    <w:name w:val="Texto nota pie Car"/>
    <w:basedOn w:val="Fuentedeprrafopredeter"/>
    <w:link w:val="Textonotapie"/>
    <w:uiPriority w:val="99"/>
    <w:semiHidden/>
    <w:rsid w:val="00AE3864"/>
  </w:style>
  <w:style w:type="character" w:styleId="Hipervnculo">
    <w:name w:val="Hyperlink"/>
    <w:basedOn w:val="Fuentedeprrafopredeter"/>
    <w:uiPriority w:val="99"/>
    <w:unhideWhenUsed/>
    <w:rsid w:val="00AE3864"/>
    <w:rPr>
      <w:color w:val="0563C1" w:themeColor="hyperlink"/>
      <w:u w:val="single"/>
    </w:rPr>
  </w:style>
  <w:style w:type="character" w:styleId="Mencinsinresolver">
    <w:name w:val="Unresolved Mention"/>
    <w:basedOn w:val="Fuentedeprrafopredeter"/>
    <w:uiPriority w:val="99"/>
    <w:semiHidden/>
    <w:unhideWhenUsed/>
    <w:rsid w:val="00AE3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elvocero.com/gobierno/determinar-n-la-revisi-n-salarial-peri-dica-a-los-empleados-p-blicos/article_0e02af9a-c4a4-11ef-b169-c7a9440a2d02.html" TargetMode="External"/><Relationship Id="rId1" Type="http://schemas.openxmlformats.org/officeDocument/2006/relationships/hyperlink" Target="https://oatrh.pr.gov/ServiciosProgramas/Area_Tecnico/Planes%20de%20retribucin/Reforma%20del%20Servicio%20Pu%CC%81blic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17A39609-0D73-4D2D-873F-7070807E4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744</Words>
  <Characters>4245</Characters>
  <Application>Microsoft Office Word</Application>
  <DocSecurity>0</DocSecurity>
  <Lines>88</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4</cp:revision>
  <cp:lastPrinted>2022-02-08T18:04:00Z</cp:lastPrinted>
  <dcterms:created xsi:type="dcterms:W3CDTF">2026-02-09T18:41:00Z</dcterms:created>
  <dcterms:modified xsi:type="dcterms:W3CDTF">2026-02-10T16:38:00Z</dcterms:modified>
</cp:coreProperties>
</file>