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5906F6F1"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DB2C23">
        <w:rPr>
          <w:rFonts w:ascii="Book Antiqua" w:hAnsi="Book Antiqua"/>
          <w:lang w:val="es-ES_tradnl"/>
        </w:rPr>
        <w:t>3</w:t>
      </w:r>
      <w:r w:rsidR="00DB2C23">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B95434" w:rsidRDefault="006705DD" w:rsidP="006705DD">
      <w:pPr>
        <w:jc w:val="center"/>
        <w:rPr>
          <w:rFonts w:ascii="Book Antiqua" w:hAnsi="Book Antiqua"/>
          <w:i/>
          <w:sz w:val="22"/>
          <w:szCs w:val="22"/>
          <w:lang w:val="es-ES_tradnl"/>
        </w:rPr>
      </w:pPr>
    </w:p>
    <w:p w14:paraId="5E47E821" w14:textId="439E0945" w:rsidR="006705DD" w:rsidRPr="00B95434" w:rsidRDefault="006705DD" w:rsidP="006705DD">
      <w:pPr>
        <w:jc w:val="center"/>
        <w:rPr>
          <w:rFonts w:ascii="Book Antiqua" w:hAnsi="Book Antiqua"/>
          <w:b/>
          <w:sz w:val="52"/>
          <w:szCs w:val="52"/>
          <w:lang w:val="es-ES_tradnl"/>
        </w:rPr>
      </w:pPr>
      <w:r w:rsidRPr="00B95434">
        <w:rPr>
          <w:rFonts w:ascii="Book Antiqua" w:hAnsi="Book Antiqua"/>
          <w:b/>
          <w:sz w:val="52"/>
          <w:szCs w:val="52"/>
          <w:lang w:val="es-ES_tradnl"/>
        </w:rPr>
        <w:t xml:space="preserve">P. de la C. </w:t>
      </w:r>
      <w:r w:rsidR="00FC47E3">
        <w:rPr>
          <w:rFonts w:ascii="Book Antiqua" w:hAnsi="Book Antiqua"/>
          <w:b/>
          <w:sz w:val="52"/>
          <w:szCs w:val="52"/>
          <w:lang w:val="es-ES_tradnl"/>
        </w:rPr>
        <w:t>1122</w:t>
      </w:r>
    </w:p>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55D1ADD3" w:rsidR="006705DD" w:rsidRPr="00B95434" w:rsidRDefault="00056F7B" w:rsidP="006705DD">
      <w:pPr>
        <w:jc w:val="center"/>
        <w:rPr>
          <w:rFonts w:ascii="Book Antiqua" w:hAnsi="Book Antiqua"/>
          <w:szCs w:val="24"/>
          <w:lang w:val="es-ES_tradnl"/>
        </w:rPr>
      </w:pPr>
      <w:r>
        <w:rPr>
          <w:rFonts w:ascii="Book Antiqua" w:hAnsi="Book Antiqua"/>
          <w:szCs w:val="24"/>
          <w:lang w:val="es-ES_tradnl"/>
        </w:rPr>
        <w:t xml:space="preserve">24 </w:t>
      </w:r>
      <w:r w:rsidR="006705DD" w:rsidRPr="00FC11CC">
        <w:rPr>
          <w:rFonts w:ascii="Book Antiqua" w:hAnsi="Book Antiqua"/>
          <w:szCs w:val="24"/>
          <w:lang w:val="es-ES_tradnl"/>
        </w:rPr>
        <w:t xml:space="preserve"> de</w:t>
      </w:r>
      <w:r w:rsidR="00022BDE">
        <w:rPr>
          <w:rFonts w:ascii="Book Antiqua" w:hAnsi="Book Antiqua"/>
          <w:szCs w:val="24"/>
          <w:lang w:val="es-ES_tradnl"/>
        </w:rPr>
        <w:t xml:space="preserve"> junio </w:t>
      </w:r>
      <w:r w:rsidR="005E345A">
        <w:rPr>
          <w:rFonts w:ascii="Book Antiqua" w:hAnsi="Book Antiqua"/>
          <w:szCs w:val="24"/>
          <w:lang w:val="es-ES_tradnl"/>
        </w:rPr>
        <w:t>de 202</w:t>
      </w:r>
      <w:r w:rsidR="00121062">
        <w:rPr>
          <w:rFonts w:ascii="Book Antiqua" w:hAnsi="Book Antiqua"/>
          <w:szCs w:val="24"/>
          <w:lang w:val="es-ES_tradnl"/>
        </w:rPr>
        <w:t>6</w:t>
      </w:r>
    </w:p>
    <w:p w14:paraId="442DE431" w14:textId="77777777" w:rsidR="006705DD" w:rsidRPr="00B95434" w:rsidRDefault="006705DD" w:rsidP="006705DD">
      <w:pPr>
        <w:jc w:val="center"/>
        <w:rPr>
          <w:rFonts w:ascii="Book Antiqua" w:hAnsi="Book Antiqua"/>
          <w:sz w:val="20"/>
          <w:lang w:val="es-ES_tradnl"/>
        </w:rPr>
      </w:pP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5FC667D2" w:rsidR="0087700A" w:rsidRDefault="00AC0B45" w:rsidP="00AC0B45">
      <w:pPr>
        <w:jc w:val="both"/>
        <w:rPr>
          <w:rFonts w:ascii="Book Antiqua" w:hAnsi="Book Antiqua" w:cs="Arial"/>
          <w:lang w:val="es-ES"/>
        </w:rPr>
      </w:pPr>
      <w:r w:rsidRPr="00AC0B45">
        <w:rPr>
          <w:rFonts w:ascii="Book Antiqua" w:hAnsi="Book Antiqua" w:cs="Arial"/>
          <w:lang w:val="es-ES"/>
        </w:rPr>
        <w:t xml:space="preserve">La Comisión de Asuntos Municipales de la Cámara de Representantes </w:t>
      </w:r>
      <w:r w:rsidR="00FE1861">
        <w:rPr>
          <w:rFonts w:ascii="Book Antiqua" w:hAnsi="Book Antiqua" w:cs="Arial"/>
          <w:lang w:val="es-ES"/>
        </w:rPr>
        <w:t>de Puerto Rico</w:t>
      </w:r>
      <w:r w:rsidRPr="00AC0B45">
        <w:rPr>
          <w:rFonts w:ascii="Book Antiqua" w:hAnsi="Book Antiqua" w:cs="Arial"/>
          <w:lang w:val="es-ES"/>
        </w:rPr>
        <w:t>, previo estudio y consideración del</w:t>
      </w:r>
      <w:r w:rsidRPr="00AC0B45">
        <w:rPr>
          <w:rFonts w:ascii="Book Antiqua" w:hAnsi="Book Antiqua" w:cs="Arial"/>
          <w:b/>
          <w:bCs/>
          <w:lang w:val="es-ES"/>
        </w:rPr>
        <w:t xml:space="preserve"> </w:t>
      </w:r>
      <w:r w:rsidRPr="00AC0B45">
        <w:rPr>
          <w:rFonts w:ascii="Book Antiqua" w:hAnsi="Book Antiqua" w:cs="Arial"/>
          <w:lang w:val="es-ES"/>
        </w:rPr>
        <w:t xml:space="preserve">Proyecto de la Cámara </w:t>
      </w:r>
      <w:r w:rsidR="00FC47E3">
        <w:rPr>
          <w:rFonts w:ascii="Book Antiqua" w:hAnsi="Book Antiqua" w:cs="Arial"/>
          <w:lang w:val="es-ES"/>
        </w:rPr>
        <w:t>1122</w:t>
      </w:r>
      <w:r w:rsidR="0087700A">
        <w:rPr>
          <w:rFonts w:ascii="Book Antiqua" w:hAnsi="Book Antiqua" w:cs="Arial"/>
          <w:lang w:val="es-ES"/>
        </w:rPr>
        <w:t xml:space="preserve">, tiene el honor de recomendar a este Alto Cuerpo su </w:t>
      </w:r>
      <w:r w:rsidR="00A927E0">
        <w:rPr>
          <w:rFonts w:ascii="Book Antiqua" w:hAnsi="Book Antiqua" w:cs="Arial"/>
          <w:lang w:val="es-ES"/>
        </w:rPr>
        <w:t>aprobación,</w:t>
      </w:r>
      <w:r w:rsidR="00BC7B4A">
        <w:rPr>
          <w:rFonts w:ascii="Book Antiqua" w:hAnsi="Book Antiqua" w:cs="Arial"/>
          <w:lang w:val="es-ES"/>
        </w:rPr>
        <w:t xml:space="preserve"> </w:t>
      </w:r>
      <w:r w:rsidR="003A4974" w:rsidRPr="003A4974">
        <w:rPr>
          <w:rFonts w:ascii="Book Antiqua" w:hAnsi="Book Antiqua" w:cs="Arial"/>
          <w:lang w:val="es-ES"/>
        </w:rPr>
        <w:t xml:space="preserve">con las enmiendas que se incluyen en el </w:t>
      </w:r>
      <w:proofErr w:type="spellStart"/>
      <w:r w:rsidR="003A4974" w:rsidRPr="003A4974">
        <w:rPr>
          <w:rFonts w:ascii="Book Antiqua" w:hAnsi="Book Antiqua" w:cs="Arial"/>
          <w:lang w:val="es-ES"/>
        </w:rPr>
        <w:t>entirillado</w:t>
      </w:r>
      <w:proofErr w:type="spellEnd"/>
      <w:r w:rsidR="003A4974" w:rsidRPr="003A4974">
        <w:rPr>
          <w:rFonts w:ascii="Book Antiqua" w:hAnsi="Book Antiqua" w:cs="Arial"/>
          <w:lang w:val="es-ES"/>
        </w:rPr>
        <w:t xml:space="preserve"> electrónico que acompaña este informe. </w:t>
      </w:r>
      <w:r w:rsidR="00BC7B4A">
        <w:rPr>
          <w:rFonts w:ascii="Book Antiqua" w:hAnsi="Book Antiqua" w:cs="Arial"/>
          <w:lang w:val="es-ES"/>
        </w:rPr>
        <w:t xml:space="preserve"> </w:t>
      </w:r>
    </w:p>
    <w:p w14:paraId="0C8A8066" w14:textId="77777777" w:rsidR="00276C3E" w:rsidRDefault="00276C3E" w:rsidP="002E0754">
      <w:pPr>
        <w:rPr>
          <w:rFonts w:ascii="Book Antiqua" w:hAnsi="Book Antiqua"/>
          <w:b/>
          <w:i/>
          <w:smallCaps/>
          <w:szCs w:val="24"/>
          <w:lang w:val="es-ES_tradnl"/>
        </w:rPr>
      </w:pPr>
      <w:bookmarkStart w:id="0" w:name="_Hlk189811370"/>
    </w:p>
    <w:p w14:paraId="2458AB3E" w14:textId="5FAD0AF7" w:rsidR="00AC0B45" w:rsidRDefault="00AC0B45" w:rsidP="0087700A">
      <w:pPr>
        <w:jc w:val="center"/>
        <w:rPr>
          <w:rFonts w:ascii="Book Antiqua" w:hAnsi="Book Antiqua"/>
          <w:b/>
          <w:i/>
          <w:smallCaps/>
          <w:szCs w:val="24"/>
          <w:lang w:val="es-ES_tradnl"/>
        </w:rPr>
      </w:pPr>
      <w:r w:rsidRPr="00760D4D">
        <w:rPr>
          <w:rFonts w:ascii="Book Antiqua" w:hAnsi="Book Antiqua"/>
          <w:b/>
          <w:i/>
          <w:smallCaps/>
          <w:szCs w:val="24"/>
          <w:lang w:val="es-ES_tradnl"/>
        </w:rPr>
        <w:t>Alcance de la Medida</w:t>
      </w:r>
    </w:p>
    <w:bookmarkEnd w:id="0"/>
    <w:p w14:paraId="68D9994E" w14:textId="77777777" w:rsidR="00AC0B45" w:rsidRPr="00AC0B45" w:rsidRDefault="00AC0B45" w:rsidP="002E0754">
      <w:pPr>
        <w:rPr>
          <w:rFonts w:ascii="Book Antiqua" w:hAnsi="Book Antiqua" w:cs="Arial"/>
          <w:lang w:val="es-ES"/>
        </w:rPr>
      </w:pPr>
    </w:p>
    <w:p w14:paraId="3F6D663B" w14:textId="304EC068" w:rsidR="00A76B51" w:rsidRPr="009C764D" w:rsidRDefault="00AC0B45" w:rsidP="00A76B51">
      <w:pPr>
        <w:autoSpaceDE w:val="0"/>
        <w:autoSpaceDN w:val="0"/>
        <w:adjustRightInd w:val="0"/>
        <w:jc w:val="both"/>
        <w:rPr>
          <w:rFonts w:ascii="Book Antiqua" w:hAnsi="Book Antiqua"/>
          <w:snapToGrid w:val="0"/>
          <w:szCs w:val="24"/>
          <w:lang w:val="es-ES"/>
        </w:rPr>
      </w:pPr>
      <w:r w:rsidRPr="00AC0B45">
        <w:rPr>
          <w:rFonts w:ascii="Book Antiqua" w:hAnsi="Book Antiqua" w:cs="Arial"/>
          <w:lang w:val="es-ES"/>
        </w:rPr>
        <w:t xml:space="preserve">El Proyecto de la Cámara </w:t>
      </w:r>
      <w:r w:rsidR="00FC47E3">
        <w:rPr>
          <w:rFonts w:ascii="Book Antiqua" w:hAnsi="Book Antiqua" w:cs="Arial"/>
          <w:lang w:val="es-ES"/>
        </w:rPr>
        <w:t>1122</w:t>
      </w:r>
      <w:r w:rsidR="00A927E0">
        <w:rPr>
          <w:rFonts w:ascii="Book Antiqua" w:hAnsi="Book Antiqua" w:cs="Arial"/>
          <w:lang w:val="es-ES"/>
        </w:rPr>
        <w:t>,</w:t>
      </w:r>
      <w:r w:rsidRPr="00AC0B45">
        <w:rPr>
          <w:rFonts w:ascii="Book Antiqua" w:hAnsi="Book Antiqua" w:cs="Arial"/>
          <w:lang w:val="es-ES"/>
        </w:rPr>
        <w:t xml:space="preserve"> </w:t>
      </w:r>
      <w:proofErr w:type="spellStart"/>
      <w:r w:rsidRPr="00AC0B45">
        <w:rPr>
          <w:rFonts w:ascii="Book Antiqua" w:hAnsi="Book Antiqua" w:cs="Arial"/>
          <w:lang w:val="es-ES"/>
        </w:rPr>
        <w:t>seg</w:t>
      </w:r>
      <w:proofErr w:type="spellEnd"/>
      <w:r>
        <w:rPr>
          <w:rFonts w:ascii="Book Antiqua" w:hAnsi="Book Antiqua"/>
          <w:szCs w:val="24"/>
          <w:lang w:val="es-ES_tradnl"/>
        </w:rPr>
        <w:t>ú</w:t>
      </w:r>
      <w:r w:rsidRPr="00AC0B45">
        <w:rPr>
          <w:rFonts w:ascii="Book Antiqua" w:hAnsi="Book Antiqua" w:cs="Arial"/>
          <w:lang w:val="es-ES"/>
        </w:rPr>
        <w:t>n radicado,</w:t>
      </w:r>
      <w:r w:rsidR="000412D4">
        <w:rPr>
          <w:rFonts w:ascii="Book Antiqua" w:hAnsi="Book Antiqua" w:cs="Arial"/>
          <w:lang w:val="es-ES"/>
        </w:rPr>
        <w:t xml:space="preserve"> busca</w:t>
      </w:r>
      <w:r w:rsidR="005661BC" w:rsidRPr="005661BC">
        <w:rPr>
          <w:rFonts w:ascii="Book Antiqua" w:hAnsi="Book Antiqua" w:cs="Arial"/>
          <w:lang w:val="es-ES"/>
        </w:rPr>
        <w:t xml:space="preserve"> </w:t>
      </w:r>
      <w:r w:rsidR="00FC47E3" w:rsidRPr="00FC47E3">
        <w:rPr>
          <w:rFonts w:ascii="Book Antiqua" w:hAnsi="Book Antiqua" w:cs="Arial"/>
          <w:lang w:val="es-ES"/>
        </w:rPr>
        <w:t>enmendar el inciso (w) del Artículo 7.003; y el Artículo 7.085 del Capítulo I del Libro VII de la Ley Núm. 107-2020, según enmendada, conocida como “Código Municipal de Puerto Rico”, a fin de requerir dentro de los deberes consignados al Centro de Recaudación de Ingresos Municipales (CRIM), el de deber de que semestralmente dispongan digitalmente de un inventario de las propiedades que fueron embargadas, su ubicación, estado y jurisdicción municipal; y establecer como política pública para las propiedades inmuebles embargadas y transferidas a los municipios gratuitamente, la promoción de vivienda asequible, social, comunitaria y proyectos de cooperativas de vivienda dentro de sus jurisdicciones,</w:t>
      </w:r>
    </w:p>
    <w:p w14:paraId="192467E6" w14:textId="77777777" w:rsidR="003A4974" w:rsidRDefault="003A4974" w:rsidP="003A4974">
      <w:pPr>
        <w:jc w:val="both"/>
        <w:rPr>
          <w:rFonts w:ascii="Book Antiqua" w:hAnsi="Book Antiqua" w:cs="Arial"/>
          <w:lang w:val="es-ES"/>
        </w:rPr>
      </w:pPr>
    </w:p>
    <w:p w14:paraId="10F15DE4" w14:textId="360B07EE" w:rsidR="00241C16" w:rsidRDefault="00182ED3" w:rsidP="005709F1">
      <w:pPr>
        <w:suppressLineNumbers/>
        <w:jc w:val="both"/>
        <w:rPr>
          <w:rFonts w:ascii="Book Antiqua" w:hAnsi="Book Antiqua" w:cs="Noto Serif"/>
          <w:shd w:val="clear" w:color="auto" w:fill="FFFFFF"/>
          <w:lang w:val="es-ES_tradnl"/>
        </w:rPr>
      </w:pPr>
      <w:r w:rsidRPr="000245A3">
        <w:rPr>
          <w:rFonts w:ascii="Book Antiqua" w:hAnsi="Book Antiqua" w:cs="Arial"/>
          <w:lang w:val="es-ES"/>
        </w:rPr>
        <w:t>Según establece la Exposición de Motivos</w:t>
      </w:r>
      <w:r w:rsidR="00A927E0">
        <w:rPr>
          <w:rFonts w:ascii="Book Antiqua" w:hAnsi="Book Antiqua" w:cs="Arial"/>
          <w:lang w:val="es-ES"/>
        </w:rPr>
        <w:t>,</w:t>
      </w:r>
      <w:r w:rsidRPr="000245A3">
        <w:rPr>
          <w:rFonts w:ascii="Book Antiqua" w:hAnsi="Book Antiqua" w:cs="Arial"/>
          <w:lang w:val="es-ES"/>
        </w:rPr>
        <w:t xml:space="preserve"> </w:t>
      </w:r>
      <w:r w:rsidR="00241C16">
        <w:rPr>
          <w:rFonts w:ascii="Book Antiqua" w:hAnsi="Book Antiqua" w:cs="Noto Serif"/>
          <w:shd w:val="clear" w:color="auto" w:fill="FFFFFF"/>
          <w:lang w:val="es-ES_tradnl"/>
        </w:rPr>
        <w:t xml:space="preserve">la Carta de Derechos de la Constitución de Puerto Rico, particularmente en la Sección 18 del Artículo II, se faculta a la Asamblea Legislativa a elaborar leyes dirigidas a atender el bienestar de los puertorriqueños. Esta autorización se extiende a elementos de seguridad pública y a los servicios básicos que incluyen la vivienda. En aras de atender gubernamentalmente este asunto, se estableció el Departamento de la Vivienda en virtud de </w:t>
      </w:r>
      <w:r w:rsidR="00241C16" w:rsidRPr="005476CB">
        <w:rPr>
          <w:rFonts w:ascii="Book Antiqua" w:hAnsi="Book Antiqua" w:cs="Noto Serif"/>
          <w:shd w:val="clear" w:color="auto" w:fill="FFFFFF"/>
          <w:lang w:val="es-ES_tradnl"/>
        </w:rPr>
        <w:t>la</w:t>
      </w:r>
      <w:r w:rsidR="00241C16" w:rsidRPr="005476CB">
        <w:rPr>
          <w:rFonts w:ascii="Book Antiqua" w:eastAsia="Times New Roman" w:hAnsi="Book Antiqua"/>
          <w:lang w:val="es-PR"/>
        </w:rPr>
        <w:t xml:space="preserve"> Ley Núm. 97 de 10 de junio de 1972, según enmendada, conocida como “Ley Orgánica del Departamento de la Vivienda”, </w:t>
      </w:r>
      <w:r w:rsidR="00241C16" w:rsidRPr="00241C16">
        <w:rPr>
          <w:rFonts w:ascii="Book Antiqua" w:hAnsi="Book Antiqua" w:cs="Noto Serif"/>
          <w:shd w:val="clear" w:color="auto" w:fill="FFFFFF"/>
          <w:lang w:val="es-ES_tradnl"/>
        </w:rPr>
        <w:t xml:space="preserve">agencia </w:t>
      </w:r>
      <w:r w:rsidR="00241C16" w:rsidRPr="00241C16">
        <w:rPr>
          <w:rFonts w:ascii="Book Antiqua" w:hAnsi="Book Antiqua" w:cs="Noto Serif"/>
          <w:shd w:val="clear" w:color="auto" w:fill="FFFFFF"/>
          <w:lang w:val="es-ES_tradnl"/>
        </w:rPr>
        <w:lastRenderedPageBreak/>
        <w:t>que,</w:t>
      </w:r>
      <w:r w:rsidR="00A93BD4">
        <w:rPr>
          <w:rFonts w:ascii="Book Antiqua" w:hAnsi="Book Antiqua" w:cs="Noto Serif"/>
          <w:shd w:val="clear" w:color="auto" w:fill="FFFFFF"/>
          <w:lang w:val="es-ES_tradnl"/>
        </w:rPr>
        <w:t xml:space="preserve"> </w:t>
      </w:r>
      <w:r w:rsidR="00241C16">
        <w:rPr>
          <w:rFonts w:ascii="Book Antiqua" w:hAnsi="Book Antiqua" w:cs="Noto Serif"/>
          <w:shd w:val="clear" w:color="auto" w:fill="FFFFFF"/>
          <w:lang w:val="es-ES_tradnl"/>
        </w:rPr>
        <w:t>tiene encomendado el diseño de la política pública dirigida a establecer su desarrollo a nivel comunitario.</w:t>
      </w:r>
    </w:p>
    <w:p w14:paraId="16ABC008" w14:textId="77777777" w:rsidR="00241C16" w:rsidRDefault="00241C16" w:rsidP="00241C16">
      <w:pPr>
        <w:suppressLineNumbers/>
        <w:ind w:firstLine="360"/>
        <w:jc w:val="both"/>
        <w:rPr>
          <w:rFonts w:ascii="Book Antiqua" w:eastAsia="Times New Roman" w:hAnsi="Book Antiqua"/>
          <w:lang w:val="es-ES_tradnl"/>
        </w:rPr>
      </w:pPr>
    </w:p>
    <w:p w14:paraId="55F2C254" w14:textId="77777777" w:rsidR="00241C16" w:rsidRDefault="00241C16" w:rsidP="005709F1">
      <w:pPr>
        <w:suppressLineNumbers/>
        <w:jc w:val="both"/>
        <w:rPr>
          <w:rFonts w:ascii="Book Antiqua" w:eastAsia="Times New Roman" w:hAnsi="Book Antiqua"/>
          <w:lang w:val="es-ES_tradnl"/>
        </w:rPr>
      </w:pPr>
      <w:r>
        <w:rPr>
          <w:rFonts w:ascii="Book Antiqua" w:eastAsia="Times New Roman" w:hAnsi="Book Antiqua"/>
          <w:lang w:val="es-ES_tradnl"/>
        </w:rPr>
        <w:t xml:space="preserve">De otra parte, en el ámbito municipal, la Ley Núm. 107-2020, según enmendada, conocida como “Código Municipal de Puerto Rico”, incorpora un mecanismo para atender la problemática de los estorbos públicos y viviendas abandonadas. Asimismo, el Libro VII del Código Municipal, relacionado con la Hacienda Municipal y el Centro de Recaudación de Ingresos Municipales (CRIM), </w:t>
      </w:r>
      <w:r w:rsidRPr="00F40C08">
        <w:rPr>
          <w:rFonts w:ascii="Book Antiqua" w:eastAsia="Times New Roman" w:hAnsi="Book Antiqua"/>
          <w:lang w:val="es-ES_tradnl"/>
        </w:rPr>
        <w:t>tiene</w:t>
      </w:r>
      <w:r>
        <w:rPr>
          <w:rFonts w:ascii="Book Antiqua" w:eastAsia="Times New Roman" w:hAnsi="Book Antiqua"/>
          <w:lang w:val="es-ES_tradnl"/>
        </w:rPr>
        <w:t xml:space="preserve"> entre sus propósitos recaudar la contribución sobre la propiedad. Para ello, el estatuto establece los procesos de embargo de bienes muebles e inmuebles y autoriza al CRIM adquirir dichos bienes, cuyos títulos serán transferidos gratuitamente a los municipios correspondientes.</w:t>
      </w:r>
    </w:p>
    <w:p w14:paraId="5D15FF09" w14:textId="77777777" w:rsidR="00241C16" w:rsidRDefault="00241C16" w:rsidP="00241C16">
      <w:pPr>
        <w:suppressLineNumbers/>
        <w:ind w:firstLine="360"/>
        <w:jc w:val="both"/>
        <w:rPr>
          <w:rFonts w:ascii="Book Antiqua" w:eastAsia="Times New Roman" w:hAnsi="Book Antiqua"/>
          <w:lang w:val="es-ES_tradnl"/>
        </w:rPr>
      </w:pPr>
    </w:p>
    <w:p w14:paraId="2FE5D30A" w14:textId="77777777" w:rsidR="00241C16" w:rsidRDefault="00241C16" w:rsidP="005709F1">
      <w:pPr>
        <w:suppressLineNumbers/>
        <w:jc w:val="both"/>
        <w:rPr>
          <w:rFonts w:ascii="Book Antiqua" w:eastAsia="Times New Roman" w:hAnsi="Book Antiqua"/>
          <w:lang w:val="es-ES_tradnl"/>
        </w:rPr>
      </w:pPr>
      <w:r>
        <w:rPr>
          <w:rFonts w:ascii="Book Antiqua" w:eastAsia="Times New Roman" w:hAnsi="Book Antiqua"/>
          <w:lang w:val="es-ES_tradnl"/>
        </w:rPr>
        <w:t xml:space="preserve">Los municipios, conforme al Artículo 7.085 de la Ley Núm. 107, </w:t>
      </w:r>
      <w:r w:rsidRPr="00FE3C4F">
        <w:rPr>
          <w:rFonts w:ascii="Book Antiqua" w:eastAsia="Times New Roman" w:hAnsi="Book Antiqua"/>
          <w:i/>
          <w:iCs/>
          <w:lang w:val="es-ES_tradnl"/>
        </w:rPr>
        <w:t>supra</w:t>
      </w:r>
      <w:r>
        <w:rPr>
          <w:rFonts w:ascii="Book Antiqua" w:eastAsia="Times New Roman" w:hAnsi="Book Antiqua"/>
          <w:lang w:val="es-ES_tradnl"/>
        </w:rPr>
        <w:t>, quedan comprometidos a recibir el bien inmueble que esté dentro de su jurisdicción geográfica. Ahora bien, notamos que la única directriz impartida es que se utilicen conforme a la normativa reglamentaria del referido Código Municipal, pero no se aborda la problemática de vivienda asequible. En esta medida se ha enunciado en los distintos medios noticiosos</w:t>
      </w:r>
      <w:r w:rsidRPr="00D455F4">
        <w:rPr>
          <w:rFonts w:ascii="Book Antiqua" w:eastAsia="Times New Roman" w:hAnsi="Book Antiqua"/>
          <w:lang w:val="es-ES_tradnl"/>
        </w:rPr>
        <w:t xml:space="preserve"> </w:t>
      </w:r>
      <w:r>
        <w:rPr>
          <w:rFonts w:ascii="Book Antiqua" w:eastAsia="Times New Roman" w:hAnsi="Book Antiqua"/>
          <w:lang w:val="es-ES_tradnl"/>
        </w:rPr>
        <w:t xml:space="preserve">que debido a la inflación y, con ello, el alza en los costos de construcción, un sinnúmero de familias jóvenes, trabajadores y personas vulnerables no tienen acceso a hogares que sean asequibles a su </w:t>
      </w:r>
      <w:r w:rsidRPr="00F40C08">
        <w:rPr>
          <w:rFonts w:ascii="Book Antiqua" w:eastAsia="Times New Roman" w:hAnsi="Book Antiqua"/>
          <w:lang w:val="es-ES_tradnl"/>
        </w:rPr>
        <w:t>pecunio.</w:t>
      </w:r>
      <w:r>
        <w:rPr>
          <w:rFonts w:ascii="Book Antiqua" w:eastAsia="Times New Roman" w:hAnsi="Book Antiqua"/>
          <w:lang w:val="es-ES_tradnl"/>
        </w:rPr>
        <w:t xml:space="preserve"> En virtud de lo cual, se han dispuesto distintos programas de asistencia de vivienda en programas federales, pero ello no ha logrado impactar a gran parte de la población.</w:t>
      </w:r>
    </w:p>
    <w:p w14:paraId="55A1479C" w14:textId="332FF3E7" w:rsidR="002169FB" w:rsidRDefault="004D7CDB" w:rsidP="003A4974">
      <w:pPr>
        <w:pStyle w:val="NormalWeb"/>
        <w:contextualSpacing/>
        <w:jc w:val="center"/>
        <w:rPr>
          <w:rFonts w:ascii="Book Antiqua" w:hAnsi="Book Antiqua"/>
          <w:b/>
          <w:i/>
          <w:smallCaps/>
          <w:lang w:val="es-ES_tradnl"/>
        </w:rPr>
      </w:pPr>
      <w:r>
        <w:rPr>
          <w:rFonts w:ascii="Book Antiqua" w:hAnsi="Book Antiqua"/>
          <w:b/>
          <w:i/>
          <w:smallCaps/>
          <w:lang w:val="es-ES_tradnl"/>
        </w:rPr>
        <w:t>Resumen de Memoriales</w:t>
      </w:r>
      <w:r w:rsidR="009E093A">
        <w:rPr>
          <w:rFonts w:ascii="Book Antiqua" w:hAnsi="Book Antiqua"/>
          <w:b/>
          <w:i/>
          <w:smallCaps/>
          <w:lang w:val="es-ES_tradnl"/>
        </w:rPr>
        <w:t xml:space="preserve"> y Trámite Legislativo</w:t>
      </w:r>
    </w:p>
    <w:p w14:paraId="24882CE5" w14:textId="77777777" w:rsidR="003A4974" w:rsidRDefault="003A4974" w:rsidP="003A4974">
      <w:pPr>
        <w:pStyle w:val="NormalWeb"/>
        <w:spacing w:before="0" w:beforeAutospacing="0" w:after="0" w:afterAutospacing="0"/>
        <w:contextualSpacing/>
        <w:jc w:val="both"/>
        <w:rPr>
          <w:rFonts w:ascii="Book Antiqua" w:hAnsi="Book Antiqua"/>
          <w:lang w:val="es-DO"/>
        </w:rPr>
      </w:pPr>
      <w:bookmarkStart w:id="1" w:name="_Hlk199336735"/>
    </w:p>
    <w:p w14:paraId="337FC84A" w14:textId="7E9B81F0" w:rsidR="003A4974" w:rsidRDefault="003A4974" w:rsidP="003A4974">
      <w:pPr>
        <w:pStyle w:val="NormalWeb"/>
        <w:spacing w:before="0" w:beforeAutospacing="0" w:after="0" w:afterAutospacing="0"/>
        <w:contextualSpacing/>
        <w:jc w:val="both"/>
        <w:rPr>
          <w:rFonts w:ascii="Book Antiqua" w:hAnsi="Book Antiqua"/>
          <w:lang w:val="es-DO"/>
        </w:rPr>
      </w:pPr>
      <w:r>
        <w:rPr>
          <w:rFonts w:ascii="Book Antiqua" w:hAnsi="Book Antiqua"/>
          <w:lang w:val="es-DO"/>
        </w:rPr>
        <w:t xml:space="preserve">La medida de autoría de la </w:t>
      </w:r>
      <w:r w:rsidR="00A93BD4">
        <w:rPr>
          <w:rFonts w:ascii="Book Antiqua" w:hAnsi="Book Antiqua"/>
          <w:lang w:val="es-DO"/>
        </w:rPr>
        <w:t>h</w:t>
      </w:r>
      <w:r>
        <w:rPr>
          <w:rFonts w:ascii="Book Antiqua" w:hAnsi="Book Antiqua"/>
          <w:lang w:val="es-DO"/>
        </w:rPr>
        <w:t>onorabl</w:t>
      </w:r>
      <w:r w:rsidR="00241C16">
        <w:rPr>
          <w:rFonts w:ascii="Book Antiqua" w:hAnsi="Book Antiqua"/>
          <w:lang w:val="es-DO"/>
        </w:rPr>
        <w:t>e Tatiana Pérez Ramírez</w:t>
      </w:r>
      <w:r>
        <w:rPr>
          <w:rFonts w:ascii="Book Antiqua" w:hAnsi="Book Antiqua"/>
          <w:lang w:val="es-DO"/>
        </w:rPr>
        <w:t xml:space="preserve"> fue presentada </w:t>
      </w:r>
      <w:r w:rsidR="00B4493C">
        <w:rPr>
          <w:rFonts w:ascii="Book Antiqua" w:hAnsi="Book Antiqua"/>
          <w:lang w:val="es-ES_tradnl"/>
        </w:rPr>
        <w:t>el 1</w:t>
      </w:r>
      <w:r w:rsidR="00241C16">
        <w:rPr>
          <w:rFonts w:ascii="Book Antiqua" w:hAnsi="Book Antiqua"/>
          <w:lang w:val="es-ES_tradnl"/>
        </w:rPr>
        <w:t xml:space="preserve">2 </w:t>
      </w:r>
      <w:r w:rsidR="00B4493C">
        <w:rPr>
          <w:rFonts w:ascii="Book Antiqua" w:hAnsi="Book Antiqua"/>
          <w:lang w:val="es-ES_tradnl"/>
        </w:rPr>
        <w:t xml:space="preserve">de </w:t>
      </w:r>
      <w:r w:rsidR="00241C16">
        <w:rPr>
          <w:rFonts w:ascii="Book Antiqua" w:hAnsi="Book Antiqua"/>
          <w:lang w:val="es-ES_tradnl"/>
        </w:rPr>
        <w:t>febrero</w:t>
      </w:r>
      <w:r w:rsidR="00B4493C">
        <w:rPr>
          <w:rFonts w:ascii="Book Antiqua" w:hAnsi="Book Antiqua"/>
          <w:lang w:val="es-ES_tradnl"/>
        </w:rPr>
        <w:t xml:space="preserve"> de 2026</w:t>
      </w:r>
      <w:r w:rsidR="00241C16">
        <w:rPr>
          <w:rFonts w:ascii="Book Antiqua" w:hAnsi="Book Antiqua"/>
          <w:lang w:val="es-ES_tradnl"/>
        </w:rPr>
        <w:t>.</w:t>
      </w:r>
      <w:r>
        <w:rPr>
          <w:rFonts w:ascii="Book Antiqua" w:hAnsi="Book Antiqua"/>
          <w:lang w:val="es-ES_tradnl"/>
        </w:rPr>
        <w:t xml:space="preserve"> </w:t>
      </w:r>
      <w:r>
        <w:rPr>
          <w:rFonts w:ascii="Book Antiqua" w:hAnsi="Book Antiqua"/>
          <w:lang w:val="es-DO"/>
        </w:rPr>
        <w:t>Durante el análisis de la medida, no se realizaron vistas públicas, y se utilizó la posición de las agencias e instrumentalidades por memorial</w:t>
      </w:r>
      <w:r w:rsidR="00A93BD4">
        <w:rPr>
          <w:rFonts w:ascii="Book Antiqua" w:hAnsi="Book Antiqua"/>
          <w:lang w:val="es-DO"/>
        </w:rPr>
        <w:t xml:space="preserve"> explicativo</w:t>
      </w:r>
      <w:r>
        <w:rPr>
          <w:rFonts w:ascii="Book Antiqua" w:hAnsi="Book Antiqua"/>
          <w:lang w:val="es-DO"/>
        </w:rPr>
        <w:t>. El pasado</w:t>
      </w:r>
      <w:r w:rsidR="00693386">
        <w:rPr>
          <w:rFonts w:ascii="Book Antiqua" w:hAnsi="Book Antiqua"/>
          <w:lang w:val="es-DO"/>
        </w:rPr>
        <w:t xml:space="preserve"> 23</w:t>
      </w:r>
      <w:r>
        <w:rPr>
          <w:rFonts w:ascii="Book Antiqua" w:hAnsi="Book Antiqua"/>
          <w:lang w:val="es-DO"/>
        </w:rPr>
        <w:t xml:space="preserve"> de </w:t>
      </w:r>
      <w:r w:rsidR="00693386">
        <w:rPr>
          <w:rFonts w:ascii="Book Antiqua" w:hAnsi="Book Antiqua"/>
          <w:lang w:val="es-DO"/>
        </w:rPr>
        <w:t>febrero</w:t>
      </w:r>
      <w:r>
        <w:rPr>
          <w:rFonts w:ascii="Book Antiqua" w:hAnsi="Book Antiqua"/>
          <w:lang w:val="es-DO"/>
        </w:rPr>
        <w:t xml:space="preserve"> de 2026, la Comisión de Asuntos Municipales, solicitó comentarios a las siguientes agencias:</w:t>
      </w:r>
    </w:p>
    <w:p w14:paraId="48338ADC" w14:textId="77777777" w:rsidR="003A4974" w:rsidRDefault="003A4974" w:rsidP="003A4974">
      <w:pPr>
        <w:pStyle w:val="NormalWeb"/>
        <w:spacing w:before="0" w:beforeAutospacing="0" w:after="0" w:afterAutospacing="0"/>
        <w:contextualSpacing/>
        <w:jc w:val="both"/>
        <w:rPr>
          <w:rFonts w:ascii="Book Antiqua" w:hAnsi="Book Antiqua"/>
          <w:lang w:val="es-DO"/>
        </w:rPr>
      </w:pPr>
    </w:p>
    <w:p w14:paraId="76ABF9E3" w14:textId="5C64722A" w:rsidR="00693386" w:rsidRDefault="00693386" w:rsidP="003A4974">
      <w:pPr>
        <w:pStyle w:val="NormalWeb"/>
        <w:numPr>
          <w:ilvl w:val="0"/>
          <w:numId w:val="50"/>
        </w:numPr>
        <w:spacing w:before="0" w:beforeAutospacing="0" w:after="0" w:afterAutospacing="0"/>
        <w:contextualSpacing/>
        <w:jc w:val="both"/>
        <w:rPr>
          <w:rFonts w:ascii="Book Antiqua" w:hAnsi="Book Antiqua"/>
          <w:lang w:val="es-DO"/>
        </w:rPr>
      </w:pPr>
      <w:r>
        <w:rPr>
          <w:rFonts w:ascii="Book Antiqua" w:hAnsi="Book Antiqua"/>
          <w:lang w:val="es-DO"/>
        </w:rPr>
        <w:t xml:space="preserve">Asociación de </w:t>
      </w:r>
      <w:proofErr w:type="gramStart"/>
      <w:r>
        <w:rPr>
          <w:rFonts w:ascii="Book Antiqua" w:hAnsi="Book Antiqua"/>
          <w:lang w:val="es-DO"/>
        </w:rPr>
        <w:t>Alcaldes</w:t>
      </w:r>
      <w:proofErr w:type="gramEnd"/>
      <w:r>
        <w:rPr>
          <w:rFonts w:ascii="Book Antiqua" w:hAnsi="Book Antiqua"/>
          <w:lang w:val="es-DO"/>
        </w:rPr>
        <w:t xml:space="preserve"> de Puerto Rico </w:t>
      </w:r>
      <w:r w:rsidR="00A93BD4">
        <w:rPr>
          <w:rFonts w:ascii="Book Antiqua" w:hAnsi="Book Antiqua"/>
          <w:lang w:val="es-DO"/>
        </w:rPr>
        <w:t>(AAPR)</w:t>
      </w:r>
    </w:p>
    <w:p w14:paraId="3E9E7639" w14:textId="60FD9016" w:rsidR="00693386" w:rsidRDefault="00693386" w:rsidP="00693386">
      <w:pPr>
        <w:pStyle w:val="NormalWeb"/>
        <w:numPr>
          <w:ilvl w:val="0"/>
          <w:numId w:val="50"/>
        </w:numPr>
        <w:spacing w:before="0" w:beforeAutospacing="0" w:after="0" w:afterAutospacing="0"/>
        <w:contextualSpacing/>
        <w:jc w:val="both"/>
        <w:rPr>
          <w:rFonts w:ascii="Book Antiqua" w:hAnsi="Book Antiqua"/>
          <w:lang w:val="es-DO"/>
        </w:rPr>
      </w:pPr>
      <w:r>
        <w:rPr>
          <w:rFonts w:ascii="Book Antiqua" w:hAnsi="Book Antiqua"/>
          <w:lang w:val="es-DO"/>
        </w:rPr>
        <w:t>Asociación de Bancos de Puerto Rico</w:t>
      </w:r>
      <w:r w:rsidR="00A93BD4">
        <w:rPr>
          <w:rFonts w:ascii="Book Antiqua" w:hAnsi="Book Antiqua"/>
          <w:lang w:val="es-DO"/>
        </w:rPr>
        <w:t xml:space="preserve"> (ABPR)</w:t>
      </w:r>
    </w:p>
    <w:p w14:paraId="602A2CD1" w14:textId="77777777" w:rsidR="00693386" w:rsidRDefault="00693386" w:rsidP="003A4974">
      <w:pPr>
        <w:pStyle w:val="NormalWeb"/>
        <w:numPr>
          <w:ilvl w:val="0"/>
          <w:numId w:val="50"/>
        </w:numPr>
        <w:spacing w:before="0" w:beforeAutospacing="0" w:after="0" w:afterAutospacing="0"/>
        <w:contextualSpacing/>
        <w:jc w:val="both"/>
        <w:rPr>
          <w:rFonts w:ascii="Book Antiqua" w:hAnsi="Book Antiqua"/>
          <w:lang w:val="es-DO"/>
        </w:rPr>
      </w:pPr>
      <w:r>
        <w:rPr>
          <w:rFonts w:ascii="Book Antiqua" w:hAnsi="Book Antiqua"/>
          <w:lang w:val="es-DO"/>
        </w:rPr>
        <w:t>Centro de Recaudación de Ingresos Municipales (CRIM)</w:t>
      </w:r>
    </w:p>
    <w:p w14:paraId="4D062C09" w14:textId="4E94538D" w:rsidR="00693386" w:rsidRDefault="00693386" w:rsidP="003A4974">
      <w:pPr>
        <w:pStyle w:val="NormalWeb"/>
        <w:numPr>
          <w:ilvl w:val="0"/>
          <w:numId w:val="50"/>
        </w:numPr>
        <w:spacing w:before="0" w:beforeAutospacing="0" w:after="0" w:afterAutospacing="0"/>
        <w:contextualSpacing/>
        <w:jc w:val="both"/>
        <w:rPr>
          <w:rFonts w:ascii="Book Antiqua" w:hAnsi="Book Antiqua"/>
          <w:lang w:val="es-DO"/>
        </w:rPr>
      </w:pPr>
      <w:r>
        <w:rPr>
          <w:rFonts w:ascii="Book Antiqua" w:hAnsi="Book Antiqua"/>
          <w:lang w:val="es-DO"/>
        </w:rPr>
        <w:t>Departamento de Justicia</w:t>
      </w:r>
      <w:r w:rsidR="00A93BD4">
        <w:rPr>
          <w:rFonts w:ascii="Book Antiqua" w:hAnsi="Book Antiqua"/>
          <w:lang w:val="es-DO"/>
        </w:rPr>
        <w:t xml:space="preserve"> (DJ)</w:t>
      </w:r>
    </w:p>
    <w:p w14:paraId="00D43482" w14:textId="6D9A9314" w:rsidR="00693386" w:rsidRDefault="00693386" w:rsidP="003A4974">
      <w:pPr>
        <w:pStyle w:val="NormalWeb"/>
        <w:numPr>
          <w:ilvl w:val="0"/>
          <w:numId w:val="50"/>
        </w:numPr>
        <w:spacing w:before="0" w:beforeAutospacing="0" w:after="0" w:afterAutospacing="0"/>
        <w:contextualSpacing/>
        <w:jc w:val="both"/>
        <w:rPr>
          <w:rFonts w:ascii="Book Antiqua" w:hAnsi="Book Antiqua"/>
          <w:lang w:val="es-DO"/>
        </w:rPr>
      </w:pPr>
      <w:r>
        <w:rPr>
          <w:rFonts w:ascii="Book Antiqua" w:hAnsi="Book Antiqua"/>
          <w:lang w:val="es-DO"/>
        </w:rPr>
        <w:t xml:space="preserve">Federación de </w:t>
      </w:r>
      <w:proofErr w:type="gramStart"/>
      <w:r>
        <w:rPr>
          <w:rFonts w:ascii="Book Antiqua" w:hAnsi="Book Antiqua"/>
          <w:lang w:val="es-DO"/>
        </w:rPr>
        <w:t>Alcaldes</w:t>
      </w:r>
      <w:proofErr w:type="gramEnd"/>
      <w:r>
        <w:rPr>
          <w:rFonts w:ascii="Book Antiqua" w:hAnsi="Book Antiqua"/>
          <w:lang w:val="es-DO"/>
        </w:rPr>
        <w:t xml:space="preserve"> de Puerto Rico</w:t>
      </w:r>
      <w:r w:rsidR="00A93BD4">
        <w:rPr>
          <w:rFonts w:ascii="Book Antiqua" w:hAnsi="Book Antiqua"/>
          <w:lang w:val="es-DO"/>
        </w:rPr>
        <w:t xml:space="preserve"> (FAPR)</w:t>
      </w:r>
    </w:p>
    <w:p w14:paraId="67EF0D88" w14:textId="564B932D" w:rsidR="00693386" w:rsidRDefault="00693386" w:rsidP="003A4974">
      <w:pPr>
        <w:pStyle w:val="NormalWeb"/>
        <w:numPr>
          <w:ilvl w:val="0"/>
          <w:numId w:val="50"/>
        </w:numPr>
        <w:spacing w:before="0" w:beforeAutospacing="0" w:after="0" w:afterAutospacing="0"/>
        <w:contextualSpacing/>
        <w:jc w:val="both"/>
        <w:rPr>
          <w:rFonts w:ascii="Book Antiqua" w:hAnsi="Book Antiqua"/>
          <w:lang w:val="es-DO"/>
        </w:rPr>
      </w:pPr>
      <w:r>
        <w:rPr>
          <w:rFonts w:ascii="Book Antiqua" w:hAnsi="Book Antiqua"/>
          <w:lang w:val="es-DO"/>
        </w:rPr>
        <w:t>Oficina de Gerencia y Presupuesto</w:t>
      </w:r>
      <w:r w:rsidR="00A93BD4">
        <w:rPr>
          <w:rFonts w:ascii="Book Antiqua" w:hAnsi="Book Antiqua"/>
          <w:lang w:val="es-DO"/>
        </w:rPr>
        <w:t xml:space="preserve"> (OGP)</w:t>
      </w:r>
    </w:p>
    <w:p w14:paraId="58E6FDFC" w14:textId="77777777" w:rsidR="00693386" w:rsidRDefault="00693386" w:rsidP="003A4974">
      <w:pPr>
        <w:pStyle w:val="NormalWeb"/>
        <w:numPr>
          <w:ilvl w:val="0"/>
          <w:numId w:val="50"/>
        </w:numPr>
        <w:spacing w:before="0" w:beforeAutospacing="0" w:after="0" w:afterAutospacing="0"/>
        <w:contextualSpacing/>
        <w:jc w:val="both"/>
        <w:rPr>
          <w:rFonts w:ascii="Book Antiqua" w:hAnsi="Book Antiqua"/>
          <w:lang w:val="es-DO"/>
        </w:rPr>
      </w:pPr>
      <w:r>
        <w:rPr>
          <w:rFonts w:ascii="Book Antiqua" w:hAnsi="Book Antiqua"/>
          <w:lang w:val="es-DO"/>
        </w:rPr>
        <w:t>Oficina del Comisionado de Instituciones Financieras (OCIF)</w:t>
      </w:r>
    </w:p>
    <w:p w14:paraId="133FA7E2" w14:textId="21845104" w:rsidR="00C615C8" w:rsidRPr="00A93BD4" w:rsidRDefault="00693386" w:rsidP="00C615C8">
      <w:pPr>
        <w:pStyle w:val="NormalWeb"/>
        <w:numPr>
          <w:ilvl w:val="0"/>
          <w:numId w:val="50"/>
        </w:numPr>
        <w:spacing w:before="0" w:beforeAutospacing="0" w:after="0" w:afterAutospacing="0"/>
        <w:contextualSpacing/>
        <w:jc w:val="both"/>
        <w:rPr>
          <w:rFonts w:ascii="Book Antiqua" w:hAnsi="Book Antiqua"/>
          <w:lang w:val="en-US"/>
        </w:rPr>
      </w:pPr>
      <w:r w:rsidRPr="00A93BD4">
        <w:rPr>
          <w:rFonts w:ascii="Book Antiqua" w:hAnsi="Book Antiqua"/>
          <w:lang w:val="en-US"/>
        </w:rPr>
        <w:t>Puerto Rico Innovation and Technology Services</w:t>
      </w:r>
      <w:r w:rsidRPr="00A93BD4">
        <w:rPr>
          <w:rFonts w:ascii="Book Antiqua" w:hAnsi="Book Antiqua"/>
          <w:i/>
          <w:iCs/>
          <w:lang w:val="en-US"/>
        </w:rPr>
        <w:t xml:space="preserve"> (</w:t>
      </w:r>
      <w:r w:rsidRPr="00A93BD4">
        <w:rPr>
          <w:rFonts w:ascii="Book Antiqua" w:hAnsi="Book Antiqua"/>
          <w:lang w:val="en-US"/>
        </w:rPr>
        <w:t xml:space="preserve">PRITS) </w:t>
      </w:r>
    </w:p>
    <w:p w14:paraId="5C8CBCA0" w14:textId="77777777" w:rsidR="009F22AB" w:rsidRPr="00A93BD4" w:rsidRDefault="009F22AB" w:rsidP="009F22AB">
      <w:pPr>
        <w:pStyle w:val="NormalWeb"/>
        <w:spacing w:before="0" w:beforeAutospacing="0" w:after="0" w:afterAutospacing="0"/>
        <w:ind w:left="720"/>
        <w:contextualSpacing/>
        <w:jc w:val="both"/>
        <w:rPr>
          <w:rFonts w:ascii="Book Antiqua" w:hAnsi="Book Antiqua"/>
          <w:lang w:val="en-US"/>
        </w:rPr>
      </w:pPr>
    </w:p>
    <w:bookmarkEnd w:id="1"/>
    <w:p w14:paraId="77452CD9" w14:textId="7D8A93EA" w:rsidR="00C615C8" w:rsidRPr="00A93BD4" w:rsidRDefault="00C615C8" w:rsidP="009F22AB">
      <w:pPr>
        <w:jc w:val="center"/>
        <w:rPr>
          <w:rFonts w:ascii="Book Antiqua" w:hAnsi="Book Antiqua"/>
          <w:b/>
          <w:i/>
          <w:smallCaps/>
          <w:color w:val="000000" w:themeColor="text1"/>
          <w:szCs w:val="24"/>
        </w:rPr>
      </w:pPr>
    </w:p>
    <w:p w14:paraId="63992A61" w14:textId="5C1586EA" w:rsidR="009F22AB" w:rsidRPr="009F22AB" w:rsidRDefault="009F22AB" w:rsidP="009F22AB">
      <w:pPr>
        <w:pStyle w:val="isselectedend"/>
        <w:jc w:val="both"/>
        <w:rPr>
          <w:rFonts w:ascii="Book Antiqua" w:hAnsi="Book Antiqua"/>
          <w:lang w:val="es-DO"/>
        </w:rPr>
      </w:pPr>
      <w:r w:rsidRPr="009F22AB">
        <w:rPr>
          <w:rFonts w:ascii="Book Antiqua" w:hAnsi="Book Antiqua"/>
          <w:lang w:val="es-DO"/>
        </w:rPr>
        <w:lastRenderedPageBreak/>
        <w:t xml:space="preserve">La </w:t>
      </w:r>
      <w:r w:rsidRPr="009F22AB">
        <w:rPr>
          <w:rFonts w:ascii="Book Antiqua" w:hAnsi="Book Antiqua"/>
          <w:b/>
          <w:bCs/>
          <w:i/>
          <w:iCs/>
          <w:lang w:val="es-DO"/>
        </w:rPr>
        <w:t xml:space="preserve">Asociación de </w:t>
      </w:r>
      <w:proofErr w:type="gramStart"/>
      <w:r w:rsidRPr="009F22AB">
        <w:rPr>
          <w:rFonts w:ascii="Book Antiqua" w:hAnsi="Book Antiqua"/>
          <w:b/>
          <w:bCs/>
          <w:i/>
          <w:iCs/>
          <w:lang w:val="es-DO"/>
        </w:rPr>
        <w:t>Alcaldes</w:t>
      </w:r>
      <w:proofErr w:type="gramEnd"/>
      <w:r w:rsidRPr="009F22AB">
        <w:rPr>
          <w:rFonts w:ascii="Book Antiqua" w:hAnsi="Book Antiqua"/>
          <w:b/>
          <w:bCs/>
          <w:i/>
          <w:iCs/>
          <w:lang w:val="es-DO"/>
        </w:rPr>
        <w:t xml:space="preserve"> de Puerto Rico</w:t>
      </w:r>
      <w:r w:rsidR="00A93BD4">
        <w:rPr>
          <w:rFonts w:ascii="Book Antiqua" w:hAnsi="Book Antiqua"/>
          <w:b/>
          <w:bCs/>
          <w:i/>
          <w:iCs/>
          <w:lang w:val="es-DO"/>
        </w:rPr>
        <w:t xml:space="preserve"> (AAPR)</w:t>
      </w:r>
      <w:r w:rsidRPr="009F22AB">
        <w:rPr>
          <w:rFonts w:ascii="Book Antiqua" w:hAnsi="Book Antiqua"/>
          <w:lang w:val="es-DO"/>
        </w:rPr>
        <w:t xml:space="preserve"> compareció mediante memorial explicativo </w:t>
      </w:r>
      <w:r w:rsidR="00A93BD4">
        <w:rPr>
          <w:rFonts w:ascii="Book Antiqua" w:hAnsi="Book Antiqua"/>
          <w:lang w:val="es-DO"/>
        </w:rPr>
        <w:t>con</w:t>
      </w:r>
      <w:r w:rsidRPr="009F22AB">
        <w:rPr>
          <w:rFonts w:ascii="Book Antiqua" w:hAnsi="Book Antiqua"/>
          <w:lang w:val="es-DO"/>
        </w:rPr>
        <w:t xml:space="preserve"> fecha </w:t>
      </w:r>
      <w:r w:rsidR="00A93BD4">
        <w:rPr>
          <w:rFonts w:ascii="Book Antiqua" w:hAnsi="Book Antiqua"/>
          <w:lang w:val="es-DO"/>
        </w:rPr>
        <w:t xml:space="preserve">del </w:t>
      </w:r>
      <w:r w:rsidRPr="009F22AB">
        <w:rPr>
          <w:rStyle w:val="Strong"/>
          <w:rFonts w:ascii="Book Antiqua" w:hAnsi="Book Antiqua"/>
          <w:lang w:val="es-DO"/>
        </w:rPr>
        <w:t>28 de abril de 2026</w:t>
      </w:r>
      <w:r w:rsidRPr="009F22AB">
        <w:rPr>
          <w:rFonts w:ascii="Book Antiqua" w:hAnsi="Book Antiqua"/>
          <w:lang w:val="es-DO"/>
        </w:rPr>
        <w:t xml:space="preserve">, suscrito por su directora ejecutiva, </w:t>
      </w:r>
      <w:r w:rsidRPr="009F22AB">
        <w:rPr>
          <w:rStyle w:val="Strong"/>
          <w:rFonts w:ascii="Book Antiqua" w:hAnsi="Book Antiqua"/>
          <w:lang w:val="es-DO"/>
        </w:rPr>
        <w:t>Verónica Rodríguez Irizarry</w:t>
      </w:r>
      <w:r w:rsidRPr="009F22AB">
        <w:rPr>
          <w:rFonts w:ascii="Book Antiqua" w:hAnsi="Book Antiqua"/>
          <w:lang w:val="es-DO"/>
        </w:rPr>
        <w:t>, en el cual expresó su respaldo al Proyecto.</w:t>
      </w:r>
    </w:p>
    <w:p w14:paraId="05FBA874" w14:textId="1E166EE2" w:rsidR="009F22AB" w:rsidRPr="009F22AB" w:rsidRDefault="009F22AB" w:rsidP="009F22AB">
      <w:pPr>
        <w:pStyle w:val="isselectedend"/>
        <w:jc w:val="both"/>
        <w:rPr>
          <w:rFonts w:ascii="Book Antiqua" w:hAnsi="Book Antiqua"/>
          <w:lang w:val="es-DO"/>
        </w:rPr>
      </w:pPr>
      <w:r w:rsidRPr="009F22AB">
        <w:rPr>
          <w:rFonts w:ascii="Book Antiqua" w:hAnsi="Book Antiqua"/>
          <w:lang w:val="es-DO"/>
        </w:rPr>
        <w:t>En cuanto a la propuesta de enmendar el inciso (w) del Artículo 7.003 del Código Municipal, la A</w:t>
      </w:r>
      <w:r w:rsidR="00A93BD4">
        <w:rPr>
          <w:rFonts w:ascii="Book Antiqua" w:hAnsi="Book Antiqua"/>
          <w:lang w:val="es-DO"/>
        </w:rPr>
        <w:t>APR</w:t>
      </w:r>
      <w:r w:rsidRPr="009F22AB">
        <w:rPr>
          <w:rFonts w:ascii="Book Antiqua" w:hAnsi="Book Antiqua"/>
          <w:lang w:val="es-DO"/>
        </w:rPr>
        <w:t xml:space="preserve"> indicó no tener objeción a que el Centro de Recaudación de Ingresos Municipales (CRIM) publique semestralmente en su página oficial un inventario digital de las propiedades embargadas, incluyendo información sobre su ubicación, estado y jurisdicción municipal. A su juicio, dicha medida promueve la transparencia gubernamental y facilita que los ciudadanos conozcan la existencia de estas propiedades y puedan interesarse en su eventual adquisición o desarrollo.</w:t>
      </w:r>
    </w:p>
    <w:p w14:paraId="227A1C1F" w14:textId="791660CC" w:rsidR="009F22AB" w:rsidRPr="009F22AB" w:rsidRDefault="009F22AB" w:rsidP="009F22AB">
      <w:pPr>
        <w:pStyle w:val="isselectedend"/>
        <w:jc w:val="both"/>
        <w:rPr>
          <w:rFonts w:ascii="Book Antiqua" w:hAnsi="Book Antiqua"/>
          <w:lang w:val="es-DO"/>
        </w:rPr>
      </w:pPr>
      <w:r w:rsidRPr="009F22AB">
        <w:rPr>
          <w:rFonts w:ascii="Book Antiqua" w:hAnsi="Book Antiqua"/>
          <w:lang w:val="es-DO"/>
        </w:rPr>
        <w:t>De igual forma, la A</w:t>
      </w:r>
      <w:r w:rsidR="00A93BD4">
        <w:rPr>
          <w:rFonts w:ascii="Book Antiqua" w:hAnsi="Book Antiqua"/>
          <w:lang w:val="es-DO"/>
        </w:rPr>
        <w:t>APR</w:t>
      </w:r>
      <w:r w:rsidRPr="009F22AB">
        <w:rPr>
          <w:rFonts w:ascii="Book Antiqua" w:hAnsi="Book Antiqua"/>
          <w:lang w:val="es-DO"/>
        </w:rPr>
        <w:t xml:space="preserve"> favoreció la enmienda al Artículo 7.085 del Código Municipal para establecer como política pública que las propiedades inmuebles adquiridas por el CRIM mediante procedimientos de ejecución y posteriormente transferidas a los municipios sean utilizadas para fomentar el desarrollo de vivienda asequible, vivienda social, vivienda comunitaria y proyectos de cooperativas de vivienda. Según destacó, esta iniciativa contribuiría a la rehabilitación de propiedades abandonadas, al fortalecimiento de las comunidades y a la atención de necesidades habitacionales apremiantes.</w:t>
      </w:r>
    </w:p>
    <w:p w14:paraId="41958AA8" w14:textId="0204D4B3" w:rsidR="009F22AB" w:rsidRDefault="009F22AB" w:rsidP="009F22AB">
      <w:pPr>
        <w:pStyle w:val="NormalWeb"/>
        <w:jc w:val="both"/>
        <w:rPr>
          <w:rFonts w:ascii="Book Antiqua" w:hAnsi="Book Antiqua"/>
          <w:lang w:val="es-DO"/>
        </w:rPr>
      </w:pPr>
      <w:r w:rsidRPr="009F22AB">
        <w:rPr>
          <w:rFonts w:ascii="Book Antiqua" w:hAnsi="Book Antiqua"/>
          <w:lang w:val="es-DO"/>
        </w:rPr>
        <w:t>Asimismo, la A</w:t>
      </w:r>
      <w:r w:rsidR="00A93BD4">
        <w:rPr>
          <w:rFonts w:ascii="Book Antiqua" w:hAnsi="Book Antiqua"/>
          <w:lang w:val="es-DO"/>
        </w:rPr>
        <w:t>APR</w:t>
      </w:r>
      <w:r w:rsidRPr="009F22AB">
        <w:rPr>
          <w:rFonts w:ascii="Book Antiqua" w:hAnsi="Book Antiqua"/>
          <w:lang w:val="es-DO"/>
        </w:rPr>
        <w:t xml:space="preserve"> hizo constar que recibió comentarios favorables por parte del Municipio de Ponce, el cual endosó la medida por entender que constituye un mecanismo efectivo para utilizar propiedades embargadas en beneficio social. </w:t>
      </w:r>
    </w:p>
    <w:p w14:paraId="61CE6E3E" w14:textId="608D4F18" w:rsidR="009F22AB" w:rsidRPr="009F22AB" w:rsidRDefault="009F22AB" w:rsidP="009F22AB">
      <w:pPr>
        <w:pStyle w:val="isselectedend"/>
        <w:jc w:val="both"/>
        <w:rPr>
          <w:rFonts w:ascii="Book Antiqua" w:hAnsi="Book Antiqua"/>
          <w:lang w:val="es-DO"/>
        </w:rPr>
      </w:pPr>
      <w:r w:rsidRPr="009F22AB">
        <w:rPr>
          <w:rFonts w:ascii="Book Antiqua" w:hAnsi="Book Antiqua"/>
          <w:lang w:val="es-DO"/>
        </w:rPr>
        <w:t xml:space="preserve">La </w:t>
      </w:r>
      <w:r w:rsidRPr="009F22AB">
        <w:rPr>
          <w:rFonts w:ascii="Book Antiqua" w:hAnsi="Book Antiqua"/>
          <w:b/>
          <w:bCs/>
          <w:i/>
          <w:iCs/>
          <w:lang w:val="es-DO"/>
        </w:rPr>
        <w:t>Asociación de Bancos de Puerto Rico</w:t>
      </w:r>
      <w:r w:rsidR="00A93BD4">
        <w:rPr>
          <w:rFonts w:ascii="Book Antiqua" w:hAnsi="Book Antiqua"/>
          <w:b/>
          <w:bCs/>
          <w:i/>
          <w:iCs/>
          <w:lang w:val="es-DO"/>
        </w:rPr>
        <w:t xml:space="preserve"> (ABPR)</w:t>
      </w:r>
      <w:r w:rsidRPr="009F22AB">
        <w:rPr>
          <w:rFonts w:ascii="Book Antiqua" w:hAnsi="Book Antiqua"/>
          <w:b/>
          <w:bCs/>
          <w:i/>
          <w:iCs/>
          <w:lang w:val="es-DO"/>
        </w:rPr>
        <w:t xml:space="preserve"> </w:t>
      </w:r>
      <w:r w:rsidRPr="009F22AB">
        <w:rPr>
          <w:rFonts w:ascii="Book Antiqua" w:hAnsi="Book Antiqua"/>
          <w:lang w:val="es-DO"/>
        </w:rPr>
        <w:t xml:space="preserve">compareció mediante memorial explicativo </w:t>
      </w:r>
      <w:r w:rsidR="00A93BD4">
        <w:rPr>
          <w:rFonts w:ascii="Book Antiqua" w:hAnsi="Book Antiqua"/>
          <w:lang w:val="es-DO"/>
        </w:rPr>
        <w:t xml:space="preserve">con </w:t>
      </w:r>
      <w:r w:rsidRPr="009F22AB">
        <w:rPr>
          <w:rFonts w:ascii="Book Antiqua" w:hAnsi="Book Antiqua"/>
          <w:lang w:val="es-DO"/>
        </w:rPr>
        <w:t xml:space="preserve">fecha </w:t>
      </w:r>
      <w:r w:rsidR="00A93BD4">
        <w:rPr>
          <w:rFonts w:ascii="Book Antiqua" w:hAnsi="Book Antiqua"/>
          <w:lang w:val="es-DO"/>
        </w:rPr>
        <w:t xml:space="preserve">de </w:t>
      </w:r>
      <w:r w:rsidRPr="009F22AB">
        <w:rPr>
          <w:rStyle w:val="Strong"/>
          <w:rFonts w:ascii="Book Antiqua" w:hAnsi="Book Antiqua"/>
          <w:lang w:val="es-DO"/>
        </w:rPr>
        <w:t>9 de marzo de 2026</w:t>
      </w:r>
      <w:r w:rsidRPr="009F22AB">
        <w:rPr>
          <w:rFonts w:ascii="Book Antiqua" w:hAnsi="Book Antiqua"/>
          <w:lang w:val="es-DO"/>
        </w:rPr>
        <w:t xml:space="preserve">, suscrito por su presidenta y principal oficial ejecutiva, </w:t>
      </w:r>
      <w:r w:rsidRPr="009F22AB">
        <w:rPr>
          <w:rStyle w:val="Strong"/>
          <w:rFonts w:ascii="Book Antiqua" w:hAnsi="Book Antiqua"/>
          <w:lang w:val="es-DO"/>
        </w:rPr>
        <w:t xml:space="preserve">Lcda. </w:t>
      </w:r>
      <w:proofErr w:type="spellStart"/>
      <w:r w:rsidRPr="009F22AB">
        <w:rPr>
          <w:rStyle w:val="Strong"/>
          <w:rFonts w:ascii="Book Antiqua" w:hAnsi="Book Antiqua"/>
          <w:lang w:val="es-DO"/>
        </w:rPr>
        <w:t>Zoimé</w:t>
      </w:r>
      <w:proofErr w:type="spellEnd"/>
      <w:r w:rsidRPr="009F22AB">
        <w:rPr>
          <w:rStyle w:val="Strong"/>
          <w:rFonts w:ascii="Book Antiqua" w:hAnsi="Book Antiqua"/>
          <w:lang w:val="es-DO"/>
        </w:rPr>
        <w:t xml:space="preserve"> Álvarez Rubio</w:t>
      </w:r>
      <w:r w:rsidRPr="009F22AB">
        <w:rPr>
          <w:rFonts w:ascii="Book Antiqua" w:hAnsi="Book Antiqua"/>
          <w:lang w:val="es-DO"/>
        </w:rPr>
        <w:t xml:space="preserve">, </w:t>
      </w:r>
      <w:r w:rsidR="004C2B3E">
        <w:rPr>
          <w:rFonts w:ascii="Book Antiqua" w:hAnsi="Book Antiqua"/>
          <w:lang w:val="es-DO"/>
        </w:rPr>
        <w:t>y</w:t>
      </w:r>
      <w:r w:rsidRPr="009F22AB">
        <w:rPr>
          <w:rFonts w:ascii="Book Antiqua" w:hAnsi="Book Antiqua"/>
          <w:lang w:val="es-DO"/>
        </w:rPr>
        <w:t xml:space="preserve"> reconoció que la medida persigue atender un asunto de alto interés público relacionado con la necesidad de ampliar las alternativas de vivienda asequible en Puerto Rico. En ese sentido, expresó su respaldo a la propuesta de enmendar el inciso (w) del Artículo 7.003 del</w:t>
      </w:r>
      <w:r>
        <w:rPr>
          <w:rFonts w:ascii="Book Antiqua" w:hAnsi="Book Antiqua"/>
          <w:lang w:val="es-DO"/>
        </w:rPr>
        <w:t xml:space="preserve"> </w:t>
      </w:r>
      <w:r w:rsidRPr="009F22AB">
        <w:rPr>
          <w:rFonts w:ascii="Book Antiqua" w:hAnsi="Book Antiqua"/>
          <w:lang w:val="es-DO"/>
        </w:rPr>
        <w:t>CRIM</w:t>
      </w:r>
      <w:r>
        <w:rPr>
          <w:rFonts w:ascii="Book Antiqua" w:hAnsi="Book Antiqua"/>
          <w:lang w:val="es-DO"/>
        </w:rPr>
        <w:t>,</w:t>
      </w:r>
      <w:r w:rsidRPr="009F22AB">
        <w:rPr>
          <w:rFonts w:ascii="Book Antiqua" w:hAnsi="Book Antiqua"/>
          <w:lang w:val="es-DO"/>
        </w:rPr>
        <w:t xml:space="preserve"> publique semestralmente un inventario digital de las propiedades embargadas, incluyendo información sobre su ubicación, estado y jurisdicción municipal.</w:t>
      </w:r>
    </w:p>
    <w:p w14:paraId="47682F31" w14:textId="326BFB37" w:rsidR="009F22AB" w:rsidRPr="009F22AB" w:rsidRDefault="009F22AB" w:rsidP="009F22AB">
      <w:pPr>
        <w:pStyle w:val="isselectedend"/>
        <w:jc w:val="both"/>
        <w:rPr>
          <w:rFonts w:ascii="Book Antiqua" w:hAnsi="Book Antiqua"/>
          <w:lang w:val="es-DO"/>
        </w:rPr>
      </w:pPr>
      <w:r w:rsidRPr="009F22AB">
        <w:rPr>
          <w:rFonts w:ascii="Book Antiqua" w:hAnsi="Book Antiqua"/>
          <w:lang w:val="es-DO"/>
        </w:rPr>
        <w:t>Asimismo, la A</w:t>
      </w:r>
      <w:r w:rsidR="00A93BD4">
        <w:rPr>
          <w:rFonts w:ascii="Book Antiqua" w:hAnsi="Book Antiqua"/>
          <w:lang w:val="es-DO"/>
        </w:rPr>
        <w:t>BPR</w:t>
      </w:r>
      <w:r w:rsidRPr="009F22AB">
        <w:rPr>
          <w:rFonts w:ascii="Book Antiqua" w:hAnsi="Book Antiqua"/>
          <w:lang w:val="es-DO"/>
        </w:rPr>
        <w:t xml:space="preserve"> favoreció la política pública propuesta para que las propiedades embargadas por el CRIM o transferidas gratuitamente a los municipios sean utilizadas prioritariamente para el desarrollo de vivienda asequible, vivienda social, vivienda comunitaria y proyectos de cooperativas de vivienda. A juicio de la entidad, dicha iniciativa constituye una herramienta útil para contribuir a atender la crisis de vivienda que enfrenta </w:t>
      </w:r>
      <w:r>
        <w:rPr>
          <w:rFonts w:ascii="Book Antiqua" w:hAnsi="Book Antiqua"/>
          <w:lang w:val="es-DO"/>
        </w:rPr>
        <w:t>Puerto Rico</w:t>
      </w:r>
      <w:r w:rsidRPr="009F22AB">
        <w:rPr>
          <w:rFonts w:ascii="Book Antiqua" w:hAnsi="Book Antiqua"/>
          <w:lang w:val="es-DO"/>
        </w:rPr>
        <w:t>.</w:t>
      </w:r>
    </w:p>
    <w:p w14:paraId="02E74F82" w14:textId="57150E5D" w:rsidR="009F22AB" w:rsidRPr="009F22AB" w:rsidRDefault="009F22AB" w:rsidP="009F22AB">
      <w:pPr>
        <w:pStyle w:val="NormalWeb"/>
        <w:jc w:val="both"/>
        <w:rPr>
          <w:rFonts w:ascii="Book Antiqua" w:hAnsi="Book Antiqua"/>
          <w:lang w:val="es-DO"/>
        </w:rPr>
      </w:pPr>
      <w:r w:rsidRPr="009F22AB">
        <w:rPr>
          <w:rFonts w:ascii="Book Antiqua" w:hAnsi="Book Antiqua"/>
          <w:lang w:val="es-DO"/>
        </w:rPr>
        <w:t>No obstante, la A</w:t>
      </w:r>
      <w:r w:rsidR="00A93BD4">
        <w:rPr>
          <w:rFonts w:ascii="Book Antiqua" w:hAnsi="Book Antiqua"/>
          <w:lang w:val="es-DO"/>
        </w:rPr>
        <w:t>BPR</w:t>
      </w:r>
      <w:r w:rsidRPr="009F22AB">
        <w:rPr>
          <w:rFonts w:ascii="Book Antiqua" w:hAnsi="Book Antiqua"/>
          <w:lang w:val="es-DO"/>
        </w:rPr>
        <w:t xml:space="preserve"> manifestó reservas respecto a la disposición que prohibiría expresamente que dichas propiedades pudieran destinarse a otros usos. Según expuso, una limitación absoluta de esta naturaleza podría dificultar el desarrollo integral de </w:t>
      </w:r>
      <w:r w:rsidRPr="009F22AB">
        <w:rPr>
          <w:rFonts w:ascii="Book Antiqua" w:hAnsi="Book Antiqua"/>
          <w:lang w:val="es-DO"/>
        </w:rPr>
        <w:lastRenderedPageBreak/>
        <w:t>nuevas comunidades al impedir la incorporación de servicios esenciales como comercios de alimentos, servicios de salud, farmacias, instituciones financieras y otras facilidades necesarias para una convivencia adecuada. Por tal razón, recomendó que esta determinación permanezca dentro del ámbito de discreción de los municipios, de manera que puedan promover un desarrollo comunitario balanceado y acorde con las necesidades particulares de cada localidad.</w:t>
      </w:r>
    </w:p>
    <w:p w14:paraId="064C642D" w14:textId="5928B530" w:rsidR="009F22AB" w:rsidRPr="009F22AB" w:rsidRDefault="009F22AB" w:rsidP="009F22AB">
      <w:pPr>
        <w:pStyle w:val="isselectedend"/>
        <w:jc w:val="both"/>
        <w:rPr>
          <w:rFonts w:ascii="Book Antiqua" w:hAnsi="Book Antiqua"/>
          <w:lang w:val="es-DO"/>
        </w:rPr>
      </w:pPr>
      <w:r w:rsidRPr="009F22AB">
        <w:rPr>
          <w:rFonts w:ascii="Book Antiqua" w:hAnsi="Book Antiqua"/>
          <w:lang w:val="es-DO"/>
        </w:rPr>
        <w:t xml:space="preserve">El </w:t>
      </w:r>
      <w:r w:rsidRPr="009F22AB">
        <w:rPr>
          <w:rFonts w:ascii="Book Antiqua" w:hAnsi="Book Antiqua"/>
          <w:b/>
          <w:bCs/>
          <w:i/>
          <w:iCs/>
          <w:lang w:val="es-DO"/>
        </w:rPr>
        <w:t xml:space="preserve">Centro de Recaudación de Ingresos Municipales (CRIM) </w:t>
      </w:r>
      <w:r w:rsidRPr="009F22AB">
        <w:rPr>
          <w:rFonts w:ascii="Book Antiqua" w:hAnsi="Book Antiqua"/>
          <w:lang w:val="es-DO"/>
        </w:rPr>
        <w:t xml:space="preserve">compareció mediante memorial explicativo </w:t>
      </w:r>
      <w:r w:rsidR="00A93BD4">
        <w:rPr>
          <w:rFonts w:ascii="Book Antiqua" w:hAnsi="Book Antiqua"/>
          <w:lang w:val="es-DO"/>
        </w:rPr>
        <w:t>con</w:t>
      </w:r>
      <w:r w:rsidRPr="009F22AB">
        <w:rPr>
          <w:rFonts w:ascii="Book Antiqua" w:hAnsi="Book Antiqua"/>
          <w:lang w:val="es-DO"/>
        </w:rPr>
        <w:t xml:space="preserve"> fecha</w:t>
      </w:r>
      <w:r w:rsidR="00A93BD4">
        <w:rPr>
          <w:rFonts w:ascii="Book Antiqua" w:hAnsi="Book Antiqua"/>
          <w:lang w:val="es-DO"/>
        </w:rPr>
        <w:t xml:space="preserve"> de</w:t>
      </w:r>
      <w:r w:rsidRPr="009F22AB">
        <w:rPr>
          <w:rFonts w:ascii="Book Antiqua" w:hAnsi="Book Antiqua"/>
          <w:lang w:val="es-DO"/>
        </w:rPr>
        <w:t xml:space="preserve"> </w:t>
      </w:r>
      <w:r w:rsidRPr="009F22AB">
        <w:rPr>
          <w:rStyle w:val="Strong"/>
          <w:rFonts w:ascii="Book Antiqua" w:hAnsi="Book Antiqua"/>
          <w:lang w:val="es-DO"/>
        </w:rPr>
        <w:t>9 de febrero de 2026</w:t>
      </w:r>
      <w:r w:rsidRPr="009F22AB">
        <w:rPr>
          <w:rFonts w:ascii="Book Antiqua" w:hAnsi="Book Antiqua"/>
          <w:lang w:val="es-DO"/>
        </w:rPr>
        <w:t xml:space="preserve">, suscrito por su director ejecutivo, </w:t>
      </w:r>
      <w:r w:rsidRPr="009F22AB">
        <w:rPr>
          <w:rStyle w:val="Strong"/>
          <w:rFonts w:ascii="Book Antiqua" w:hAnsi="Book Antiqua"/>
          <w:lang w:val="es-DO"/>
        </w:rPr>
        <w:t>Sr. Javier J. García Cintrón</w:t>
      </w:r>
      <w:r w:rsidRPr="009F22AB">
        <w:rPr>
          <w:rFonts w:ascii="Book Antiqua" w:hAnsi="Book Antiqua"/>
          <w:lang w:val="es-DO"/>
        </w:rPr>
        <w:t xml:space="preserve">, </w:t>
      </w:r>
      <w:r w:rsidR="004C2B3E">
        <w:rPr>
          <w:rFonts w:ascii="Book Antiqua" w:hAnsi="Book Antiqua"/>
          <w:lang w:val="es-DO"/>
        </w:rPr>
        <w:t xml:space="preserve">y </w:t>
      </w:r>
      <w:r w:rsidRPr="009F22AB">
        <w:rPr>
          <w:rFonts w:ascii="Book Antiqua" w:hAnsi="Book Antiqua"/>
          <w:lang w:val="es-DO"/>
        </w:rPr>
        <w:t>explicó que la medida propone enmendar el inciso (w) del Artículo 7.003 y el Artículo 7.085 del Código Municipal de Puerto Rico con el propósito de requerir la publicación semestral de un inventario digital de las propiedades embargadas, incluyendo información sobre su ubicación, estado y jurisdicción municipal, así como establecer una política pública dirigida a fomentar el uso de dichas propiedades para vivienda asequible.</w:t>
      </w:r>
    </w:p>
    <w:p w14:paraId="3BABD3C3" w14:textId="77777777" w:rsidR="009F22AB" w:rsidRPr="009F22AB" w:rsidRDefault="009F22AB" w:rsidP="009F22AB">
      <w:pPr>
        <w:pStyle w:val="isselectedend"/>
        <w:jc w:val="both"/>
        <w:rPr>
          <w:rFonts w:ascii="Book Antiqua" w:hAnsi="Book Antiqua"/>
          <w:lang w:val="es-DO"/>
        </w:rPr>
      </w:pPr>
      <w:r w:rsidRPr="009F22AB">
        <w:rPr>
          <w:rFonts w:ascii="Book Antiqua" w:hAnsi="Book Antiqua"/>
          <w:lang w:val="es-DO"/>
        </w:rPr>
        <w:t>En cuanto a la enmienda propuesta al inciso (w) del Artículo 7.003, el CRIM expresó que no tiene objeción a la publicación de este inventario en su página web oficial, por entender que promueve una mayor transparencia y facilita el acceso de la ciudadanía a información relacionada con las propiedades embargadas. Asimismo, reiteró su disposición a colaborar con iniciativas que fomenten la divulgación de información pública, siempre que se provean los recursos necesarios para su implantación.</w:t>
      </w:r>
    </w:p>
    <w:p w14:paraId="49E7A945" w14:textId="77777777" w:rsidR="009F22AB" w:rsidRPr="009F22AB" w:rsidRDefault="009F22AB" w:rsidP="009F22AB">
      <w:pPr>
        <w:pStyle w:val="isselectedend"/>
        <w:jc w:val="both"/>
        <w:rPr>
          <w:rFonts w:ascii="Book Antiqua" w:hAnsi="Book Antiqua"/>
          <w:lang w:val="es-DO"/>
        </w:rPr>
      </w:pPr>
      <w:r w:rsidRPr="009F22AB">
        <w:rPr>
          <w:rFonts w:ascii="Book Antiqua" w:hAnsi="Book Antiqua"/>
          <w:lang w:val="es-DO"/>
        </w:rPr>
        <w:t>Por otra parte, respecto a la enmienda propuesta al Artículo 7.085, el CRIM señaló que, una vez una propiedad es adquirida mediante un procedimiento de ejecución contributiva y transferida gratuitamente al municipio correspondiente, la administración, custodia, mantenimiento, disposición y cualquier determinación sobre su uso recaen exclusivamente sobre el gobierno municipal. A esos efectos, reconoció la importancia de promover vivienda asequible y atender la problemática de las propiedades abandonadas; sin embargo, sostuvo que la determinación sobre el uso final de los inmuebles transferidos debe permanecer dentro de la esfera de autonomía y discreción municipal.</w:t>
      </w:r>
    </w:p>
    <w:p w14:paraId="57559634" w14:textId="77777777" w:rsidR="009F22AB" w:rsidRPr="009F22AB" w:rsidRDefault="009F22AB" w:rsidP="009F22AB">
      <w:pPr>
        <w:pStyle w:val="NormalWeb"/>
        <w:jc w:val="both"/>
        <w:rPr>
          <w:rFonts w:ascii="Book Antiqua" w:hAnsi="Book Antiqua"/>
          <w:lang w:val="es-DO"/>
        </w:rPr>
      </w:pPr>
      <w:r w:rsidRPr="009F22AB">
        <w:rPr>
          <w:rFonts w:ascii="Book Antiqua" w:hAnsi="Book Antiqua"/>
          <w:lang w:val="es-DO"/>
        </w:rPr>
        <w:t xml:space="preserve">Finalmente, el CRIM indicó que no tiene objeción a la enmienda relacionada con la publicación del inventario de propiedades embargadas y, en cuanto a las disposiciones relativas al uso de las propiedades transferidas, expresó deferencia a la posición que adopten la Federación de </w:t>
      </w:r>
      <w:proofErr w:type="gramStart"/>
      <w:r w:rsidRPr="009F22AB">
        <w:rPr>
          <w:rFonts w:ascii="Book Antiqua" w:hAnsi="Book Antiqua"/>
          <w:lang w:val="es-DO"/>
        </w:rPr>
        <w:t>Alcaldes</w:t>
      </w:r>
      <w:proofErr w:type="gramEnd"/>
      <w:r w:rsidRPr="009F22AB">
        <w:rPr>
          <w:rFonts w:ascii="Book Antiqua" w:hAnsi="Book Antiqua"/>
          <w:lang w:val="es-DO"/>
        </w:rPr>
        <w:t xml:space="preserve"> de Puerto Rico y la Asociación de </w:t>
      </w:r>
      <w:proofErr w:type="gramStart"/>
      <w:r w:rsidRPr="009F22AB">
        <w:rPr>
          <w:rFonts w:ascii="Book Antiqua" w:hAnsi="Book Antiqua"/>
          <w:lang w:val="es-DO"/>
        </w:rPr>
        <w:t>Alcaldes</w:t>
      </w:r>
      <w:proofErr w:type="gramEnd"/>
      <w:r w:rsidRPr="009F22AB">
        <w:rPr>
          <w:rFonts w:ascii="Book Antiqua" w:hAnsi="Book Antiqua"/>
          <w:lang w:val="es-DO"/>
        </w:rPr>
        <w:t xml:space="preserve"> de Puerto Rico, por tratarse de asuntos que inciden directamente sobre las facultades y responsabilidades de los municipios.</w:t>
      </w:r>
    </w:p>
    <w:p w14:paraId="0FB434E5" w14:textId="4C809876" w:rsidR="004C2B3E" w:rsidRPr="004C2B3E" w:rsidRDefault="004C2B3E" w:rsidP="004C2B3E">
      <w:pPr>
        <w:spacing w:before="100" w:beforeAutospacing="1" w:after="100" w:afterAutospacing="1"/>
        <w:jc w:val="both"/>
        <w:rPr>
          <w:rFonts w:ascii="Book Antiqua" w:eastAsia="Times New Roman" w:hAnsi="Book Antiqua"/>
          <w:szCs w:val="24"/>
          <w:lang w:val="es-DO"/>
        </w:rPr>
      </w:pPr>
      <w:r w:rsidRPr="004C2B3E">
        <w:rPr>
          <w:rFonts w:ascii="Book Antiqua" w:eastAsia="Times New Roman" w:hAnsi="Book Antiqua"/>
          <w:szCs w:val="24"/>
          <w:lang w:val="es-DO"/>
        </w:rPr>
        <w:t>La</w:t>
      </w:r>
      <w:r w:rsidRPr="004C2B3E">
        <w:rPr>
          <w:rFonts w:ascii="Book Antiqua" w:eastAsia="Times New Roman" w:hAnsi="Book Antiqua"/>
          <w:b/>
          <w:bCs/>
          <w:i/>
          <w:iCs/>
          <w:szCs w:val="24"/>
          <w:lang w:val="es-DO"/>
        </w:rPr>
        <w:t xml:space="preserve"> Oficina del Comisionado de Instituciones Financieras (OCIF)</w:t>
      </w:r>
      <w:r w:rsidRPr="004C2B3E">
        <w:rPr>
          <w:rFonts w:ascii="Book Antiqua" w:eastAsia="Times New Roman" w:hAnsi="Book Antiqua"/>
          <w:szCs w:val="24"/>
          <w:lang w:val="es-DO"/>
        </w:rPr>
        <w:t xml:space="preserve"> compareció mediante memorial explicativo </w:t>
      </w:r>
      <w:r w:rsidR="00A93BD4">
        <w:rPr>
          <w:rFonts w:ascii="Book Antiqua" w:eastAsia="Times New Roman" w:hAnsi="Book Antiqua"/>
          <w:szCs w:val="24"/>
          <w:lang w:val="es-DO"/>
        </w:rPr>
        <w:t>con</w:t>
      </w:r>
      <w:r w:rsidRPr="004C2B3E">
        <w:rPr>
          <w:rFonts w:ascii="Book Antiqua" w:eastAsia="Times New Roman" w:hAnsi="Book Antiqua"/>
          <w:szCs w:val="24"/>
          <w:lang w:val="es-DO"/>
        </w:rPr>
        <w:t xml:space="preserve"> fecha</w:t>
      </w:r>
      <w:r w:rsidR="00A93BD4">
        <w:rPr>
          <w:rFonts w:ascii="Book Antiqua" w:eastAsia="Times New Roman" w:hAnsi="Book Antiqua"/>
          <w:szCs w:val="24"/>
          <w:lang w:val="es-DO"/>
        </w:rPr>
        <w:t xml:space="preserve"> de</w:t>
      </w:r>
      <w:r w:rsidRPr="004C2B3E">
        <w:rPr>
          <w:rFonts w:ascii="Book Antiqua" w:eastAsia="Times New Roman" w:hAnsi="Book Antiqua"/>
          <w:szCs w:val="24"/>
          <w:lang w:val="es-DO"/>
        </w:rPr>
        <w:t xml:space="preserve"> </w:t>
      </w:r>
      <w:r w:rsidRPr="004C2B3E">
        <w:rPr>
          <w:rFonts w:ascii="Book Antiqua" w:eastAsia="Times New Roman" w:hAnsi="Book Antiqua"/>
          <w:b/>
          <w:bCs/>
          <w:szCs w:val="24"/>
          <w:lang w:val="es-DO"/>
        </w:rPr>
        <w:t>9 de marzo de 2026</w:t>
      </w:r>
      <w:r w:rsidRPr="004C2B3E">
        <w:rPr>
          <w:rFonts w:ascii="Book Antiqua" w:eastAsia="Times New Roman" w:hAnsi="Book Antiqua"/>
          <w:szCs w:val="24"/>
          <w:lang w:val="es-DO"/>
        </w:rPr>
        <w:t xml:space="preserve">, suscrito por su </w:t>
      </w:r>
      <w:proofErr w:type="gramStart"/>
      <w:r w:rsidRPr="004C2B3E">
        <w:rPr>
          <w:rFonts w:ascii="Book Antiqua" w:eastAsia="Times New Roman" w:hAnsi="Book Antiqua"/>
          <w:szCs w:val="24"/>
          <w:lang w:val="es-DO"/>
        </w:rPr>
        <w:t xml:space="preserve">comisionada, </w:t>
      </w:r>
      <w:r w:rsidR="00A93BD4">
        <w:rPr>
          <w:rFonts w:ascii="Book Antiqua" w:eastAsia="Times New Roman" w:hAnsi="Book Antiqua"/>
          <w:szCs w:val="24"/>
          <w:lang w:val="es-DO"/>
        </w:rPr>
        <w:t xml:space="preserve">  </w:t>
      </w:r>
      <w:proofErr w:type="gramEnd"/>
      <w:r w:rsidRPr="004C2B3E">
        <w:rPr>
          <w:rFonts w:ascii="Book Antiqua" w:eastAsia="Times New Roman" w:hAnsi="Book Antiqua"/>
          <w:b/>
          <w:bCs/>
          <w:szCs w:val="24"/>
          <w:lang w:val="es-DO"/>
        </w:rPr>
        <w:t>Lcda. Mónica Rodríguez Villa</w:t>
      </w:r>
      <w:r w:rsidRPr="004C2B3E">
        <w:rPr>
          <w:rFonts w:ascii="Book Antiqua" w:eastAsia="Times New Roman" w:hAnsi="Book Antiqua"/>
          <w:szCs w:val="24"/>
          <w:lang w:val="es-DO"/>
        </w:rPr>
        <w:t xml:space="preserve">, </w:t>
      </w:r>
      <w:r>
        <w:rPr>
          <w:rFonts w:ascii="Book Antiqua" w:eastAsia="Times New Roman" w:hAnsi="Book Antiqua"/>
          <w:szCs w:val="24"/>
          <w:lang w:val="es-DO"/>
        </w:rPr>
        <w:t xml:space="preserve">y </w:t>
      </w:r>
      <w:r w:rsidRPr="004C2B3E">
        <w:rPr>
          <w:rFonts w:ascii="Book Antiqua" w:eastAsia="Times New Roman" w:hAnsi="Book Antiqua"/>
          <w:szCs w:val="24"/>
          <w:lang w:val="es-DO"/>
        </w:rPr>
        <w:t xml:space="preserve">explicó que su función principal consiste en </w:t>
      </w:r>
      <w:r w:rsidRPr="004C2B3E">
        <w:rPr>
          <w:rFonts w:ascii="Book Antiqua" w:eastAsia="Times New Roman" w:hAnsi="Book Antiqua"/>
          <w:szCs w:val="24"/>
          <w:lang w:val="es-DO"/>
        </w:rPr>
        <w:lastRenderedPageBreak/>
        <w:t>reglamentar, supervisar y fiscalizar las instituciones financieras que operan en Puerto Rico para asegurar su solvencia, estabilidad y cumplimiento con el marco regulatorio aplicable. En ese sentido, señaló que la administración de propiedades embargadas por deudas contributivas municipales, así como la formulación de política pública relacionada con vivienda, desarrollo comunitario o disposición de bienes inmuebles transferidos a los municipios, no forma parte de su jurisdicción ni de las facultades que le han sido conferidas por ley.</w:t>
      </w:r>
    </w:p>
    <w:p w14:paraId="0F5DE4D9" w14:textId="77777777" w:rsidR="004C2B3E" w:rsidRPr="004C2B3E" w:rsidRDefault="004C2B3E" w:rsidP="004C2B3E">
      <w:pPr>
        <w:spacing w:before="100" w:beforeAutospacing="1" w:after="100" w:afterAutospacing="1"/>
        <w:jc w:val="both"/>
        <w:rPr>
          <w:rFonts w:ascii="Book Antiqua" w:eastAsia="Times New Roman" w:hAnsi="Book Antiqua"/>
          <w:szCs w:val="24"/>
          <w:lang w:val="es-DO"/>
        </w:rPr>
      </w:pPr>
      <w:r w:rsidRPr="004C2B3E">
        <w:rPr>
          <w:rFonts w:ascii="Book Antiqua" w:eastAsia="Times New Roman" w:hAnsi="Book Antiqua"/>
          <w:szCs w:val="24"/>
          <w:lang w:val="es-DO"/>
        </w:rPr>
        <w:t>La OCIF reconoció que la medida persigue un objetivo de alto interés público al promover el uso de propiedades transferidas por el CRIM para fomentar vivienda asequible, social y comunitaria. Sin embargo, sostuvo que tanto las funciones del CRIM como las responsabilidades de los gobiernos municipales en materia de administración y disposición de inmuebles se encuentran fuera de su ámbito regulatorio, por lo que entendió que la evaluación sustantiva del proyecto corresponde a las entidades con jurisdicción directa sobre estos asuntos.</w:t>
      </w:r>
    </w:p>
    <w:p w14:paraId="20212064" w14:textId="39752AD2" w:rsidR="004C2B3E" w:rsidRPr="004C2B3E" w:rsidRDefault="004C2B3E" w:rsidP="004C2B3E">
      <w:pPr>
        <w:spacing w:before="100" w:beforeAutospacing="1" w:after="100" w:afterAutospacing="1"/>
        <w:jc w:val="both"/>
        <w:rPr>
          <w:rFonts w:ascii="Book Antiqua" w:eastAsia="Times New Roman" w:hAnsi="Book Antiqua"/>
          <w:szCs w:val="24"/>
          <w:lang w:val="es-DO"/>
        </w:rPr>
      </w:pPr>
      <w:r w:rsidRPr="004C2B3E">
        <w:rPr>
          <w:rFonts w:ascii="Book Antiqua" w:eastAsia="Times New Roman" w:hAnsi="Book Antiqua"/>
          <w:szCs w:val="24"/>
          <w:lang w:val="es-DO"/>
        </w:rPr>
        <w:t>Por tal razón, la OCIF expresó deferencia a la evaluación técnica, administrativa e institucional que presente el CRIM respecto a la viabilidad e implementación de la medida. Asimismo, reiteró su compromiso con la protección del interés público y la estabilidad del sistema financiero, aclarando que la política pública propuesta en el proyecto no incide sobre las funciones regulatorias que ejerce dicha Oficina.</w:t>
      </w:r>
    </w:p>
    <w:p w14:paraId="31049B16" w14:textId="6C957D61" w:rsidR="004C2B3E" w:rsidRPr="004C2B3E" w:rsidRDefault="004C2B3E" w:rsidP="004C2B3E">
      <w:pPr>
        <w:spacing w:before="100" w:beforeAutospacing="1" w:after="100" w:afterAutospacing="1"/>
        <w:jc w:val="both"/>
        <w:rPr>
          <w:rFonts w:ascii="Book Antiqua" w:eastAsia="Times New Roman" w:hAnsi="Book Antiqua"/>
          <w:szCs w:val="24"/>
          <w:lang w:val="es-DO"/>
        </w:rPr>
      </w:pPr>
      <w:r w:rsidRPr="004C2B3E">
        <w:rPr>
          <w:rFonts w:ascii="Book Antiqua" w:eastAsia="Times New Roman" w:hAnsi="Book Antiqua"/>
          <w:szCs w:val="24"/>
          <w:lang w:val="es-DO"/>
        </w:rPr>
        <w:t>La</w:t>
      </w:r>
      <w:r w:rsidRPr="004C2B3E">
        <w:rPr>
          <w:rFonts w:ascii="Book Antiqua" w:eastAsia="Times New Roman" w:hAnsi="Book Antiqua"/>
          <w:b/>
          <w:bCs/>
          <w:i/>
          <w:iCs/>
          <w:szCs w:val="24"/>
          <w:lang w:val="es-DO"/>
        </w:rPr>
        <w:t xml:space="preserve"> Oficina de Gerencia y Presupuesto (OGP) </w:t>
      </w:r>
      <w:r w:rsidRPr="004C2B3E">
        <w:rPr>
          <w:rFonts w:ascii="Book Antiqua" w:eastAsia="Times New Roman" w:hAnsi="Book Antiqua"/>
          <w:szCs w:val="24"/>
          <w:lang w:val="es-DO"/>
        </w:rPr>
        <w:t xml:space="preserve">compareció mediante memorial explicativo </w:t>
      </w:r>
      <w:r w:rsidR="00A93BD4">
        <w:rPr>
          <w:rFonts w:ascii="Book Antiqua" w:eastAsia="Times New Roman" w:hAnsi="Book Antiqua"/>
          <w:szCs w:val="24"/>
          <w:lang w:val="es-DO"/>
        </w:rPr>
        <w:t>con</w:t>
      </w:r>
      <w:r w:rsidRPr="004C2B3E">
        <w:rPr>
          <w:rFonts w:ascii="Book Antiqua" w:eastAsia="Times New Roman" w:hAnsi="Book Antiqua"/>
          <w:szCs w:val="24"/>
          <w:lang w:val="es-DO"/>
        </w:rPr>
        <w:t xml:space="preserve"> fecha</w:t>
      </w:r>
      <w:r w:rsidR="00A93BD4">
        <w:rPr>
          <w:rFonts w:ascii="Book Antiqua" w:eastAsia="Times New Roman" w:hAnsi="Book Antiqua"/>
          <w:szCs w:val="24"/>
          <w:lang w:val="es-DO"/>
        </w:rPr>
        <w:t xml:space="preserve"> de</w:t>
      </w:r>
      <w:r w:rsidRPr="004C2B3E">
        <w:rPr>
          <w:rFonts w:ascii="Book Antiqua" w:eastAsia="Times New Roman" w:hAnsi="Book Antiqua"/>
          <w:szCs w:val="24"/>
          <w:lang w:val="es-DO"/>
        </w:rPr>
        <w:t xml:space="preserve"> </w:t>
      </w:r>
      <w:r w:rsidRPr="004C2B3E">
        <w:rPr>
          <w:rFonts w:ascii="Book Antiqua" w:eastAsia="Times New Roman" w:hAnsi="Book Antiqua"/>
          <w:b/>
          <w:bCs/>
          <w:szCs w:val="24"/>
          <w:lang w:val="es-DO"/>
        </w:rPr>
        <w:t>26 de mayo de 2026</w:t>
      </w:r>
      <w:r w:rsidRPr="004C2B3E">
        <w:rPr>
          <w:rFonts w:ascii="Book Antiqua" w:eastAsia="Times New Roman" w:hAnsi="Book Antiqua"/>
          <w:szCs w:val="24"/>
          <w:lang w:val="es-DO"/>
        </w:rPr>
        <w:t xml:space="preserve">, suscrito por su director, </w:t>
      </w:r>
      <w:r w:rsidRPr="004C2B3E">
        <w:rPr>
          <w:rFonts w:ascii="Book Antiqua" w:eastAsia="Times New Roman" w:hAnsi="Book Antiqua"/>
          <w:b/>
          <w:bCs/>
          <w:szCs w:val="24"/>
          <w:lang w:val="es-DO"/>
        </w:rPr>
        <w:t>Orlando C. Rivera Berríos</w:t>
      </w:r>
      <w:r w:rsidRPr="004C2B3E">
        <w:rPr>
          <w:rFonts w:ascii="Book Antiqua" w:eastAsia="Times New Roman" w:hAnsi="Book Antiqua"/>
          <w:szCs w:val="24"/>
          <w:lang w:val="es-DO"/>
        </w:rPr>
        <w:t xml:space="preserve">, </w:t>
      </w:r>
      <w:r>
        <w:rPr>
          <w:rFonts w:ascii="Book Antiqua" w:eastAsia="Times New Roman" w:hAnsi="Book Antiqua"/>
          <w:szCs w:val="24"/>
          <w:lang w:val="es-DO"/>
        </w:rPr>
        <w:t xml:space="preserve">y </w:t>
      </w:r>
      <w:r w:rsidRPr="004C2B3E">
        <w:rPr>
          <w:rFonts w:ascii="Book Antiqua" w:eastAsia="Times New Roman" w:hAnsi="Book Antiqua"/>
          <w:szCs w:val="24"/>
          <w:lang w:val="es-DO"/>
        </w:rPr>
        <w:t>reconoció la importancia de la propuesta legislativa dirigida a promover el uso de propiedades transferidas por el CRIM para el desarrollo de vivienda asequible, social y comunitaria, así como para proyectos de cooperativas de vivienda. No obstante, señaló que los aspectos sustantivos de la medida inciden principalmente sobre las facultades y responsabilidades del CRIM, entidad municipal independiente creada por el Código Municipal, por lo que entendió que corresponde a dicho organismo realizar la evaluación principal de la propuesta.</w:t>
      </w:r>
    </w:p>
    <w:p w14:paraId="18BE6912" w14:textId="77777777" w:rsidR="004C2B3E" w:rsidRPr="004C2B3E" w:rsidRDefault="004C2B3E" w:rsidP="004C2B3E">
      <w:pPr>
        <w:spacing w:before="100" w:beforeAutospacing="1" w:after="100" w:afterAutospacing="1"/>
        <w:jc w:val="both"/>
        <w:rPr>
          <w:rFonts w:ascii="Book Antiqua" w:eastAsia="Times New Roman" w:hAnsi="Book Antiqua"/>
          <w:szCs w:val="24"/>
          <w:lang w:val="es-DO"/>
        </w:rPr>
      </w:pPr>
      <w:r w:rsidRPr="004C2B3E">
        <w:rPr>
          <w:rFonts w:ascii="Book Antiqua" w:eastAsia="Times New Roman" w:hAnsi="Book Antiqua"/>
          <w:szCs w:val="24"/>
          <w:lang w:val="es-DO"/>
        </w:rPr>
        <w:t>Desde la perspectiva presupuestaria y administrativa, la OGP advirtió que la creación y publicación semestral de un inventario digital de propiedades embargadas podría conllevar costos asociados al desarrollo o adaptación de plataformas tecnológicas, mantenimiento de infraestructura, actualización de sistemas y capacitación del personal encargado de administrar dicha información. Sin embargo, indicó que el proyecto no provee información suficiente para cuantificar ese posible impacto fiscal ni identifica una fuente específica de financiamiento para sufragar dichos costos.</w:t>
      </w:r>
    </w:p>
    <w:p w14:paraId="5BD1955B" w14:textId="77777777" w:rsidR="004C2B3E" w:rsidRPr="004C2B3E" w:rsidRDefault="004C2B3E" w:rsidP="004C2B3E">
      <w:pPr>
        <w:spacing w:before="100" w:beforeAutospacing="1" w:after="100" w:afterAutospacing="1"/>
        <w:jc w:val="both"/>
        <w:rPr>
          <w:rFonts w:ascii="Book Antiqua" w:eastAsia="Times New Roman" w:hAnsi="Book Antiqua"/>
          <w:szCs w:val="24"/>
          <w:lang w:val="es-DO"/>
        </w:rPr>
      </w:pPr>
      <w:r w:rsidRPr="004C2B3E">
        <w:rPr>
          <w:rFonts w:ascii="Book Antiqua" w:eastAsia="Times New Roman" w:hAnsi="Book Antiqua"/>
          <w:szCs w:val="24"/>
          <w:lang w:val="es-DO"/>
        </w:rPr>
        <w:t xml:space="preserve">Por otra parte, la OGP recomendó que se solicitaran comentarios adicionales al CRIM y a las entidades representativas de los municipios, particularmente a la Asociación de </w:t>
      </w:r>
      <w:proofErr w:type="gramStart"/>
      <w:r w:rsidRPr="004C2B3E">
        <w:rPr>
          <w:rFonts w:ascii="Book Antiqua" w:eastAsia="Times New Roman" w:hAnsi="Book Antiqua"/>
          <w:szCs w:val="24"/>
          <w:lang w:val="es-DO"/>
        </w:rPr>
        <w:t>Alcaldes</w:t>
      </w:r>
      <w:proofErr w:type="gramEnd"/>
      <w:r w:rsidRPr="004C2B3E">
        <w:rPr>
          <w:rFonts w:ascii="Book Antiqua" w:eastAsia="Times New Roman" w:hAnsi="Book Antiqua"/>
          <w:szCs w:val="24"/>
          <w:lang w:val="es-DO"/>
        </w:rPr>
        <w:t xml:space="preserve"> de Puerto Rico y a la Federación de </w:t>
      </w:r>
      <w:proofErr w:type="gramStart"/>
      <w:r w:rsidRPr="004C2B3E">
        <w:rPr>
          <w:rFonts w:ascii="Book Antiqua" w:eastAsia="Times New Roman" w:hAnsi="Book Antiqua"/>
          <w:szCs w:val="24"/>
          <w:lang w:val="es-DO"/>
        </w:rPr>
        <w:t>Alcaldes</w:t>
      </w:r>
      <w:proofErr w:type="gramEnd"/>
      <w:r w:rsidRPr="004C2B3E">
        <w:rPr>
          <w:rFonts w:ascii="Book Antiqua" w:eastAsia="Times New Roman" w:hAnsi="Book Antiqua"/>
          <w:szCs w:val="24"/>
          <w:lang w:val="es-DO"/>
        </w:rPr>
        <w:t xml:space="preserve"> de Puerto Rico, a fin de conocer </w:t>
      </w:r>
      <w:r w:rsidRPr="004C2B3E">
        <w:rPr>
          <w:rFonts w:ascii="Book Antiqua" w:eastAsia="Times New Roman" w:hAnsi="Book Antiqua"/>
          <w:szCs w:val="24"/>
          <w:lang w:val="es-DO"/>
        </w:rPr>
        <w:lastRenderedPageBreak/>
        <w:t>sus respectivas posiciones sobre los efectos operacionales, administrativos y fiscales de la medida. Finalmente, otorgó deferencia a la opinión que estas entidades pudieran presentar, por tratarse de asuntos directamente relacionados con la autonomía municipal y la administración de propiedades bajo jurisdicción de los gobiernos municipales.</w:t>
      </w:r>
    </w:p>
    <w:p w14:paraId="4BC78F77" w14:textId="7D4B963A" w:rsidR="004C2B3E" w:rsidRPr="004C2B3E" w:rsidRDefault="004C2B3E" w:rsidP="004C2B3E">
      <w:pPr>
        <w:pStyle w:val="NormalWeb"/>
        <w:jc w:val="both"/>
        <w:rPr>
          <w:rFonts w:ascii="Book Antiqua" w:hAnsi="Book Antiqua"/>
        </w:rPr>
      </w:pPr>
      <w:r w:rsidRPr="004C2B3E">
        <w:rPr>
          <w:rFonts w:ascii="Book Antiqua" w:hAnsi="Book Antiqua"/>
        </w:rPr>
        <w:t>E</w:t>
      </w:r>
      <w:r w:rsidRPr="00A93BD4">
        <w:rPr>
          <w:rFonts w:ascii="Book Antiqua" w:hAnsi="Book Antiqua"/>
        </w:rPr>
        <w:t>l</w:t>
      </w:r>
      <w:r w:rsidRPr="005709F1">
        <w:rPr>
          <w:rFonts w:ascii="Book Antiqua" w:hAnsi="Book Antiqua"/>
          <w:b/>
          <w:bCs/>
        </w:rPr>
        <w:t xml:space="preserve"> </w:t>
      </w:r>
      <w:r w:rsidRPr="005709F1">
        <w:rPr>
          <w:rFonts w:ascii="Book Antiqua" w:hAnsi="Book Antiqua"/>
          <w:b/>
          <w:bCs/>
          <w:i/>
          <w:iCs/>
        </w:rPr>
        <w:t xml:space="preserve">Puerto Rico </w:t>
      </w:r>
      <w:proofErr w:type="spellStart"/>
      <w:r w:rsidRPr="005709F1">
        <w:rPr>
          <w:rFonts w:ascii="Book Antiqua" w:hAnsi="Book Antiqua"/>
          <w:b/>
          <w:bCs/>
          <w:i/>
          <w:iCs/>
        </w:rPr>
        <w:t>Innovation</w:t>
      </w:r>
      <w:proofErr w:type="spellEnd"/>
      <w:r w:rsidRPr="005709F1">
        <w:rPr>
          <w:rFonts w:ascii="Book Antiqua" w:hAnsi="Book Antiqua"/>
          <w:b/>
          <w:bCs/>
          <w:i/>
          <w:iCs/>
        </w:rPr>
        <w:t xml:space="preserve"> and </w:t>
      </w:r>
      <w:proofErr w:type="spellStart"/>
      <w:r w:rsidRPr="005709F1">
        <w:rPr>
          <w:rFonts w:ascii="Book Antiqua" w:hAnsi="Book Antiqua"/>
          <w:b/>
          <w:bCs/>
          <w:i/>
          <w:iCs/>
        </w:rPr>
        <w:t>Technology</w:t>
      </w:r>
      <w:proofErr w:type="spellEnd"/>
      <w:r w:rsidRPr="005709F1">
        <w:rPr>
          <w:rFonts w:ascii="Book Antiqua" w:hAnsi="Book Antiqua"/>
          <w:b/>
          <w:bCs/>
          <w:i/>
          <w:iCs/>
        </w:rPr>
        <w:t xml:space="preserve"> Service (PRITS)</w:t>
      </w:r>
      <w:r w:rsidRPr="004C2B3E">
        <w:rPr>
          <w:rFonts w:ascii="Book Antiqua" w:hAnsi="Book Antiqua"/>
          <w:i/>
          <w:iCs/>
        </w:rPr>
        <w:t xml:space="preserve"> </w:t>
      </w:r>
      <w:r w:rsidRPr="004C2B3E">
        <w:rPr>
          <w:rFonts w:ascii="Book Antiqua" w:hAnsi="Book Antiqua"/>
        </w:rPr>
        <w:t xml:space="preserve">compareció mediante memorial explicativo </w:t>
      </w:r>
      <w:r w:rsidR="00A93BD4">
        <w:rPr>
          <w:rFonts w:ascii="Book Antiqua" w:hAnsi="Book Antiqua"/>
        </w:rPr>
        <w:t>con</w:t>
      </w:r>
      <w:r w:rsidRPr="004C2B3E">
        <w:rPr>
          <w:rFonts w:ascii="Book Antiqua" w:hAnsi="Book Antiqua"/>
        </w:rPr>
        <w:t xml:space="preserve"> fecha</w:t>
      </w:r>
      <w:r w:rsidR="00A93BD4">
        <w:rPr>
          <w:rFonts w:ascii="Book Antiqua" w:hAnsi="Book Antiqua"/>
        </w:rPr>
        <w:t xml:space="preserve"> de</w:t>
      </w:r>
      <w:r w:rsidRPr="004C2B3E">
        <w:rPr>
          <w:rFonts w:ascii="Book Antiqua" w:hAnsi="Book Antiqua"/>
        </w:rPr>
        <w:t xml:space="preserve"> </w:t>
      </w:r>
      <w:r w:rsidRPr="004C2B3E">
        <w:rPr>
          <w:rStyle w:val="Strong"/>
          <w:rFonts w:ascii="Book Antiqua" w:hAnsi="Book Antiqua"/>
        </w:rPr>
        <w:t>27 de febrero de 2026</w:t>
      </w:r>
      <w:r w:rsidRPr="004C2B3E">
        <w:rPr>
          <w:rFonts w:ascii="Book Antiqua" w:hAnsi="Book Antiqua"/>
        </w:rPr>
        <w:t xml:space="preserve">, suscrito por su director ejecutivo, </w:t>
      </w:r>
      <w:r w:rsidR="00A93BD4">
        <w:rPr>
          <w:rStyle w:val="Strong"/>
          <w:rFonts w:ascii="Book Antiqua" w:hAnsi="Book Antiqua"/>
        </w:rPr>
        <w:t>P</w:t>
      </w:r>
      <w:r w:rsidRPr="004C2B3E">
        <w:rPr>
          <w:rStyle w:val="Strong"/>
          <w:rFonts w:ascii="Book Antiqua" w:hAnsi="Book Antiqua"/>
        </w:rPr>
        <w:t>oincaré Díaz Peña</w:t>
      </w:r>
      <w:r w:rsidRPr="004C2B3E">
        <w:rPr>
          <w:rFonts w:ascii="Book Antiqua" w:hAnsi="Book Antiqua"/>
        </w:rPr>
        <w:t xml:space="preserve">, </w:t>
      </w:r>
      <w:r>
        <w:rPr>
          <w:rFonts w:ascii="Book Antiqua" w:hAnsi="Book Antiqua"/>
        </w:rPr>
        <w:t>y</w:t>
      </w:r>
      <w:r w:rsidRPr="004C2B3E">
        <w:rPr>
          <w:rFonts w:ascii="Book Antiqua" w:hAnsi="Book Antiqua"/>
        </w:rPr>
        <w:t xml:space="preserve"> explicó que el proyecto persigue dos objetivos principales: requerir al CRIM la publicación semestral de un inventario digital de las propiedades embargadas, incluyendo su ubicación, estado y jurisdicción municipal, y establecer como política pública que las propiedades inmuebles transferidas gratuitamente a los municipios sean utilizadas prioritariamente para fomentar vivienda asequible, social y comunitaria, así como proyectos de cooperativas de vivienda.</w:t>
      </w:r>
    </w:p>
    <w:p w14:paraId="41D7B22E" w14:textId="77777777" w:rsidR="004C2B3E" w:rsidRPr="004C2B3E" w:rsidRDefault="004C2B3E" w:rsidP="004C2B3E">
      <w:pPr>
        <w:pStyle w:val="NormalWeb"/>
        <w:jc w:val="both"/>
        <w:rPr>
          <w:rFonts w:ascii="Book Antiqua" w:hAnsi="Book Antiqua"/>
        </w:rPr>
      </w:pPr>
      <w:r w:rsidRPr="004C2B3E">
        <w:rPr>
          <w:rFonts w:ascii="Book Antiqua" w:hAnsi="Book Antiqua"/>
        </w:rPr>
        <w:t>No obstante, la agencia señaló que las disposiciones sustantivas de la medida recaen sobre asuntos relacionados con la administración fiscal municipal, la disposición de propiedades embargadas y la formulación de política pública municipal, materias que corresponden al CRIM y a los gobiernos municipales. A esos efectos, destacó que el CRIM es una entidad municipal independiente creada por el Código Municipal y separada de la Rama Ejecutiva, mientras que PRITS tiene la responsabilidad de implantar, desarrollar y coordinar la política pública de tecnología e innovación gubernamental.</w:t>
      </w:r>
    </w:p>
    <w:p w14:paraId="286BD7CC" w14:textId="5D110BB3" w:rsidR="009F22AB" w:rsidRPr="004C2B3E" w:rsidRDefault="004C2B3E" w:rsidP="009F22AB">
      <w:pPr>
        <w:pStyle w:val="NormalWeb"/>
        <w:jc w:val="both"/>
        <w:rPr>
          <w:rFonts w:ascii="Book Antiqua" w:hAnsi="Book Antiqua"/>
        </w:rPr>
      </w:pPr>
      <w:r w:rsidRPr="004C2B3E">
        <w:rPr>
          <w:rFonts w:ascii="Book Antiqua" w:hAnsi="Book Antiqua"/>
        </w:rPr>
        <w:t>Por tal razón, PRITS concluyó que la evaluación sustantiva del proyecto no se encuentra dentro de su ámbito jurisdiccional ni de su pericia institucional, por lo que solicitó ser excusado de emitir comentarios adicionales sobre la medida. No obstante, reiteró su respaldo a aquellas iniciativas legislativas que promuevan la transparencia administrativa y el fortalecimiento de los servicios públicos, ya sean estatales o municipales, en beneficio de la ciudadanía.</w:t>
      </w:r>
    </w:p>
    <w:p w14:paraId="39FE1463" w14:textId="1C7925DF" w:rsidR="009F22AB" w:rsidRDefault="004C2B3E" w:rsidP="004C2B3E">
      <w:pPr>
        <w:tabs>
          <w:tab w:val="left" w:pos="2844"/>
        </w:tabs>
        <w:jc w:val="center"/>
        <w:rPr>
          <w:rFonts w:ascii="Book Antiqua" w:hAnsi="Book Antiqua"/>
          <w:b/>
          <w:i/>
          <w:smallCaps/>
          <w:color w:val="000000" w:themeColor="text1"/>
          <w:szCs w:val="24"/>
          <w:lang w:val="es-ES_tradnl"/>
        </w:rPr>
      </w:pPr>
      <w:r>
        <w:rPr>
          <w:rFonts w:ascii="Book Antiqua" w:hAnsi="Book Antiqua"/>
          <w:b/>
          <w:i/>
          <w:smallCaps/>
          <w:color w:val="000000" w:themeColor="text1"/>
          <w:szCs w:val="24"/>
          <w:lang w:val="es-ES_tradnl"/>
        </w:rPr>
        <w:t>Enmiendas Recomendadas</w:t>
      </w:r>
    </w:p>
    <w:p w14:paraId="269C4D9E" w14:textId="77777777" w:rsidR="00F93F7E" w:rsidRPr="00F93F7E" w:rsidRDefault="00F93F7E" w:rsidP="00F93F7E">
      <w:pPr>
        <w:pStyle w:val="isselectedend"/>
        <w:jc w:val="both"/>
        <w:rPr>
          <w:rFonts w:ascii="Book Antiqua" w:hAnsi="Book Antiqua"/>
          <w:lang w:val="es-DO"/>
        </w:rPr>
      </w:pPr>
      <w:r w:rsidRPr="00F93F7E">
        <w:rPr>
          <w:rFonts w:ascii="Book Antiqua" w:hAnsi="Book Antiqua"/>
          <w:lang w:val="es-DO"/>
        </w:rPr>
        <w:t>En el título de la medida se realizaron enmiendas de técnica legislativa dirigidas a simplificar y depurar el lenguaje utilizado, eliminando términos que resultaban redundantes. Asimismo, se añadió la frase “y para otros fines relacionados”, con el propósito de armonizar el título con la práctica legislativa vigente y reflejar adecuadamente el alcance de la medida.</w:t>
      </w:r>
    </w:p>
    <w:p w14:paraId="555A7080" w14:textId="46F2BC6B" w:rsidR="00F93F7E" w:rsidRPr="00F93F7E" w:rsidRDefault="00F93F7E" w:rsidP="00F93F7E">
      <w:pPr>
        <w:pStyle w:val="isselectedend"/>
        <w:jc w:val="both"/>
        <w:rPr>
          <w:rFonts w:ascii="Book Antiqua" w:hAnsi="Book Antiqua"/>
          <w:lang w:val="es-DO"/>
        </w:rPr>
      </w:pPr>
      <w:r w:rsidRPr="00F93F7E">
        <w:rPr>
          <w:rFonts w:ascii="Book Antiqua" w:hAnsi="Book Antiqua"/>
          <w:lang w:val="es-DO"/>
        </w:rPr>
        <w:t xml:space="preserve">En la Exposición de Motivos se eliminó la referencia a la Declaración Universal de Derechos Humanos de las Naciones Unidas. La Comisión entendió que el </w:t>
      </w:r>
      <w:proofErr w:type="gramStart"/>
      <w:r w:rsidRPr="00F93F7E">
        <w:rPr>
          <w:rFonts w:ascii="Book Antiqua" w:hAnsi="Book Antiqua"/>
          <w:lang w:val="es-DO"/>
        </w:rPr>
        <w:t>fundamento  de</w:t>
      </w:r>
      <w:proofErr w:type="gramEnd"/>
      <w:r w:rsidRPr="00F93F7E">
        <w:rPr>
          <w:rFonts w:ascii="Book Antiqua" w:hAnsi="Book Antiqua"/>
          <w:lang w:val="es-DO"/>
        </w:rPr>
        <w:t xml:space="preserve"> la medida se encuentra adecuadamente sustentado en el ordenamiento jurídico</w:t>
      </w:r>
      <w:r>
        <w:rPr>
          <w:rFonts w:ascii="Book Antiqua" w:hAnsi="Book Antiqua"/>
          <w:lang w:val="es-DO"/>
        </w:rPr>
        <w:t>,</w:t>
      </w:r>
      <w:r w:rsidRPr="00F93F7E">
        <w:rPr>
          <w:rFonts w:ascii="Book Antiqua" w:hAnsi="Book Antiqua"/>
          <w:lang w:val="es-DO"/>
        </w:rPr>
        <w:t xml:space="preserve"> particularmente en la Constitución de Puerto Rico, la Ley Núm. 97 de 10 de junio de 1972, según enmendada, conocida como la “Ley Orgánica del Departamento de la Vivienda”, y la Ley Núm. 107-2020, según enmendada, conocida como el “Código Municipal de </w:t>
      </w:r>
      <w:r w:rsidRPr="00F93F7E">
        <w:rPr>
          <w:rFonts w:ascii="Book Antiqua" w:hAnsi="Book Antiqua"/>
          <w:lang w:val="es-DO"/>
        </w:rPr>
        <w:lastRenderedPageBreak/>
        <w:t>Puerto Rico”, las cuales constituyen el marco legal aplicable a los asuntos objeto de la legislación propuesta.</w:t>
      </w:r>
    </w:p>
    <w:p w14:paraId="099AD0FE" w14:textId="40139C3F" w:rsidR="00F93F7E" w:rsidRPr="00F93F7E" w:rsidRDefault="00F93F7E" w:rsidP="00F93F7E">
      <w:pPr>
        <w:pStyle w:val="isselectedend"/>
        <w:jc w:val="both"/>
        <w:rPr>
          <w:rFonts w:ascii="Book Antiqua" w:hAnsi="Book Antiqua"/>
          <w:lang w:val="es-DO"/>
        </w:rPr>
      </w:pPr>
      <w:r w:rsidRPr="00F93F7E">
        <w:rPr>
          <w:rFonts w:ascii="Book Antiqua" w:hAnsi="Book Antiqua"/>
          <w:lang w:val="es-DO"/>
        </w:rPr>
        <w:t xml:space="preserve">En el </w:t>
      </w:r>
      <w:proofErr w:type="spellStart"/>
      <w:r w:rsidRPr="00F93F7E">
        <w:rPr>
          <w:rFonts w:ascii="Book Antiqua" w:hAnsi="Book Antiqua"/>
          <w:lang w:val="es-DO"/>
        </w:rPr>
        <w:t>Decrétase</w:t>
      </w:r>
      <w:proofErr w:type="spellEnd"/>
      <w:r w:rsidRPr="00F93F7E">
        <w:rPr>
          <w:rFonts w:ascii="Book Antiqua" w:hAnsi="Book Antiqua"/>
          <w:lang w:val="es-DO"/>
        </w:rPr>
        <w:t xml:space="preserve"> se realizaron varias enmiendas de técnica legislativa. Entre estas, se sustituyó la palabra “Artículo” por “Sección”, con el propósito de evitar confusión entre las disposiciones de</w:t>
      </w:r>
      <w:r>
        <w:rPr>
          <w:rFonts w:ascii="Book Antiqua" w:hAnsi="Book Antiqua"/>
          <w:lang w:val="es-DO"/>
        </w:rPr>
        <w:t xml:space="preserve">l </w:t>
      </w:r>
      <w:r w:rsidR="00A93BD4">
        <w:rPr>
          <w:rFonts w:ascii="Book Antiqua" w:hAnsi="Book Antiqua"/>
          <w:lang w:val="es-DO"/>
        </w:rPr>
        <w:t>p</w:t>
      </w:r>
      <w:r>
        <w:rPr>
          <w:rFonts w:ascii="Book Antiqua" w:hAnsi="Book Antiqua"/>
          <w:lang w:val="es-DO"/>
        </w:rPr>
        <w:t xml:space="preserve">royecto </w:t>
      </w:r>
      <w:r w:rsidRPr="00F93F7E">
        <w:rPr>
          <w:rFonts w:ascii="Book Antiqua" w:hAnsi="Book Antiqua"/>
          <w:lang w:val="es-DO"/>
        </w:rPr>
        <w:t xml:space="preserve">y los artículos contenidos en la ley que se pretende enmendar. De igual forma, se eliminaron las referencias al “Capítulo I del Libro VII”, por resultar innecesarias para la </w:t>
      </w:r>
      <w:r>
        <w:rPr>
          <w:rFonts w:ascii="Book Antiqua" w:hAnsi="Book Antiqua"/>
          <w:lang w:val="es-DO"/>
        </w:rPr>
        <w:t>citación</w:t>
      </w:r>
      <w:r w:rsidRPr="00F93F7E">
        <w:rPr>
          <w:rFonts w:ascii="Book Antiqua" w:hAnsi="Book Antiqua"/>
          <w:lang w:val="es-DO"/>
        </w:rPr>
        <w:t xml:space="preserve"> de las disposiciones objeto de enmienda.</w:t>
      </w:r>
    </w:p>
    <w:p w14:paraId="135068BB" w14:textId="01C392AD" w:rsidR="00F93F7E" w:rsidRPr="00F93F7E" w:rsidRDefault="00F93F7E" w:rsidP="00F93F7E">
      <w:pPr>
        <w:pStyle w:val="NormalWeb"/>
        <w:jc w:val="both"/>
        <w:rPr>
          <w:rFonts w:ascii="Book Antiqua" w:hAnsi="Book Antiqua"/>
          <w:lang w:val="es-DO"/>
        </w:rPr>
      </w:pPr>
      <w:r w:rsidRPr="00F93F7E">
        <w:rPr>
          <w:rFonts w:ascii="Book Antiqua" w:hAnsi="Book Antiqua"/>
          <w:lang w:val="es-DO"/>
        </w:rPr>
        <w:t xml:space="preserve">Por otra parte, atendiendo los planteamientos expresados por varios deponentes </w:t>
      </w:r>
      <w:proofErr w:type="gramStart"/>
      <w:r w:rsidRPr="00F93F7E">
        <w:rPr>
          <w:rFonts w:ascii="Book Antiqua" w:hAnsi="Book Antiqua"/>
          <w:lang w:val="es-DO"/>
        </w:rPr>
        <w:t>respecto  a</w:t>
      </w:r>
      <w:proofErr w:type="gramEnd"/>
      <w:r w:rsidRPr="00F93F7E">
        <w:rPr>
          <w:rFonts w:ascii="Book Antiqua" w:hAnsi="Book Antiqua"/>
          <w:lang w:val="es-DO"/>
        </w:rPr>
        <w:t xml:space="preserve"> la autonomía municipal y a la discreción que debe conservar cada municipio en la administración y disposición de los bienes transferidos por el CRIM, la Comisión determinó eliminar de la Sección 2 el lenguaje que disponía que las propiedades transferidas no podrían utilizarse para alquileres a corto plazo, fines comerciales especulativos o ventas no reguladas por legislación o reglamentación aplicable. Con esta enmienda se preserva la facultad de los municipios para determinar el mejor uso de dichas propiedades conforme a sus necesidades particulares, prioridades de desarrollo y facultades reconocidas bajo el Código Municipal de Puerto Rico.</w:t>
      </w:r>
    </w:p>
    <w:p w14:paraId="5FF25C42" w14:textId="08DE9FF7" w:rsidR="00E715F9" w:rsidRDefault="004000AE" w:rsidP="00E715F9">
      <w:pPr>
        <w:jc w:val="center"/>
        <w:rPr>
          <w:rFonts w:ascii="Book Antiqua" w:hAnsi="Book Antiqua"/>
          <w:b/>
          <w:i/>
          <w:smallCaps/>
          <w:color w:val="000000" w:themeColor="text1"/>
          <w:szCs w:val="24"/>
          <w:lang w:val="es-ES_tradnl"/>
        </w:rPr>
      </w:pPr>
      <w:r w:rsidRPr="00FF33FB">
        <w:rPr>
          <w:rFonts w:ascii="Book Antiqua" w:hAnsi="Book Antiqua"/>
          <w:b/>
          <w:i/>
          <w:smallCaps/>
          <w:color w:val="000000" w:themeColor="text1"/>
          <w:szCs w:val="24"/>
          <w:lang w:val="es-ES_tradnl"/>
        </w:rPr>
        <w:t xml:space="preserve">Análisis </w:t>
      </w:r>
      <w:r w:rsidR="00C646DB" w:rsidRPr="00FF33FB">
        <w:rPr>
          <w:rFonts w:ascii="Book Antiqua" w:hAnsi="Book Antiqua"/>
          <w:b/>
          <w:i/>
          <w:smallCaps/>
          <w:color w:val="000000" w:themeColor="text1"/>
          <w:szCs w:val="24"/>
          <w:lang w:val="es-ES_tradnl"/>
        </w:rPr>
        <w:t>De la Medida</w:t>
      </w:r>
    </w:p>
    <w:p w14:paraId="7A1B31A9" w14:textId="6850B818" w:rsidR="00AD3B30" w:rsidRPr="00AD3B30" w:rsidRDefault="00AD3B30" w:rsidP="00AD3B30">
      <w:pPr>
        <w:pStyle w:val="isselectedend"/>
        <w:jc w:val="both"/>
        <w:rPr>
          <w:rFonts w:ascii="Book Antiqua" w:hAnsi="Book Antiqua"/>
          <w:lang w:val="es-DO"/>
        </w:rPr>
      </w:pPr>
      <w:r>
        <w:rPr>
          <w:rFonts w:ascii="Book Antiqua" w:hAnsi="Book Antiqua"/>
          <w:lang w:val="es-DO"/>
        </w:rPr>
        <w:t xml:space="preserve">La </w:t>
      </w:r>
      <w:r w:rsidRPr="00AD3B30">
        <w:rPr>
          <w:rFonts w:ascii="Book Antiqua" w:hAnsi="Book Antiqua"/>
          <w:lang w:val="es-DO"/>
        </w:rPr>
        <w:t>medida</w:t>
      </w:r>
      <w:r>
        <w:rPr>
          <w:rFonts w:ascii="Book Antiqua" w:hAnsi="Book Antiqua"/>
          <w:lang w:val="es-DO"/>
        </w:rPr>
        <w:t xml:space="preserve"> bajo estudio</w:t>
      </w:r>
      <w:r w:rsidRPr="00AD3B30">
        <w:rPr>
          <w:rFonts w:ascii="Book Antiqua" w:hAnsi="Book Antiqua"/>
          <w:lang w:val="es-DO"/>
        </w:rPr>
        <w:t xml:space="preserve"> persigue un fin público legítimo al promover un uso más efectivo de las propiedades inmuebles adquiridas por el CRIM mediante procesos de ejecución contributiva. La creación de un inventario digital accesible al público fomenta la transparencia gubernamental, facilita el acceso a la información y permite identificar oportunidades para el desarrollo de proyectos de vivienda asequible, comunitaria y cooperativa en los municipios.</w:t>
      </w:r>
    </w:p>
    <w:p w14:paraId="004D0ED8" w14:textId="5E8E2FFB" w:rsidR="00AD3B30" w:rsidRPr="00AD3B30" w:rsidRDefault="00AD3B30" w:rsidP="00AD3B30">
      <w:pPr>
        <w:pStyle w:val="isselectedend"/>
        <w:jc w:val="both"/>
        <w:rPr>
          <w:rFonts w:ascii="Book Antiqua" w:hAnsi="Book Antiqua"/>
          <w:lang w:val="es-DO"/>
        </w:rPr>
      </w:pPr>
      <w:r w:rsidRPr="00AD3B30">
        <w:rPr>
          <w:rFonts w:ascii="Book Antiqua" w:hAnsi="Book Antiqua"/>
          <w:lang w:val="es-DO"/>
        </w:rPr>
        <w:t xml:space="preserve">Asimismo, la medida recibió el respaldo de los principales sectores consultados. La Asociación de </w:t>
      </w:r>
      <w:proofErr w:type="gramStart"/>
      <w:r w:rsidRPr="00AD3B30">
        <w:rPr>
          <w:rFonts w:ascii="Book Antiqua" w:hAnsi="Book Antiqua"/>
          <w:lang w:val="es-DO"/>
        </w:rPr>
        <w:t>Alcaldes</w:t>
      </w:r>
      <w:proofErr w:type="gramEnd"/>
      <w:r w:rsidR="00A93BD4">
        <w:rPr>
          <w:rFonts w:ascii="Book Antiqua" w:hAnsi="Book Antiqua"/>
          <w:lang w:val="es-DO"/>
        </w:rPr>
        <w:t xml:space="preserve"> de Puerto Rico</w:t>
      </w:r>
      <w:r w:rsidRPr="00AD3B30">
        <w:rPr>
          <w:rFonts w:ascii="Book Antiqua" w:hAnsi="Book Antiqua"/>
          <w:lang w:val="es-DO"/>
        </w:rPr>
        <w:t xml:space="preserve"> endosó la propuesta y destacó su potencial para atender necesidades de vivienda y fortalecer la utilización de propiedades actualmente subutilizadas. De igual forma, el Municipio de Ponce expresó su apoyo al proyecto por entender que constituye una herramienta útil para impulsar el desarrollo social y comunitario. Por su parte, el CRIM no presentó objeción a la publicación del inventario digital de propiedades embargadas, mientras que las demás entidades comparecientes reconocieron los méritos de la iniciativa o concedieron deferencia a las entidades municipales con jurisdicción directa sobre la materia.</w:t>
      </w:r>
    </w:p>
    <w:p w14:paraId="5C02DBBE" w14:textId="1B85A2B6" w:rsidR="00AD3B30" w:rsidRPr="00AD3B30" w:rsidRDefault="00AD3B30" w:rsidP="00AD3B30">
      <w:pPr>
        <w:pStyle w:val="NormalWeb"/>
        <w:jc w:val="both"/>
        <w:rPr>
          <w:rFonts w:ascii="Book Antiqua" w:hAnsi="Book Antiqua"/>
          <w:lang w:val="es-DO"/>
        </w:rPr>
      </w:pPr>
      <w:r w:rsidRPr="00AD3B30">
        <w:rPr>
          <w:rFonts w:ascii="Book Antiqua" w:hAnsi="Book Antiqua"/>
          <w:lang w:val="es-DO"/>
        </w:rPr>
        <w:t>En conjunto, los comentarios recibidos reflejan un consenso en torno a los beneficios de aumentar la transparencia en la administración de estas propiedades y de promover mecanismos que faciliten su aprovechamiento en beneficio de las comunidades y del desarrollo municipal.</w:t>
      </w:r>
    </w:p>
    <w:p w14:paraId="4E995367" w14:textId="555293F4" w:rsidR="00A76B51" w:rsidRDefault="00F04A9A" w:rsidP="00F34222">
      <w:pPr>
        <w:spacing w:before="100" w:beforeAutospacing="1" w:after="100" w:afterAutospacing="1"/>
        <w:jc w:val="center"/>
        <w:rPr>
          <w:rFonts w:ascii="Book Antiqua" w:hAnsi="Book Antiqua"/>
          <w:b/>
          <w:i/>
          <w:smallCaps/>
          <w:szCs w:val="24"/>
          <w:lang w:val="es-ES_tradnl"/>
        </w:rPr>
      </w:pPr>
      <w:r>
        <w:rPr>
          <w:rFonts w:ascii="Book Antiqua" w:hAnsi="Book Antiqua"/>
          <w:b/>
          <w:i/>
          <w:smallCaps/>
          <w:szCs w:val="24"/>
          <w:lang w:val="es-ES_tradnl"/>
        </w:rPr>
        <w:lastRenderedPageBreak/>
        <w:t>Impacto Fiscal</w:t>
      </w:r>
    </w:p>
    <w:p w14:paraId="32E90FA0" w14:textId="0D4BA974" w:rsidR="00476E5E" w:rsidRDefault="008E3F18" w:rsidP="00476E5E">
      <w:pPr>
        <w:jc w:val="both"/>
        <w:rPr>
          <w:rFonts w:ascii="Book Antiqua" w:hAnsi="Book Antiqua"/>
          <w:lang w:val="es-ES"/>
        </w:rPr>
      </w:pPr>
      <w:r w:rsidRPr="008E3F18">
        <w:rPr>
          <w:rFonts w:ascii="Book Antiqua" w:hAnsi="Book Antiqua"/>
          <w:lang w:val="es-ES"/>
        </w:rPr>
        <w:t xml:space="preserve">En cumplimiento </w:t>
      </w:r>
      <w:r w:rsidR="00555910">
        <w:rPr>
          <w:rFonts w:ascii="Book Antiqua" w:hAnsi="Book Antiqua"/>
          <w:lang w:val="es-ES"/>
        </w:rPr>
        <w:t>de</w:t>
      </w:r>
      <w:r w:rsidRPr="008E3F18">
        <w:rPr>
          <w:rFonts w:ascii="Book Antiqua" w:hAnsi="Book Antiqua"/>
          <w:lang w:val="es-ES"/>
        </w:rPr>
        <w:t xml:space="preserve"> lo dispuesto en el Artículo 1.007 de la Ley 107-2020 (21 L.P.R.A. § 7012), conocida como el </w:t>
      </w:r>
      <w:r w:rsidRPr="008E3F18">
        <w:rPr>
          <w:rStyle w:val="Emphasis"/>
          <w:rFonts w:ascii="Book Antiqua" w:hAnsi="Book Antiqua"/>
          <w:lang w:val="es-ES"/>
        </w:rPr>
        <w:t>Código Municipal de Puerto Rico</w:t>
      </w:r>
      <w:r w:rsidRPr="008E3F18">
        <w:rPr>
          <w:rFonts w:ascii="Book Antiqua" w:hAnsi="Book Antiqua"/>
          <w:lang w:val="es-ES"/>
        </w:rPr>
        <w:t xml:space="preserve">, la Comisión de Asuntos Municipales certifica que la medida legislativa bajo análisis no conlleva un impacto económico adverso sobre el presupuesto de los gobiernos municipales. </w:t>
      </w:r>
    </w:p>
    <w:p w14:paraId="27C3911D" w14:textId="77777777" w:rsidR="00476E5E" w:rsidRDefault="00476E5E" w:rsidP="00476E5E">
      <w:pPr>
        <w:jc w:val="both"/>
        <w:rPr>
          <w:rFonts w:ascii="Book Antiqua" w:hAnsi="Book Antiqua"/>
          <w:lang w:val="es-ES"/>
        </w:rPr>
      </w:pPr>
    </w:p>
    <w:p w14:paraId="7266900F" w14:textId="10053BC8" w:rsidR="003004EC" w:rsidRPr="007E1EA6" w:rsidRDefault="004000AE" w:rsidP="007E1EA6">
      <w:pPr>
        <w:jc w:val="center"/>
        <w:rPr>
          <w:rFonts w:ascii="Book Antiqua" w:hAnsi="Book Antiqua"/>
          <w:b/>
          <w:i/>
          <w:smallCaps/>
          <w:szCs w:val="24"/>
          <w:lang w:val="es-ES_tradnl"/>
        </w:rPr>
      </w:pPr>
      <w:r>
        <w:rPr>
          <w:rFonts w:ascii="Book Antiqua" w:hAnsi="Book Antiqua"/>
          <w:b/>
          <w:i/>
          <w:smallCaps/>
          <w:szCs w:val="24"/>
          <w:lang w:val="es-ES_tradnl"/>
        </w:rPr>
        <w:t>Conclusión</w:t>
      </w:r>
    </w:p>
    <w:p w14:paraId="0AEEC62B" w14:textId="1AD890CA" w:rsidR="008E4AC4" w:rsidRPr="008E4AC4" w:rsidRDefault="008E4AC4" w:rsidP="008E4AC4">
      <w:pPr>
        <w:pStyle w:val="NormalWeb"/>
        <w:jc w:val="both"/>
        <w:rPr>
          <w:rFonts w:ascii="Book Antiqua" w:hAnsi="Book Antiqua"/>
        </w:rPr>
      </w:pPr>
      <w:r w:rsidRPr="008E4AC4">
        <w:rPr>
          <w:rFonts w:ascii="Book Antiqua" w:hAnsi="Book Antiqua"/>
        </w:rPr>
        <w:t>Como resultado del análisis legislativo realizado, esta Comisión entiende meritorio fortalecer el marco jurídico vigente para promover un uso más efectivo y transparente de las propiedades adquiridas por el CRIM mediante procesos de ejecución contributiva. A esos fines, se propone establecer como política pública que dichos inmuebles sean destinados prioritariamente al desarrollo de vivienda asequible, social y comunitaria, a la vez que se requiere la publicación periódica de un inventario digital de las propiedades embargadas, facilitando así el acceso a la información y fomentando mayores oportunidades de desarrollo y reutilización de estos bienes en beneficio de las comunidades y los municipios.</w:t>
      </w:r>
    </w:p>
    <w:p w14:paraId="693ABEB6" w14:textId="2171CF73" w:rsidR="0076466B" w:rsidRDefault="0076466B" w:rsidP="004000AE">
      <w:pPr>
        <w:jc w:val="both"/>
        <w:rPr>
          <w:rFonts w:ascii="Book Antiqua" w:hAnsi="Book Antiqua" w:cs="Arial"/>
          <w:lang w:val="es-ES"/>
        </w:rPr>
      </w:pPr>
      <w:r>
        <w:rPr>
          <w:rFonts w:ascii="Book Antiqua" w:hAnsi="Book Antiqua" w:cs="Arial"/>
          <w:lang w:val="es-ES"/>
        </w:rPr>
        <w:t xml:space="preserve">Por todos los fundamentos expuestos, </w:t>
      </w:r>
      <w:r w:rsidR="00E304DB">
        <w:rPr>
          <w:rFonts w:ascii="Book Antiqua" w:hAnsi="Book Antiqua" w:cs="Arial"/>
          <w:lang w:val="es-ES"/>
        </w:rPr>
        <w:t>la</w:t>
      </w:r>
      <w:r>
        <w:rPr>
          <w:rFonts w:ascii="Book Antiqua" w:hAnsi="Book Antiqua" w:cs="Arial"/>
          <w:lang w:val="es-ES"/>
        </w:rPr>
        <w:t xml:space="preserve"> Comisión de Asuntos Municipales de la Cámara de Representantes recomienda a este Alto Cuerpo la aprobación del Proyecto de la Cámara </w:t>
      </w:r>
      <w:r w:rsidR="00FC47E3">
        <w:rPr>
          <w:rFonts w:ascii="Book Antiqua" w:hAnsi="Book Antiqua" w:cs="Arial"/>
          <w:lang w:val="es-ES"/>
        </w:rPr>
        <w:t>1122</w:t>
      </w:r>
      <w:r w:rsidR="00BC7B4A">
        <w:rPr>
          <w:rFonts w:ascii="Book Antiqua" w:hAnsi="Book Antiqua" w:cs="Arial"/>
          <w:lang w:val="es-ES"/>
        </w:rPr>
        <w:t xml:space="preserve">, </w:t>
      </w:r>
      <w:r w:rsidR="003A4974" w:rsidRPr="003A4974">
        <w:rPr>
          <w:rFonts w:ascii="Book Antiqua" w:hAnsi="Book Antiqua" w:cs="Arial"/>
          <w:lang w:val="es-ES"/>
        </w:rPr>
        <w:t xml:space="preserve">con las enmiendas que se incluyen en el </w:t>
      </w:r>
      <w:proofErr w:type="spellStart"/>
      <w:r w:rsidR="003A4974" w:rsidRPr="003A4974">
        <w:rPr>
          <w:rFonts w:ascii="Book Antiqua" w:hAnsi="Book Antiqua" w:cs="Arial"/>
          <w:lang w:val="es-ES"/>
        </w:rPr>
        <w:t>entirillado</w:t>
      </w:r>
      <w:proofErr w:type="spellEnd"/>
      <w:r w:rsidR="003A4974" w:rsidRPr="003A4974">
        <w:rPr>
          <w:rFonts w:ascii="Book Antiqua" w:hAnsi="Book Antiqua" w:cs="Arial"/>
          <w:lang w:val="es-ES"/>
        </w:rPr>
        <w:t xml:space="preserve"> electrónico que acompaña este informe. </w:t>
      </w:r>
    </w:p>
    <w:p w14:paraId="2D3414A2" w14:textId="77777777" w:rsidR="0076466B" w:rsidRDefault="0076466B" w:rsidP="004000AE">
      <w:pPr>
        <w:jc w:val="both"/>
        <w:rPr>
          <w:rFonts w:ascii="Book Antiqua" w:hAnsi="Book Antiqua" w:cs="Arial"/>
          <w:lang w:val="es-ES"/>
        </w:rPr>
      </w:pPr>
    </w:p>
    <w:p w14:paraId="0636930C" w14:textId="77777777" w:rsidR="00AC0B45" w:rsidRPr="00AC0B45" w:rsidRDefault="00AC0B45" w:rsidP="00AC0B45">
      <w:pPr>
        <w:jc w:val="both"/>
        <w:rPr>
          <w:rFonts w:ascii="Book Antiqua" w:hAnsi="Book Antiqua" w:cs="Arial"/>
          <w:lang w:val="es-ES"/>
        </w:rPr>
      </w:pPr>
      <w:r w:rsidRPr="00AC0B45">
        <w:rPr>
          <w:rFonts w:ascii="Book Antiqua" w:hAnsi="Book Antiqua" w:cs="Arial"/>
          <w:lang w:val="es-ES"/>
        </w:rPr>
        <w:t>Respetuosamente sometido,</w:t>
      </w:r>
    </w:p>
    <w:p w14:paraId="73C7FD62" w14:textId="77777777" w:rsidR="00AC0B45" w:rsidRPr="00AC0B45" w:rsidRDefault="00AC0B45" w:rsidP="00AC0B45">
      <w:pPr>
        <w:rPr>
          <w:lang w:val="es-ES"/>
        </w:rPr>
      </w:pPr>
    </w:p>
    <w:p w14:paraId="5A509428" w14:textId="77777777" w:rsidR="00AC0B45" w:rsidRPr="00AC0B45" w:rsidRDefault="00AC0B45" w:rsidP="00AC0B45">
      <w:pPr>
        <w:rPr>
          <w:lang w:val="es-ES"/>
        </w:rPr>
      </w:pPr>
    </w:p>
    <w:p w14:paraId="3EC4B2F2" w14:textId="77777777" w:rsidR="00304C16" w:rsidRPr="00760D4D" w:rsidRDefault="00304C16" w:rsidP="00304C16">
      <w:pPr>
        <w:jc w:val="both"/>
        <w:rPr>
          <w:rFonts w:ascii="Book Antiqua" w:hAnsi="Book Antiqua"/>
          <w:b/>
          <w:i/>
          <w:szCs w:val="24"/>
          <w:lang w:val="es-ES_tradnl"/>
        </w:rPr>
      </w:pPr>
      <w:r w:rsidRPr="00760D4D">
        <w:rPr>
          <w:rFonts w:ascii="Book Antiqua" w:hAnsi="Book Antiqua"/>
          <w:b/>
          <w:i/>
          <w:szCs w:val="24"/>
          <w:lang w:val="es-ES_tradnl"/>
        </w:rPr>
        <w:t>Luis Pérez Ortiz</w:t>
      </w:r>
    </w:p>
    <w:p w14:paraId="1293D745" w14:textId="77777777" w:rsidR="00AC0B45" w:rsidRPr="00304C16" w:rsidRDefault="00AC0B45" w:rsidP="00AC0B45">
      <w:pPr>
        <w:jc w:val="both"/>
        <w:rPr>
          <w:rFonts w:ascii="Book Antiqua" w:hAnsi="Book Antiqua" w:cs="Arial"/>
          <w:lang w:val="es-ES"/>
        </w:rPr>
      </w:pPr>
      <w:r w:rsidRPr="00304C16">
        <w:rPr>
          <w:rFonts w:ascii="Book Antiqua" w:hAnsi="Book Antiqua" w:cs="Arial"/>
          <w:lang w:val="es-ES"/>
        </w:rPr>
        <w:t>Presidente</w:t>
      </w:r>
      <w:r w:rsidRPr="00304C16">
        <w:rPr>
          <w:rFonts w:ascii="Book Antiqua" w:hAnsi="Book Antiqua" w:cs="Arial"/>
          <w:lang w:val="es-ES"/>
        </w:rPr>
        <w:tab/>
      </w:r>
    </w:p>
    <w:p w14:paraId="3D9F1629" w14:textId="4FF920AA" w:rsidR="00AC0B45" w:rsidRPr="00A30BC4" w:rsidRDefault="00AC0B45" w:rsidP="005E345A">
      <w:pPr>
        <w:jc w:val="both"/>
        <w:rPr>
          <w:rFonts w:ascii="Book Antiqua" w:hAnsi="Book Antiqua" w:cs="Arial"/>
          <w:lang w:val="es-ES"/>
        </w:rPr>
      </w:pPr>
      <w:r w:rsidRPr="00304C16">
        <w:rPr>
          <w:rFonts w:ascii="Book Antiqua" w:hAnsi="Book Antiqua" w:cs="Arial"/>
          <w:lang w:val="es-ES"/>
        </w:rPr>
        <w:t xml:space="preserve">Comisión de Asuntos Municipales   </w:t>
      </w:r>
    </w:p>
    <w:sectPr w:rsidR="00AC0B45" w:rsidRPr="00A30BC4" w:rsidSect="006705D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474FA" w14:textId="77777777" w:rsidR="005E00B2" w:rsidRDefault="005E00B2" w:rsidP="006705DD">
      <w:r>
        <w:separator/>
      </w:r>
    </w:p>
  </w:endnote>
  <w:endnote w:type="continuationSeparator" w:id="0">
    <w:p w14:paraId="799B2B0F" w14:textId="77777777" w:rsidR="005E00B2" w:rsidRDefault="005E00B2"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Times New Roman (Body CS)">
    <w:altName w:val="Times New Roman"/>
    <w:charset w:val="00"/>
    <w:family w:val="roman"/>
    <w:pitch w:val="default"/>
  </w:font>
  <w:font w:name="Noto Serif">
    <w:charset w:val="00"/>
    <w:family w:val="roman"/>
    <w:pitch w:val="variable"/>
    <w:sig w:usb0="E00002FF" w:usb1="500078FF" w:usb2="00000029"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1B15EE07"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F0DB44"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AFF63" w14:textId="77777777" w:rsidR="005E00B2" w:rsidRDefault="005E00B2" w:rsidP="006705DD">
      <w:r>
        <w:separator/>
      </w:r>
    </w:p>
  </w:footnote>
  <w:footnote w:type="continuationSeparator" w:id="0">
    <w:p w14:paraId="464F8607" w14:textId="77777777" w:rsidR="005E00B2" w:rsidRDefault="005E00B2"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0085D526"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B95075"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Pr>
        <w:rStyle w:val="PageNumber"/>
        <w:rFonts w:ascii="Book Antiqua" w:hAnsi="Book Antiqua"/>
        <w:i/>
        <w:sz w:val="22"/>
        <w:szCs w:val="22"/>
        <w:lang w:val="es-PR"/>
      </w:rPr>
      <w:t xml:space="preserve"> </w:t>
    </w:r>
    <w:r w:rsidRPr="005777F7">
      <w:rPr>
        <w:rStyle w:val="PageNumber"/>
        <w:rFonts w:ascii="Book Antiqua" w:hAnsi="Book Antiqua"/>
        <w:i/>
        <w:sz w:val="22"/>
        <w:szCs w:val="22"/>
        <w:lang w:val="es-PR"/>
      </w:rPr>
      <w:t xml:space="preserve">P. de la C. </w:t>
    </w:r>
    <w:r w:rsidR="003A4974">
      <w:rPr>
        <w:rStyle w:val="PageNumber"/>
        <w:rFonts w:ascii="Book Antiqua" w:hAnsi="Book Antiqua"/>
        <w:i/>
        <w:sz w:val="22"/>
        <w:szCs w:val="22"/>
        <w:lang w:val="es-PR"/>
      </w:rPr>
      <w:t>11</w:t>
    </w:r>
    <w:r w:rsidR="00FC47E3">
      <w:rPr>
        <w:rStyle w:val="PageNumber"/>
        <w:rFonts w:ascii="Book Antiqua" w:hAnsi="Book Antiqua"/>
        <w:i/>
        <w:sz w:val="22"/>
        <w:szCs w:val="22"/>
        <w:lang w:val="es-PR"/>
      </w:rPr>
      <w:t>2</w:t>
    </w:r>
    <w:r w:rsidR="003A4974">
      <w:rPr>
        <w:rStyle w:val="PageNumber"/>
        <w:rFonts w:ascii="Book Antiqua" w:hAnsi="Book Antiqua"/>
        <w:i/>
        <w:sz w:val="22"/>
        <w:szCs w:val="22"/>
        <w:lang w:val="es-PR"/>
      </w:rPr>
      <w:t>2</w:t>
    </w:r>
    <w:r w:rsidR="00BC7B4A">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547F"/>
    <w:multiLevelType w:val="hybridMultilevel"/>
    <w:tmpl w:val="BBC0375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B043D"/>
    <w:multiLevelType w:val="hybridMultilevel"/>
    <w:tmpl w:val="9460CA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0C69490D"/>
    <w:multiLevelType w:val="multilevel"/>
    <w:tmpl w:val="624A3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7E2CC0"/>
    <w:multiLevelType w:val="hybridMultilevel"/>
    <w:tmpl w:val="04B28FB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11632E35"/>
    <w:multiLevelType w:val="multilevel"/>
    <w:tmpl w:val="C8E6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90103C"/>
    <w:multiLevelType w:val="hybridMultilevel"/>
    <w:tmpl w:val="EC365394"/>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7576557"/>
    <w:multiLevelType w:val="multilevel"/>
    <w:tmpl w:val="F056C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7669E9"/>
    <w:multiLevelType w:val="hybridMultilevel"/>
    <w:tmpl w:val="777A11B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296256AE"/>
    <w:multiLevelType w:val="multilevel"/>
    <w:tmpl w:val="35E2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C807C9"/>
    <w:multiLevelType w:val="multilevel"/>
    <w:tmpl w:val="AE68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0D3D2A"/>
    <w:multiLevelType w:val="hybridMultilevel"/>
    <w:tmpl w:val="71E0F80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333D6D16"/>
    <w:multiLevelType w:val="multilevel"/>
    <w:tmpl w:val="5E3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35246B"/>
    <w:multiLevelType w:val="hybridMultilevel"/>
    <w:tmpl w:val="DCF418A6"/>
    <w:lvl w:ilvl="0" w:tplc="26B8A67E">
      <w:start w:val="1"/>
      <w:numFmt w:val="upp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4" w15:restartNumberingAfterBreak="0">
    <w:nsid w:val="380D7E1E"/>
    <w:multiLevelType w:val="multilevel"/>
    <w:tmpl w:val="3FE2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6A2469"/>
    <w:multiLevelType w:val="hybridMultilevel"/>
    <w:tmpl w:val="15D4D49E"/>
    <w:lvl w:ilvl="0" w:tplc="86DACA22">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3C1D530C"/>
    <w:multiLevelType w:val="hybridMultilevel"/>
    <w:tmpl w:val="66C88768"/>
    <w:lvl w:ilvl="0" w:tplc="38D25564">
      <w:start w:val="1"/>
      <w:numFmt w:val="upperRoman"/>
      <w:lvlText w:val="%1."/>
      <w:lvlJc w:val="left"/>
      <w:pPr>
        <w:ind w:left="81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6B1CD3"/>
    <w:multiLevelType w:val="hybridMultilevel"/>
    <w:tmpl w:val="A93E250E"/>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CA53925"/>
    <w:multiLevelType w:val="hybridMultilevel"/>
    <w:tmpl w:val="75886524"/>
    <w:lvl w:ilvl="0" w:tplc="2000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DD95CAC"/>
    <w:multiLevelType w:val="multilevel"/>
    <w:tmpl w:val="E7728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9F45B0"/>
    <w:multiLevelType w:val="multilevel"/>
    <w:tmpl w:val="48BA5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6C7E36"/>
    <w:multiLevelType w:val="multilevel"/>
    <w:tmpl w:val="816A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9F5291"/>
    <w:multiLevelType w:val="hybridMultilevel"/>
    <w:tmpl w:val="B45235A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47E02E9B"/>
    <w:multiLevelType w:val="hybridMultilevel"/>
    <w:tmpl w:val="54280ACA"/>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6" w15:restartNumberingAfterBreak="0">
    <w:nsid w:val="49103E17"/>
    <w:multiLevelType w:val="multilevel"/>
    <w:tmpl w:val="50229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60263D"/>
    <w:multiLevelType w:val="hybridMultilevel"/>
    <w:tmpl w:val="EA64BBD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50A45D1C"/>
    <w:multiLevelType w:val="multilevel"/>
    <w:tmpl w:val="A17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6596732"/>
    <w:multiLevelType w:val="multilevel"/>
    <w:tmpl w:val="81C63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E725BA"/>
    <w:multiLevelType w:val="multilevel"/>
    <w:tmpl w:val="3A183E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0D15F1"/>
    <w:multiLevelType w:val="multilevel"/>
    <w:tmpl w:val="EFD69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712DBB"/>
    <w:multiLevelType w:val="hybridMultilevel"/>
    <w:tmpl w:val="2EDE881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4"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5E216019"/>
    <w:multiLevelType w:val="hybridMultilevel"/>
    <w:tmpl w:val="B2B4247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6"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12229B6"/>
    <w:multiLevelType w:val="hybridMultilevel"/>
    <w:tmpl w:val="C8B0840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8"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7B42B34"/>
    <w:multiLevelType w:val="multilevel"/>
    <w:tmpl w:val="6F62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3E48DF"/>
    <w:multiLevelType w:val="hybridMultilevel"/>
    <w:tmpl w:val="D23C097E"/>
    <w:lvl w:ilvl="0" w:tplc="20000015">
      <w:start w:val="1"/>
      <w:numFmt w:val="upp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3"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4" w15:restartNumberingAfterBreak="0">
    <w:nsid w:val="74163B78"/>
    <w:multiLevelType w:val="multilevel"/>
    <w:tmpl w:val="7224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1B6F11"/>
    <w:multiLevelType w:val="multilevel"/>
    <w:tmpl w:val="62D2A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8413AFF"/>
    <w:multiLevelType w:val="multilevel"/>
    <w:tmpl w:val="FCB6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97C501D"/>
    <w:multiLevelType w:val="hybridMultilevel"/>
    <w:tmpl w:val="696256E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8" w15:restartNumberingAfterBreak="0">
    <w:nsid w:val="7A6679F1"/>
    <w:multiLevelType w:val="multilevel"/>
    <w:tmpl w:val="B852D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AF01ADC"/>
    <w:multiLevelType w:val="hybridMultilevel"/>
    <w:tmpl w:val="44C2155A"/>
    <w:lvl w:ilvl="0" w:tplc="20000001">
      <w:start w:val="1"/>
      <w:numFmt w:val="bullet"/>
      <w:lvlText w:val=""/>
      <w:lvlJc w:val="left"/>
      <w:pPr>
        <w:ind w:left="1837" w:hanging="360"/>
      </w:pPr>
      <w:rPr>
        <w:rFonts w:ascii="Symbol" w:hAnsi="Symbol" w:hint="default"/>
      </w:rPr>
    </w:lvl>
    <w:lvl w:ilvl="1" w:tplc="20000003" w:tentative="1">
      <w:start w:val="1"/>
      <w:numFmt w:val="bullet"/>
      <w:lvlText w:val="o"/>
      <w:lvlJc w:val="left"/>
      <w:pPr>
        <w:ind w:left="2557" w:hanging="360"/>
      </w:pPr>
      <w:rPr>
        <w:rFonts w:ascii="Courier New" w:hAnsi="Courier New" w:cs="Courier New" w:hint="default"/>
      </w:rPr>
    </w:lvl>
    <w:lvl w:ilvl="2" w:tplc="20000005" w:tentative="1">
      <w:start w:val="1"/>
      <w:numFmt w:val="bullet"/>
      <w:lvlText w:val=""/>
      <w:lvlJc w:val="left"/>
      <w:pPr>
        <w:ind w:left="3277" w:hanging="360"/>
      </w:pPr>
      <w:rPr>
        <w:rFonts w:ascii="Wingdings" w:hAnsi="Wingdings" w:hint="default"/>
      </w:rPr>
    </w:lvl>
    <w:lvl w:ilvl="3" w:tplc="20000001" w:tentative="1">
      <w:start w:val="1"/>
      <w:numFmt w:val="bullet"/>
      <w:lvlText w:val=""/>
      <w:lvlJc w:val="left"/>
      <w:pPr>
        <w:ind w:left="3997" w:hanging="360"/>
      </w:pPr>
      <w:rPr>
        <w:rFonts w:ascii="Symbol" w:hAnsi="Symbol" w:hint="default"/>
      </w:rPr>
    </w:lvl>
    <w:lvl w:ilvl="4" w:tplc="20000003" w:tentative="1">
      <w:start w:val="1"/>
      <w:numFmt w:val="bullet"/>
      <w:lvlText w:val="o"/>
      <w:lvlJc w:val="left"/>
      <w:pPr>
        <w:ind w:left="4717" w:hanging="360"/>
      </w:pPr>
      <w:rPr>
        <w:rFonts w:ascii="Courier New" w:hAnsi="Courier New" w:cs="Courier New" w:hint="default"/>
      </w:rPr>
    </w:lvl>
    <w:lvl w:ilvl="5" w:tplc="20000005" w:tentative="1">
      <w:start w:val="1"/>
      <w:numFmt w:val="bullet"/>
      <w:lvlText w:val=""/>
      <w:lvlJc w:val="left"/>
      <w:pPr>
        <w:ind w:left="5437" w:hanging="360"/>
      </w:pPr>
      <w:rPr>
        <w:rFonts w:ascii="Wingdings" w:hAnsi="Wingdings" w:hint="default"/>
      </w:rPr>
    </w:lvl>
    <w:lvl w:ilvl="6" w:tplc="20000001" w:tentative="1">
      <w:start w:val="1"/>
      <w:numFmt w:val="bullet"/>
      <w:lvlText w:val=""/>
      <w:lvlJc w:val="left"/>
      <w:pPr>
        <w:ind w:left="6157" w:hanging="360"/>
      </w:pPr>
      <w:rPr>
        <w:rFonts w:ascii="Symbol" w:hAnsi="Symbol" w:hint="default"/>
      </w:rPr>
    </w:lvl>
    <w:lvl w:ilvl="7" w:tplc="20000003" w:tentative="1">
      <w:start w:val="1"/>
      <w:numFmt w:val="bullet"/>
      <w:lvlText w:val="o"/>
      <w:lvlJc w:val="left"/>
      <w:pPr>
        <w:ind w:left="6877" w:hanging="360"/>
      </w:pPr>
      <w:rPr>
        <w:rFonts w:ascii="Courier New" w:hAnsi="Courier New" w:cs="Courier New" w:hint="default"/>
      </w:rPr>
    </w:lvl>
    <w:lvl w:ilvl="8" w:tplc="20000005" w:tentative="1">
      <w:start w:val="1"/>
      <w:numFmt w:val="bullet"/>
      <w:lvlText w:val=""/>
      <w:lvlJc w:val="left"/>
      <w:pPr>
        <w:ind w:left="7597" w:hanging="360"/>
      </w:pPr>
      <w:rPr>
        <w:rFonts w:ascii="Wingdings" w:hAnsi="Wingdings" w:hint="default"/>
      </w:rPr>
    </w:lvl>
  </w:abstractNum>
  <w:num w:numId="1" w16cid:durableId="1611621562">
    <w:abstractNumId w:val="1"/>
  </w:num>
  <w:num w:numId="2" w16cid:durableId="12457928">
    <w:abstractNumId w:val="36"/>
  </w:num>
  <w:num w:numId="3" w16cid:durableId="150217024">
    <w:abstractNumId w:val="38"/>
  </w:num>
  <w:num w:numId="4" w16cid:durableId="1144077218">
    <w:abstractNumId w:val="23"/>
  </w:num>
  <w:num w:numId="5" w16cid:durableId="1391071492">
    <w:abstractNumId w:val="41"/>
  </w:num>
  <w:num w:numId="6" w16cid:durableId="1887521205">
    <w:abstractNumId w:val="40"/>
  </w:num>
  <w:num w:numId="7" w16cid:durableId="172000890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34"/>
  </w:num>
  <w:num w:numId="9" w16cid:durableId="978419079">
    <w:abstractNumId w:val="22"/>
  </w:num>
  <w:num w:numId="10" w16cid:durableId="1431662367">
    <w:abstractNumId w:val="14"/>
  </w:num>
  <w:num w:numId="11" w16cid:durableId="745687741">
    <w:abstractNumId w:val="21"/>
  </w:num>
  <w:num w:numId="12" w16cid:durableId="788547495">
    <w:abstractNumId w:val="44"/>
  </w:num>
  <w:num w:numId="13" w16cid:durableId="953445716">
    <w:abstractNumId w:val="43"/>
  </w:num>
  <w:num w:numId="14" w16cid:durableId="194583800">
    <w:abstractNumId w:val="16"/>
  </w:num>
  <w:num w:numId="15" w16cid:durableId="523634993">
    <w:abstractNumId w:val="9"/>
  </w:num>
  <w:num w:numId="16" w16cid:durableId="640503561">
    <w:abstractNumId w:val="24"/>
  </w:num>
  <w:num w:numId="17" w16cid:durableId="558250333">
    <w:abstractNumId w:val="20"/>
  </w:num>
  <w:num w:numId="18" w16cid:durableId="544635036">
    <w:abstractNumId w:val="48"/>
  </w:num>
  <w:num w:numId="19" w16cid:durableId="328294607">
    <w:abstractNumId w:val="46"/>
  </w:num>
  <w:num w:numId="20" w16cid:durableId="1746873194">
    <w:abstractNumId w:val="10"/>
  </w:num>
  <w:num w:numId="21" w16cid:durableId="796483149">
    <w:abstractNumId w:val="28"/>
  </w:num>
  <w:num w:numId="22" w16cid:durableId="2005666296">
    <w:abstractNumId w:val="6"/>
  </w:num>
  <w:num w:numId="23" w16cid:durableId="1935046073">
    <w:abstractNumId w:val="39"/>
  </w:num>
  <w:num w:numId="24" w16cid:durableId="1003436762">
    <w:abstractNumId w:val="3"/>
  </w:num>
  <w:num w:numId="25" w16cid:durableId="363680753">
    <w:abstractNumId w:val="12"/>
  </w:num>
  <w:num w:numId="26" w16cid:durableId="819734833">
    <w:abstractNumId w:val="37"/>
  </w:num>
  <w:num w:numId="27" w16cid:durableId="319966295">
    <w:abstractNumId w:val="0"/>
  </w:num>
  <w:num w:numId="28" w16cid:durableId="1320692743">
    <w:abstractNumId w:val="8"/>
  </w:num>
  <w:num w:numId="29" w16cid:durableId="1485123259">
    <w:abstractNumId w:val="26"/>
  </w:num>
  <w:num w:numId="30" w16cid:durableId="994458932">
    <w:abstractNumId w:val="45"/>
  </w:num>
  <w:num w:numId="31" w16cid:durableId="1152524602">
    <w:abstractNumId w:val="31"/>
  </w:num>
  <w:num w:numId="32" w16cid:durableId="2128505462">
    <w:abstractNumId w:val="2"/>
  </w:num>
  <w:num w:numId="33" w16cid:durableId="2058430843">
    <w:abstractNumId w:val="32"/>
  </w:num>
  <w:num w:numId="34" w16cid:durableId="1740865236">
    <w:abstractNumId w:val="42"/>
  </w:num>
  <w:num w:numId="35" w16cid:durableId="1029069065">
    <w:abstractNumId w:val="47"/>
  </w:num>
  <w:num w:numId="36" w16cid:durableId="297496150">
    <w:abstractNumId w:val="18"/>
  </w:num>
  <w:num w:numId="37" w16cid:durableId="2012371553">
    <w:abstractNumId w:val="13"/>
  </w:num>
  <w:num w:numId="38" w16cid:durableId="1867980670">
    <w:abstractNumId w:val="35"/>
  </w:num>
  <w:num w:numId="39" w16cid:durableId="325211694">
    <w:abstractNumId w:val="33"/>
  </w:num>
  <w:num w:numId="40" w16cid:durableId="1164323603">
    <w:abstractNumId w:val="11"/>
  </w:num>
  <w:num w:numId="41" w16cid:durableId="157304764">
    <w:abstractNumId w:val="15"/>
  </w:num>
  <w:num w:numId="42" w16cid:durableId="1902668225">
    <w:abstractNumId w:val="17"/>
  </w:num>
  <w:num w:numId="43" w16cid:durableId="1044866197">
    <w:abstractNumId w:val="7"/>
  </w:num>
  <w:num w:numId="44" w16cid:durableId="83573246">
    <w:abstractNumId w:val="19"/>
  </w:num>
  <w:num w:numId="45" w16cid:durableId="807359248">
    <w:abstractNumId w:val="5"/>
  </w:num>
  <w:num w:numId="46" w16cid:durableId="541477430">
    <w:abstractNumId w:val="27"/>
  </w:num>
  <w:num w:numId="47" w16cid:durableId="589511529">
    <w:abstractNumId w:val="49"/>
  </w:num>
  <w:num w:numId="48" w16cid:durableId="1634141599">
    <w:abstractNumId w:val="25"/>
  </w:num>
  <w:num w:numId="49" w16cid:durableId="857041502">
    <w:abstractNumId w:val="30"/>
  </w:num>
  <w:num w:numId="50" w16cid:durableId="9814284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0258"/>
    <w:rsid w:val="00005988"/>
    <w:rsid w:val="0001317F"/>
    <w:rsid w:val="00013214"/>
    <w:rsid w:val="0001647C"/>
    <w:rsid w:val="0002078C"/>
    <w:rsid w:val="00022BDE"/>
    <w:rsid w:val="000245A3"/>
    <w:rsid w:val="0003506B"/>
    <w:rsid w:val="00040D4F"/>
    <w:rsid w:val="000412D4"/>
    <w:rsid w:val="0004232E"/>
    <w:rsid w:val="00046F97"/>
    <w:rsid w:val="000549AC"/>
    <w:rsid w:val="00055E65"/>
    <w:rsid w:val="00056F7B"/>
    <w:rsid w:val="00057481"/>
    <w:rsid w:val="0006127A"/>
    <w:rsid w:val="0006657A"/>
    <w:rsid w:val="00071193"/>
    <w:rsid w:val="000711C1"/>
    <w:rsid w:val="00075649"/>
    <w:rsid w:val="00076BE2"/>
    <w:rsid w:val="00084B35"/>
    <w:rsid w:val="000862D3"/>
    <w:rsid w:val="00093070"/>
    <w:rsid w:val="00093599"/>
    <w:rsid w:val="000A0DD0"/>
    <w:rsid w:val="000A1C03"/>
    <w:rsid w:val="000A3551"/>
    <w:rsid w:val="000A36B0"/>
    <w:rsid w:val="000A3926"/>
    <w:rsid w:val="000A3F06"/>
    <w:rsid w:val="000A55EE"/>
    <w:rsid w:val="000C7F38"/>
    <w:rsid w:val="000D4ACC"/>
    <w:rsid w:val="000E328C"/>
    <w:rsid w:val="000F2CC4"/>
    <w:rsid w:val="000F7B85"/>
    <w:rsid w:val="00103081"/>
    <w:rsid w:val="00103ADD"/>
    <w:rsid w:val="00104793"/>
    <w:rsid w:val="00113F55"/>
    <w:rsid w:val="00115CCE"/>
    <w:rsid w:val="00121062"/>
    <w:rsid w:val="00126B90"/>
    <w:rsid w:val="001319DA"/>
    <w:rsid w:val="00140FC1"/>
    <w:rsid w:val="0014633D"/>
    <w:rsid w:val="00147634"/>
    <w:rsid w:val="00155255"/>
    <w:rsid w:val="00157F39"/>
    <w:rsid w:val="00163B5C"/>
    <w:rsid w:val="00165840"/>
    <w:rsid w:val="0016665E"/>
    <w:rsid w:val="00167047"/>
    <w:rsid w:val="001735C4"/>
    <w:rsid w:val="0017614C"/>
    <w:rsid w:val="00176B06"/>
    <w:rsid w:val="00182ED3"/>
    <w:rsid w:val="0018793D"/>
    <w:rsid w:val="0019634E"/>
    <w:rsid w:val="001A2FCD"/>
    <w:rsid w:val="001A3733"/>
    <w:rsid w:val="001A6010"/>
    <w:rsid w:val="001B612F"/>
    <w:rsid w:val="001C6904"/>
    <w:rsid w:val="001D0ABB"/>
    <w:rsid w:val="001D2182"/>
    <w:rsid w:val="001D3CBC"/>
    <w:rsid w:val="001E2BBC"/>
    <w:rsid w:val="001E51A0"/>
    <w:rsid w:val="001E58FE"/>
    <w:rsid w:val="002128C3"/>
    <w:rsid w:val="00213D2F"/>
    <w:rsid w:val="00214189"/>
    <w:rsid w:val="002169FB"/>
    <w:rsid w:val="00222553"/>
    <w:rsid w:val="0022554E"/>
    <w:rsid w:val="0022643F"/>
    <w:rsid w:val="0023264E"/>
    <w:rsid w:val="002360B5"/>
    <w:rsid w:val="002370D3"/>
    <w:rsid w:val="00241C16"/>
    <w:rsid w:val="00242B71"/>
    <w:rsid w:val="00244C04"/>
    <w:rsid w:val="00245609"/>
    <w:rsid w:val="00252693"/>
    <w:rsid w:val="002713C3"/>
    <w:rsid w:val="00272761"/>
    <w:rsid w:val="00276BDD"/>
    <w:rsid w:val="00276C3E"/>
    <w:rsid w:val="002808F0"/>
    <w:rsid w:val="00281A3B"/>
    <w:rsid w:val="00290C4B"/>
    <w:rsid w:val="00296D3F"/>
    <w:rsid w:val="002B3B61"/>
    <w:rsid w:val="002D1D70"/>
    <w:rsid w:val="002D4B38"/>
    <w:rsid w:val="002E0754"/>
    <w:rsid w:val="002F2860"/>
    <w:rsid w:val="002F58EB"/>
    <w:rsid w:val="002F60E4"/>
    <w:rsid w:val="002F615B"/>
    <w:rsid w:val="003004EC"/>
    <w:rsid w:val="00300512"/>
    <w:rsid w:val="003027D7"/>
    <w:rsid w:val="00304C16"/>
    <w:rsid w:val="00326892"/>
    <w:rsid w:val="00327EDE"/>
    <w:rsid w:val="00330D59"/>
    <w:rsid w:val="003403CB"/>
    <w:rsid w:val="003428AA"/>
    <w:rsid w:val="00352C61"/>
    <w:rsid w:val="00353DB9"/>
    <w:rsid w:val="003558C7"/>
    <w:rsid w:val="00361144"/>
    <w:rsid w:val="00364DCF"/>
    <w:rsid w:val="003700E9"/>
    <w:rsid w:val="003822D7"/>
    <w:rsid w:val="00396560"/>
    <w:rsid w:val="00397AC7"/>
    <w:rsid w:val="003A4974"/>
    <w:rsid w:val="003A69EF"/>
    <w:rsid w:val="003A6E4E"/>
    <w:rsid w:val="003B644B"/>
    <w:rsid w:val="003B766F"/>
    <w:rsid w:val="003C1FA6"/>
    <w:rsid w:val="003D07D2"/>
    <w:rsid w:val="003E4264"/>
    <w:rsid w:val="003F0372"/>
    <w:rsid w:val="003F2DE1"/>
    <w:rsid w:val="003F46BE"/>
    <w:rsid w:val="003F4C87"/>
    <w:rsid w:val="003F7352"/>
    <w:rsid w:val="003F7F49"/>
    <w:rsid w:val="004000AE"/>
    <w:rsid w:val="0040062C"/>
    <w:rsid w:val="00403A15"/>
    <w:rsid w:val="00415E27"/>
    <w:rsid w:val="0042474F"/>
    <w:rsid w:val="00427A6D"/>
    <w:rsid w:val="004315C4"/>
    <w:rsid w:val="00437BDC"/>
    <w:rsid w:val="00440C62"/>
    <w:rsid w:val="00451E85"/>
    <w:rsid w:val="004538A3"/>
    <w:rsid w:val="00462A7C"/>
    <w:rsid w:val="004641B9"/>
    <w:rsid w:val="00465358"/>
    <w:rsid w:val="004663D5"/>
    <w:rsid w:val="004719B8"/>
    <w:rsid w:val="00473250"/>
    <w:rsid w:val="004733FF"/>
    <w:rsid w:val="0047602C"/>
    <w:rsid w:val="00476E5E"/>
    <w:rsid w:val="00487F38"/>
    <w:rsid w:val="0049701E"/>
    <w:rsid w:val="004A40A5"/>
    <w:rsid w:val="004A46A1"/>
    <w:rsid w:val="004B4D9C"/>
    <w:rsid w:val="004C0E27"/>
    <w:rsid w:val="004C2B3E"/>
    <w:rsid w:val="004D44C1"/>
    <w:rsid w:val="004D66E8"/>
    <w:rsid w:val="004D7CDB"/>
    <w:rsid w:val="004F0D7E"/>
    <w:rsid w:val="0050015A"/>
    <w:rsid w:val="0050357A"/>
    <w:rsid w:val="005054AB"/>
    <w:rsid w:val="00513DA9"/>
    <w:rsid w:val="0052307A"/>
    <w:rsid w:val="0052341B"/>
    <w:rsid w:val="00531976"/>
    <w:rsid w:val="00540012"/>
    <w:rsid w:val="00540C4E"/>
    <w:rsid w:val="005453CE"/>
    <w:rsid w:val="00555910"/>
    <w:rsid w:val="005616B3"/>
    <w:rsid w:val="00565C58"/>
    <w:rsid w:val="005661BC"/>
    <w:rsid w:val="005670CC"/>
    <w:rsid w:val="005709F1"/>
    <w:rsid w:val="00575591"/>
    <w:rsid w:val="00584F82"/>
    <w:rsid w:val="005852B6"/>
    <w:rsid w:val="005865D6"/>
    <w:rsid w:val="00592412"/>
    <w:rsid w:val="00592912"/>
    <w:rsid w:val="00593EDF"/>
    <w:rsid w:val="00594C0D"/>
    <w:rsid w:val="00597725"/>
    <w:rsid w:val="005C2A30"/>
    <w:rsid w:val="005C5D02"/>
    <w:rsid w:val="005C6005"/>
    <w:rsid w:val="005D4247"/>
    <w:rsid w:val="005E00B2"/>
    <w:rsid w:val="005E345A"/>
    <w:rsid w:val="005F2117"/>
    <w:rsid w:val="005F3B18"/>
    <w:rsid w:val="005F6AF9"/>
    <w:rsid w:val="00602E0C"/>
    <w:rsid w:val="00610D55"/>
    <w:rsid w:val="00611475"/>
    <w:rsid w:val="006116B8"/>
    <w:rsid w:val="0061277B"/>
    <w:rsid w:val="00613523"/>
    <w:rsid w:val="00620546"/>
    <w:rsid w:val="00623B5D"/>
    <w:rsid w:val="00624B6C"/>
    <w:rsid w:val="00625848"/>
    <w:rsid w:val="00633B31"/>
    <w:rsid w:val="0064216A"/>
    <w:rsid w:val="00642D73"/>
    <w:rsid w:val="00647E72"/>
    <w:rsid w:val="00650E7C"/>
    <w:rsid w:val="00651F6C"/>
    <w:rsid w:val="00661284"/>
    <w:rsid w:val="00663552"/>
    <w:rsid w:val="006679D2"/>
    <w:rsid w:val="006705DD"/>
    <w:rsid w:val="0067782C"/>
    <w:rsid w:val="00677ADE"/>
    <w:rsid w:val="00693386"/>
    <w:rsid w:val="006A2E89"/>
    <w:rsid w:val="006A42A4"/>
    <w:rsid w:val="006A57EC"/>
    <w:rsid w:val="006A627D"/>
    <w:rsid w:val="006B0E23"/>
    <w:rsid w:val="006C503A"/>
    <w:rsid w:val="006C6F08"/>
    <w:rsid w:val="006D2DAD"/>
    <w:rsid w:val="006E01C3"/>
    <w:rsid w:val="00716C4C"/>
    <w:rsid w:val="00716D4F"/>
    <w:rsid w:val="007202AB"/>
    <w:rsid w:val="00721BCE"/>
    <w:rsid w:val="00726C66"/>
    <w:rsid w:val="0073521E"/>
    <w:rsid w:val="00744889"/>
    <w:rsid w:val="007526B6"/>
    <w:rsid w:val="007540B2"/>
    <w:rsid w:val="00757B0E"/>
    <w:rsid w:val="0076466B"/>
    <w:rsid w:val="0076672E"/>
    <w:rsid w:val="00766BC6"/>
    <w:rsid w:val="007751EF"/>
    <w:rsid w:val="007767FD"/>
    <w:rsid w:val="00787CC3"/>
    <w:rsid w:val="00796D86"/>
    <w:rsid w:val="007A3330"/>
    <w:rsid w:val="007A442F"/>
    <w:rsid w:val="007A52BD"/>
    <w:rsid w:val="007A54B6"/>
    <w:rsid w:val="007B1F4C"/>
    <w:rsid w:val="007B284B"/>
    <w:rsid w:val="007B6A57"/>
    <w:rsid w:val="007B737C"/>
    <w:rsid w:val="007B75B4"/>
    <w:rsid w:val="007C1FB4"/>
    <w:rsid w:val="007C5402"/>
    <w:rsid w:val="007D483B"/>
    <w:rsid w:val="007D502B"/>
    <w:rsid w:val="007E1EA6"/>
    <w:rsid w:val="007E3FE5"/>
    <w:rsid w:val="007F6BCF"/>
    <w:rsid w:val="0080494A"/>
    <w:rsid w:val="00814719"/>
    <w:rsid w:val="0083160D"/>
    <w:rsid w:val="00832BE1"/>
    <w:rsid w:val="00835666"/>
    <w:rsid w:val="008516DF"/>
    <w:rsid w:val="00855DDC"/>
    <w:rsid w:val="008605D1"/>
    <w:rsid w:val="0086119E"/>
    <w:rsid w:val="00866623"/>
    <w:rsid w:val="00866FDE"/>
    <w:rsid w:val="00873014"/>
    <w:rsid w:val="00874229"/>
    <w:rsid w:val="00875311"/>
    <w:rsid w:val="0087700A"/>
    <w:rsid w:val="008945B2"/>
    <w:rsid w:val="008A1DDA"/>
    <w:rsid w:val="008A3BFF"/>
    <w:rsid w:val="008B131A"/>
    <w:rsid w:val="008B5837"/>
    <w:rsid w:val="008C171E"/>
    <w:rsid w:val="008C4E1E"/>
    <w:rsid w:val="008D3AED"/>
    <w:rsid w:val="008E3F18"/>
    <w:rsid w:val="008E3FE1"/>
    <w:rsid w:val="008E4AC4"/>
    <w:rsid w:val="008E4C98"/>
    <w:rsid w:val="008F2ADC"/>
    <w:rsid w:val="008F3240"/>
    <w:rsid w:val="00916851"/>
    <w:rsid w:val="0091696B"/>
    <w:rsid w:val="009170EF"/>
    <w:rsid w:val="00920655"/>
    <w:rsid w:val="00922DA1"/>
    <w:rsid w:val="009375FE"/>
    <w:rsid w:val="00944B6E"/>
    <w:rsid w:val="00950543"/>
    <w:rsid w:val="00953576"/>
    <w:rsid w:val="0095762D"/>
    <w:rsid w:val="0097041B"/>
    <w:rsid w:val="0098155A"/>
    <w:rsid w:val="00986544"/>
    <w:rsid w:val="00986838"/>
    <w:rsid w:val="009912EA"/>
    <w:rsid w:val="009915D8"/>
    <w:rsid w:val="00995340"/>
    <w:rsid w:val="009962C2"/>
    <w:rsid w:val="009A0D8D"/>
    <w:rsid w:val="009A24F9"/>
    <w:rsid w:val="009A375D"/>
    <w:rsid w:val="009B3675"/>
    <w:rsid w:val="009C04BD"/>
    <w:rsid w:val="009C5973"/>
    <w:rsid w:val="009C764D"/>
    <w:rsid w:val="009D7A6C"/>
    <w:rsid w:val="009D7AE4"/>
    <w:rsid w:val="009E093A"/>
    <w:rsid w:val="009E097D"/>
    <w:rsid w:val="009E291B"/>
    <w:rsid w:val="009F1CEE"/>
    <w:rsid w:val="009F22AB"/>
    <w:rsid w:val="00A00B79"/>
    <w:rsid w:val="00A06D24"/>
    <w:rsid w:val="00A2744F"/>
    <w:rsid w:val="00A30BC4"/>
    <w:rsid w:val="00A3336A"/>
    <w:rsid w:val="00A338D0"/>
    <w:rsid w:val="00A42BD2"/>
    <w:rsid w:val="00A51AED"/>
    <w:rsid w:val="00A56BC5"/>
    <w:rsid w:val="00A604CA"/>
    <w:rsid w:val="00A608EE"/>
    <w:rsid w:val="00A726BB"/>
    <w:rsid w:val="00A73459"/>
    <w:rsid w:val="00A76B51"/>
    <w:rsid w:val="00A77EEE"/>
    <w:rsid w:val="00A85717"/>
    <w:rsid w:val="00A927E0"/>
    <w:rsid w:val="00A93BD4"/>
    <w:rsid w:val="00AA0EFC"/>
    <w:rsid w:val="00AA4EE8"/>
    <w:rsid w:val="00AC0B45"/>
    <w:rsid w:val="00AC3938"/>
    <w:rsid w:val="00AC6688"/>
    <w:rsid w:val="00AD3B30"/>
    <w:rsid w:val="00AD40D0"/>
    <w:rsid w:val="00AD7C3F"/>
    <w:rsid w:val="00AE53C7"/>
    <w:rsid w:val="00AE7201"/>
    <w:rsid w:val="00AF630A"/>
    <w:rsid w:val="00B11907"/>
    <w:rsid w:val="00B24635"/>
    <w:rsid w:val="00B25CAC"/>
    <w:rsid w:val="00B34FF4"/>
    <w:rsid w:val="00B35636"/>
    <w:rsid w:val="00B41353"/>
    <w:rsid w:val="00B41EA0"/>
    <w:rsid w:val="00B4493C"/>
    <w:rsid w:val="00B64DBC"/>
    <w:rsid w:val="00B656A1"/>
    <w:rsid w:val="00B65D50"/>
    <w:rsid w:val="00B66415"/>
    <w:rsid w:val="00B67267"/>
    <w:rsid w:val="00B75683"/>
    <w:rsid w:val="00B76FC7"/>
    <w:rsid w:val="00B921EB"/>
    <w:rsid w:val="00B95434"/>
    <w:rsid w:val="00B958BB"/>
    <w:rsid w:val="00B97282"/>
    <w:rsid w:val="00BB04FE"/>
    <w:rsid w:val="00BB54F0"/>
    <w:rsid w:val="00BC1282"/>
    <w:rsid w:val="00BC4AEA"/>
    <w:rsid w:val="00BC7B4A"/>
    <w:rsid w:val="00BD740D"/>
    <w:rsid w:val="00BE62B2"/>
    <w:rsid w:val="00BF2933"/>
    <w:rsid w:val="00BF30CB"/>
    <w:rsid w:val="00BF3E46"/>
    <w:rsid w:val="00BF4C79"/>
    <w:rsid w:val="00BF76DF"/>
    <w:rsid w:val="00C0097E"/>
    <w:rsid w:val="00C030CA"/>
    <w:rsid w:val="00C0489D"/>
    <w:rsid w:val="00C04CC4"/>
    <w:rsid w:val="00C05074"/>
    <w:rsid w:val="00C06BB6"/>
    <w:rsid w:val="00C20727"/>
    <w:rsid w:val="00C23448"/>
    <w:rsid w:val="00C2466C"/>
    <w:rsid w:val="00C3342E"/>
    <w:rsid w:val="00C364C6"/>
    <w:rsid w:val="00C445E0"/>
    <w:rsid w:val="00C50A34"/>
    <w:rsid w:val="00C54F93"/>
    <w:rsid w:val="00C55349"/>
    <w:rsid w:val="00C615C8"/>
    <w:rsid w:val="00C646DB"/>
    <w:rsid w:val="00C70147"/>
    <w:rsid w:val="00C72ADD"/>
    <w:rsid w:val="00C72BDF"/>
    <w:rsid w:val="00C746E5"/>
    <w:rsid w:val="00C868AA"/>
    <w:rsid w:val="00C93A19"/>
    <w:rsid w:val="00C971D6"/>
    <w:rsid w:val="00CA25B9"/>
    <w:rsid w:val="00CA25DD"/>
    <w:rsid w:val="00CB3CC1"/>
    <w:rsid w:val="00CB506C"/>
    <w:rsid w:val="00CB59F2"/>
    <w:rsid w:val="00CB7443"/>
    <w:rsid w:val="00CB7CBF"/>
    <w:rsid w:val="00CC0AC2"/>
    <w:rsid w:val="00CC0ACA"/>
    <w:rsid w:val="00CC169F"/>
    <w:rsid w:val="00CD4524"/>
    <w:rsid w:val="00CD6F6C"/>
    <w:rsid w:val="00CD7998"/>
    <w:rsid w:val="00CD7C8F"/>
    <w:rsid w:val="00CE50B0"/>
    <w:rsid w:val="00CE6859"/>
    <w:rsid w:val="00CE732F"/>
    <w:rsid w:val="00CE7FD0"/>
    <w:rsid w:val="00CF3279"/>
    <w:rsid w:val="00CF40DD"/>
    <w:rsid w:val="00D07AF6"/>
    <w:rsid w:val="00D10164"/>
    <w:rsid w:val="00D33C52"/>
    <w:rsid w:val="00D36F4D"/>
    <w:rsid w:val="00D400B4"/>
    <w:rsid w:val="00D46E38"/>
    <w:rsid w:val="00D54D79"/>
    <w:rsid w:val="00D66F82"/>
    <w:rsid w:val="00D75329"/>
    <w:rsid w:val="00D83BC1"/>
    <w:rsid w:val="00D905F2"/>
    <w:rsid w:val="00DA02ED"/>
    <w:rsid w:val="00DA09E1"/>
    <w:rsid w:val="00DA7015"/>
    <w:rsid w:val="00DB2939"/>
    <w:rsid w:val="00DB2C23"/>
    <w:rsid w:val="00DB35F9"/>
    <w:rsid w:val="00DD3A6C"/>
    <w:rsid w:val="00DD419A"/>
    <w:rsid w:val="00DE2021"/>
    <w:rsid w:val="00DE6EF5"/>
    <w:rsid w:val="00E00404"/>
    <w:rsid w:val="00E104AB"/>
    <w:rsid w:val="00E1059A"/>
    <w:rsid w:val="00E227DF"/>
    <w:rsid w:val="00E27098"/>
    <w:rsid w:val="00E27A93"/>
    <w:rsid w:val="00E3046D"/>
    <w:rsid w:val="00E304DB"/>
    <w:rsid w:val="00E3239A"/>
    <w:rsid w:val="00E46361"/>
    <w:rsid w:val="00E47CDB"/>
    <w:rsid w:val="00E501A0"/>
    <w:rsid w:val="00E53603"/>
    <w:rsid w:val="00E61D3F"/>
    <w:rsid w:val="00E662B1"/>
    <w:rsid w:val="00E66D25"/>
    <w:rsid w:val="00E67722"/>
    <w:rsid w:val="00E70E1E"/>
    <w:rsid w:val="00E715F9"/>
    <w:rsid w:val="00E7435A"/>
    <w:rsid w:val="00E77106"/>
    <w:rsid w:val="00E8150B"/>
    <w:rsid w:val="00E87DFC"/>
    <w:rsid w:val="00E946CD"/>
    <w:rsid w:val="00EA0424"/>
    <w:rsid w:val="00EA1A07"/>
    <w:rsid w:val="00EA3EBA"/>
    <w:rsid w:val="00EA5C52"/>
    <w:rsid w:val="00EA7DC1"/>
    <w:rsid w:val="00EB166E"/>
    <w:rsid w:val="00EB1E3E"/>
    <w:rsid w:val="00EC506A"/>
    <w:rsid w:val="00EC6777"/>
    <w:rsid w:val="00EC745B"/>
    <w:rsid w:val="00ED418B"/>
    <w:rsid w:val="00ED6D04"/>
    <w:rsid w:val="00EE5D67"/>
    <w:rsid w:val="00EE6494"/>
    <w:rsid w:val="00EF07C1"/>
    <w:rsid w:val="00F043A8"/>
    <w:rsid w:val="00F04A9A"/>
    <w:rsid w:val="00F11058"/>
    <w:rsid w:val="00F173C8"/>
    <w:rsid w:val="00F179C6"/>
    <w:rsid w:val="00F21142"/>
    <w:rsid w:val="00F21769"/>
    <w:rsid w:val="00F24049"/>
    <w:rsid w:val="00F34222"/>
    <w:rsid w:val="00F36C5D"/>
    <w:rsid w:val="00F41A19"/>
    <w:rsid w:val="00F44081"/>
    <w:rsid w:val="00F46A5B"/>
    <w:rsid w:val="00F4737F"/>
    <w:rsid w:val="00F570AA"/>
    <w:rsid w:val="00F664B4"/>
    <w:rsid w:val="00F745F6"/>
    <w:rsid w:val="00F855AC"/>
    <w:rsid w:val="00F907CB"/>
    <w:rsid w:val="00F93F7E"/>
    <w:rsid w:val="00FC11CC"/>
    <w:rsid w:val="00FC47E3"/>
    <w:rsid w:val="00FC6CDB"/>
    <w:rsid w:val="00FC7A0C"/>
    <w:rsid w:val="00FD217D"/>
    <w:rsid w:val="00FE1861"/>
    <w:rsid w:val="00FE34F3"/>
    <w:rsid w:val="00FE4E48"/>
    <w:rsid w:val="00FF33FB"/>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006252E0-B772-458E-8135-620798DBE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3">
    <w:name w:val="heading 3"/>
    <w:basedOn w:val="Normal"/>
    <w:next w:val="Normal"/>
    <w:link w:val="Heading3Char"/>
    <w:uiPriority w:val="9"/>
    <w:unhideWhenUsed/>
    <w:qFormat/>
    <w:rsid w:val="008E3F18"/>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73521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qFormat/>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qFormat/>
    <w:rsid w:val="0050357A"/>
    <w:rPr>
      <w:sz w:val="24"/>
      <w:szCs w:val="24"/>
      <w:lang w:val="es-PR"/>
    </w:rPr>
  </w:style>
  <w:style w:type="character" w:styleId="FootnoteReference">
    <w:name w:val="footnote reference"/>
    <w:basedOn w:val="DefaultParagraphFont"/>
    <w:uiPriority w:val="99"/>
    <w:unhideWhenUsed/>
    <w:qFormat/>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Heading4Char">
    <w:name w:val="Heading 4 Char"/>
    <w:basedOn w:val="DefaultParagraphFont"/>
    <w:link w:val="Heading4"/>
    <w:uiPriority w:val="9"/>
    <w:semiHidden/>
    <w:rsid w:val="0073521E"/>
    <w:rPr>
      <w:rFonts w:asciiTheme="majorHAnsi" w:eastAsiaTheme="majorEastAsia" w:hAnsiTheme="majorHAnsi" w:cstheme="majorBidi"/>
      <w:i/>
      <w:iCs/>
      <w:color w:val="2E74B5" w:themeColor="accent1" w:themeShade="BF"/>
      <w:sz w:val="24"/>
      <w:szCs w:val="20"/>
    </w:rPr>
  </w:style>
  <w:style w:type="paragraph" w:customStyle="1" w:styleId="FootnoteText1">
    <w:name w:val="Footnote Text1"/>
    <w:basedOn w:val="Normal"/>
    <w:next w:val="FootnoteText"/>
    <w:uiPriority w:val="99"/>
    <w:semiHidden/>
    <w:unhideWhenUsed/>
    <w:rsid w:val="005616B3"/>
    <w:rPr>
      <w:rFonts w:asciiTheme="minorHAnsi" w:eastAsiaTheme="minorHAnsi" w:hAnsiTheme="minorHAnsi" w:cs="Times New Roman (Body CS)"/>
      <w:sz w:val="20"/>
    </w:rPr>
  </w:style>
  <w:style w:type="paragraph" w:styleId="NoSpacing">
    <w:name w:val="No Spacing"/>
    <w:uiPriority w:val="1"/>
    <w:qFormat/>
    <w:rsid w:val="000245A3"/>
    <w:pPr>
      <w:jc w:val="left"/>
    </w:pPr>
    <w:rPr>
      <w:rFonts w:ascii="Calibri" w:eastAsia="Calibri" w:hAnsi="Calibri" w:cs="Times New Roman"/>
      <w:lang w:val="es-PR"/>
    </w:rPr>
  </w:style>
  <w:style w:type="character" w:customStyle="1" w:styleId="Bodytext2">
    <w:name w:val="Body text (2)_"/>
    <w:basedOn w:val="DefaultParagraphFont"/>
    <w:link w:val="Bodytext20"/>
    <w:uiPriority w:val="99"/>
    <w:rsid w:val="00953576"/>
    <w:rPr>
      <w:shd w:val="clear" w:color="auto" w:fill="FFFFFF"/>
    </w:rPr>
  </w:style>
  <w:style w:type="paragraph" w:customStyle="1" w:styleId="Bodytext20">
    <w:name w:val="Body text (2)"/>
    <w:basedOn w:val="Normal"/>
    <w:link w:val="Bodytext2"/>
    <w:uiPriority w:val="99"/>
    <w:rsid w:val="00953576"/>
    <w:pPr>
      <w:widowControl w:val="0"/>
      <w:shd w:val="clear" w:color="auto" w:fill="FFFFFF"/>
      <w:spacing w:line="295" w:lineRule="exact"/>
      <w:ind w:hanging="500"/>
      <w:jc w:val="right"/>
    </w:pPr>
    <w:rPr>
      <w:rFonts w:asciiTheme="minorHAnsi" w:eastAsiaTheme="minorHAnsi" w:hAnsiTheme="minorHAnsi" w:cstheme="minorBidi"/>
      <w:sz w:val="22"/>
      <w:szCs w:val="22"/>
    </w:rPr>
  </w:style>
  <w:style w:type="character" w:customStyle="1" w:styleId="Heading3Char">
    <w:name w:val="Heading 3 Char"/>
    <w:basedOn w:val="DefaultParagraphFont"/>
    <w:link w:val="Heading3"/>
    <w:uiPriority w:val="9"/>
    <w:rsid w:val="008E3F18"/>
    <w:rPr>
      <w:rFonts w:asciiTheme="majorHAnsi" w:eastAsiaTheme="majorEastAsia" w:hAnsiTheme="majorHAnsi" w:cstheme="majorBidi"/>
      <w:color w:val="1F4D78" w:themeColor="accent1" w:themeShade="7F"/>
      <w:sz w:val="24"/>
      <w:szCs w:val="24"/>
    </w:rPr>
  </w:style>
  <w:style w:type="character" w:customStyle="1" w:styleId="whitespace-normal">
    <w:name w:val="whitespace-normal"/>
    <w:basedOn w:val="DefaultParagraphFont"/>
    <w:rsid w:val="002128C3"/>
  </w:style>
  <w:style w:type="paragraph" w:styleId="EndnoteText">
    <w:name w:val="endnote text"/>
    <w:basedOn w:val="Normal"/>
    <w:link w:val="EndnoteTextChar"/>
    <w:uiPriority w:val="99"/>
    <w:semiHidden/>
    <w:unhideWhenUsed/>
    <w:rsid w:val="00427A6D"/>
    <w:rPr>
      <w:rFonts w:asciiTheme="minorHAnsi" w:eastAsiaTheme="minorHAnsi" w:hAnsiTheme="minorHAnsi" w:cstheme="minorBidi"/>
      <w:kern w:val="2"/>
      <w:sz w:val="20"/>
      <w14:ligatures w14:val="standardContextual"/>
    </w:rPr>
  </w:style>
  <w:style w:type="character" w:customStyle="1" w:styleId="EndnoteTextChar">
    <w:name w:val="Endnote Text Char"/>
    <w:basedOn w:val="DefaultParagraphFont"/>
    <w:link w:val="EndnoteText"/>
    <w:uiPriority w:val="99"/>
    <w:semiHidden/>
    <w:rsid w:val="00427A6D"/>
    <w:rPr>
      <w:kern w:val="2"/>
      <w:sz w:val="20"/>
      <w:szCs w:val="20"/>
      <w14:ligatures w14:val="standardContextual"/>
    </w:rPr>
  </w:style>
  <w:style w:type="character" w:styleId="EndnoteReference">
    <w:name w:val="endnote reference"/>
    <w:basedOn w:val="DefaultParagraphFont"/>
    <w:uiPriority w:val="99"/>
    <w:semiHidden/>
    <w:unhideWhenUsed/>
    <w:rsid w:val="00427A6D"/>
    <w:rPr>
      <w:vertAlign w:val="superscript"/>
    </w:rPr>
  </w:style>
  <w:style w:type="paragraph" w:customStyle="1" w:styleId="isselectedend">
    <w:name w:val="isselectedend"/>
    <w:basedOn w:val="Normal"/>
    <w:rsid w:val="00B4493C"/>
    <w:pPr>
      <w:spacing w:before="100" w:beforeAutospacing="1" w:after="100" w:afterAutospacing="1"/>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9260">
      <w:bodyDiv w:val="1"/>
      <w:marLeft w:val="0"/>
      <w:marRight w:val="0"/>
      <w:marTop w:val="0"/>
      <w:marBottom w:val="0"/>
      <w:divBdr>
        <w:top w:val="none" w:sz="0" w:space="0" w:color="auto"/>
        <w:left w:val="none" w:sz="0" w:space="0" w:color="auto"/>
        <w:bottom w:val="none" w:sz="0" w:space="0" w:color="auto"/>
        <w:right w:val="none" w:sz="0" w:space="0" w:color="auto"/>
      </w:divBdr>
    </w:div>
    <w:div w:id="16781907">
      <w:bodyDiv w:val="1"/>
      <w:marLeft w:val="0"/>
      <w:marRight w:val="0"/>
      <w:marTop w:val="0"/>
      <w:marBottom w:val="0"/>
      <w:divBdr>
        <w:top w:val="none" w:sz="0" w:space="0" w:color="auto"/>
        <w:left w:val="none" w:sz="0" w:space="0" w:color="auto"/>
        <w:bottom w:val="none" w:sz="0" w:space="0" w:color="auto"/>
        <w:right w:val="none" w:sz="0" w:space="0" w:color="auto"/>
      </w:divBdr>
    </w:div>
    <w:div w:id="93791814">
      <w:bodyDiv w:val="1"/>
      <w:marLeft w:val="0"/>
      <w:marRight w:val="0"/>
      <w:marTop w:val="0"/>
      <w:marBottom w:val="0"/>
      <w:divBdr>
        <w:top w:val="none" w:sz="0" w:space="0" w:color="auto"/>
        <w:left w:val="none" w:sz="0" w:space="0" w:color="auto"/>
        <w:bottom w:val="none" w:sz="0" w:space="0" w:color="auto"/>
        <w:right w:val="none" w:sz="0" w:space="0" w:color="auto"/>
      </w:divBdr>
    </w:div>
    <w:div w:id="97335297">
      <w:bodyDiv w:val="1"/>
      <w:marLeft w:val="0"/>
      <w:marRight w:val="0"/>
      <w:marTop w:val="0"/>
      <w:marBottom w:val="0"/>
      <w:divBdr>
        <w:top w:val="none" w:sz="0" w:space="0" w:color="auto"/>
        <w:left w:val="none" w:sz="0" w:space="0" w:color="auto"/>
        <w:bottom w:val="none" w:sz="0" w:space="0" w:color="auto"/>
        <w:right w:val="none" w:sz="0" w:space="0" w:color="auto"/>
      </w:divBdr>
    </w:div>
    <w:div w:id="100028018">
      <w:bodyDiv w:val="1"/>
      <w:marLeft w:val="0"/>
      <w:marRight w:val="0"/>
      <w:marTop w:val="0"/>
      <w:marBottom w:val="0"/>
      <w:divBdr>
        <w:top w:val="none" w:sz="0" w:space="0" w:color="auto"/>
        <w:left w:val="none" w:sz="0" w:space="0" w:color="auto"/>
        <w:bottom w:val="none" w:sz="0" w:space="0" w:color="auto"/>
        <w:right w:val="none" w:sz="0" w:space="0" w:color="auto"/>
      </w:divBdr>
    </w:div>
    <w:div w:id="168909140">
      <w:bodyDiv w:val="1"/>
      <w:marLeft w:val="0"/>
      <w:marRight w:val="0"/>
      <w:marTop w:val="0"/>
      <w:marBottom w:val="0"/>
      <w:divBdr>
        <w:top w:val="none" w:sz="0" w:space="0" w:color="auto"/>
        <w:left w:val="none" w:sz="0" w:space="0" w:color="auto"/>
        <w:bottom w:val="none" w:sz="0" w:space="0" w:color="auto"/>
        <w:right w:val="none" w:sz="0" w:space="0" w:color="auto"/>
      </w:divBdr>
    </w:div>
    <w:div w:id="175729554">
      <w:bodyDiv w:val="1"/>
      <w:marLeft w:val="0"/>
      <w:marRight w:val="0"/>
      <w:marTop w:val="0"/>
      <w:marBottom w:val="0"/>
      <w:divBdr>
        <w:top w:val="none" w:sz="0" w:space="0" w:color="auto"/>
        <w:left w:val="none" w:sz="0" w:space="0" w:color="auto"/>
        <w:bottom w:val="none" w:sz="0" w:space="0" w:color="auto"/>
        <w:right w:val="none" w:sz="0" w:space="0" w:color="auto"/>
      </w:divBdr>
    </w:div>
    <w:div w:id="208228448">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98613740">
      <w:bodyDiv w:val="1"/>
      <w:marLeft w:val="0"/>
      <w:marRight w:val="0"/>
      <w:marTop w:val="0"/>
      <w:marBottom w:val="0"/>
      <w:divBdr>
        <w:top w:val="none" w:sz="0" w:space="0" w:color="auto"/>
        <w:left w:val="none" w:sz="0" w:space="0" w:color="auto"/>
        <w:bottom w:val="none" w:sz="0" w:space="0" w:color="auto"/>
        <w:right w:val="none" w:sz="0" w:space="0" w:color="auto"/>
      </w:divBdr>
    </w:div>
    <w:div w:id="309336393">
      <w:bodyDiv w:val="1"/>
      <w:marLeft w:val="0"/>
      <w:marRight w:val="0"/>
      <w:marTop w:val="0"/>
      <w:marBottom w:val="0"/>
      <w:divBdr>
        <w:top w:val="none" w:sz="0" w:space="0" w:color="auto"/>
        <w:left w:val="none" w:sz="0" w:space="0" w:color="auto"/>
        <w:bottom w:val="none" w:sz="0" w:space="0" w:color="auto"/>
        <w:right w:val="none" w:sz="0" w:space="0" w:color="auto"/>
      </w:divBdr>
    </w:div>
    <w:div w:id="334768709">
      <w:bodyDiv w:val="1"/>
      <w:marLeft w:val="0"/>
      <w:marRight w:val="0"/>
      <w:marTop w:val="0"/>
      <w:marBottom w:val="0"/>
      <w:divBdr>
        <w:top w:val="none" w:sz="0" w:space="0" w:color="auto"/>
        <w:left w:val="none" w:sz="0" w:space="0" w:color="auto"/>
        <w:bottom w:val="none" w:sz="0" w:space="0" w:color="auto"/>
        <w:right w:val="none" w:sz="0" w:space="0" w:color="auto"/>
      </w:divBdr>
      <w:divsChild>
        <w:div w:id="447050994">
          <w:marLeft w:val="0"/>
          <w:marRight w:val="0"/>
          <w:marTop w:val="0"/>
          <w:marBottom w:val="0"/>
          <w:divBdr>
            <w:top w:val="none" w:sz="0" w:space="0" w:color="auto"/>
            <w:left w:val="none" w:sz="0" w:space="0" w:color="auto"/>
            <w:bottom w:val="none" w:sz="0" w:space="0" w:color="auto"/>
            <w:right w:val="none" w:sz="0" w:space="0" w:color="auto"/>
          </w:divBdr>
        </w:div>
      </w:divsChild>
    </w:div>
    <w:div w:id="356347602">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386686283">
      <w:bodyDiv w:val="1"/>
      <w:marLeft w:val="0"/>
      <w:marRight w:val="0"/>
      <w:marTop w:val="0"/>
      <w:marBottom w:val="0"/>
      <w:divBdr>
        <w:top w:val="none" w:sz="0" w:space="0" w:color="auto"/>
        <w:left w:val="none" w:sz="0" w:space="0" w:color="auto"/>
        <w:bottom w:val="none" w:sz="0" w:space="0" w:color="auto"/>
        <w:right w:val="none" w:sz="0" w:space="0" w:color="auto"/>
      </w:divBdr>
      <w:divsChild>
        <w:div w:id="414791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7360361">
      <w:bodyDiv w:val="1"/>
      <w:marLeft w:val="0"/>
      <w:marRight w:val="0"/>
      <w:marTop w:val="0"/>
      <w:marBottom w:val="0"/>
      <w:divBdr>
        <w:top w:val="none" w:sz="0" w:space="0" w:color="auto"/>
        <w:left w:val="none" w:sz="0" w:space="0" w:color="auto"/>
        <w:bottom w:val="none" w:sz="0" w:space="0" w:color="auto"/>
        <w:right w:val="none" w:sz="0" w:space="0" w:color="auto"/>
      </w:divBdr>
      <w:divsChild>
        <w:div w:id="19423005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6455667">
      <w:bodyDiv w:val="1"/>
      <w:marLeft w:val="0"/>
      <w:marRight w:val="0"/>
      <w:marTop w:val="0"/>
      <w:marBottom w:val="0"/>
      <w:divBdr>
        <w:top w:val="none" w:sz="0" w:space="0" w:color="auto"/>
        <w:left w:val="none" w:sz="0" w:space="0" w:color="auto"/>
        <w:bottom w:val="none" w:sz="0" w:space="0" w:color="auto"/>
        <w:right w:val="none" w:sz="0" w:space="0" w:color="auto"/>
      </w:divBdr>
    </w:div>
    <w:div w:id="477692347">
      <w:bodyDiv w:val="1"/>
      <w:marLeft w:val="0"/>
      <w:marRight w:val="0"/>
      <w:marTop w:val="0"/>
      <w:marBottom w:val="0"/>
      <w:divBdr>
        <w:top w:val="none" w:sz="0" w:space="0" w:color="auto"/>
        <w:left w:val="none" w:sz="0" w:space="0" w:color="auto"/>
        <w:bottom w:val="none" w:sz="0" w:space="0" w:color="auto"/>
        <w:right w:val="none" w:sz="0" w:space="0" w:color="auto"/>
      </w:divBdr>
    </w:div>
    <w:div w:id="48027460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0057988">
      <w:bodyDiv w:val="1"/>
      <w:marLeft w:val="0"/>
      <w:marRight w:val="0"/>
      <w:marTop w:val="0"/>
      <w:marBottom w:val="0"/>
      <w:divBdr>
        <w:top w:val="none" w:sz="0" w:space="0" w:color="auto"/>
        <w:left w:val="none" w:sz="0" w:space="0" w:color="auto"/>
        <w:bottom w:val="none" w:sz="0" w:space="0" w:color="auto"/>
        <w:right w:val="none" w:sz="0" w:space="0" w:color="auto"/>
      </w:divBdr>
    </w:div>
    <w:div w:id="787891478">
      <w:bodyDiv w:val="1"/>
      <w:marLeft w:val="0"/>
      <w:marRight w:val="0"/>
      <w:marTop w:val="0"/>
      <w:marBottom w:val="0"/>
      <w:divBdr>
        <w:top w:val="none" w:sz="0" w:space="0" w:color="auto"/>
        <w:left w:val="none" w:sz="0" w:space="0" w:color="auto"/>
        <w:bottom w:val="none" w:sz="0" w:space="0" w:color="auto"/>
        <w:right w:val="none" w:sz="0" w:space="0" w:color="auto"/>
      </w:divBdr>
    </w:div>
    <w:div w:id="811023687">
      <w:bodyDiv w:val="1"/>
      <w:marLeft w:val="0"/>
      <w:marRight w:val="0"/>
      <w:marTop w:val="0"/>
      <w:marBottom w:val="0"/>
      <w:divBdr>
        <w:top w:val="none" w:sz="0" w:space="0" w:color="auto"/>
        <w:left w:val="none" w:sz="0" w:space="0" w:color="auto"/>
        <w:bottom w:val="none" w:sz="0" w:space="0" w:color="auto"/>
        <w:right w:val="none" w:sz="0" w:space="0" w:color="auto"/>
      </w:divBdr>
    </w:div>
    <w:div w:id="843666747">
      <w:bodyDiv w:val="1"/>
      <w:marLeft w:val="0"/>
      <w:marRight w:val="0"/>
      <w:marTop w:val="0"/>
      <w:marBottom w:val="0"/>
      <w:divBdr>
        <w:top w:val="none" w:sz="0" w:space="0" w:color="auto"/>
        <w:left w:val="none" w:sz="0" w:space="0" w:color="auto"/>
        <w:bottom w:val="none" w:sz="0" w:space="0" w:color="auto"/>
        <w:right w:val="none" w:sz="0" w:space="0" w:color="auto"/>
      </w:divBdr>
    </w:div>
    <w:div w:id="862013938">
      <w:bodyDiv w:val="1"/>
      <w:marLeft w:val="0"/>
      <w:marRight w:val="0"/>
      <w:marTop w:val="0"/>
      <w:marBottom w:val="0"/>
      <w:divBdr>
        <w:top w:val="none" w:sz="0" w:space="0" w:color="auto"/>
        <w:left w:val="none" w:sz="0" w:space="0" w:color="auto"/>
        <w:bottom w:val="none" w:sz="0" w:space="0" w:color="auto"/>
        <w:right w:val="none" w:sz="0" w:space="0" w:color="auto"/>
      </w:divBdr>
    </w:div>
    <w:div w:id="938610496">
      <w:bodyDiv w:val="1"/>
      <w:marLeft w:val="0"/>
      <w:marRight w:val="0"/>
      <w:marTop w:val="0"/>
      <w:marBottom w:val="0"/>
      <w:divBdr>
        <w:top w:val="none" w:sz="0" w:space="0" w:color="auto"/>
        <w:left w:val="none" w:sz="0" w:space="0" w:color="auto"/>
        <w:bottom w:val="none" w:sz="0" w:space="0" w:color="auto"/>
        <w:right w:val="none" w:sz="0" w:space="0" w:color="auto"/>
      </w:divBdr>
    </w:div>
    <w:div w:id="1006903400">
      <w:bodyDiv w:val="1"/>
      <w:marLeft w:val="0"/>
      <w:marRight w:val="0"/>
      <w:marTop w:val="0"/>
      <w:marBottom w:val="0"/>
      <w:divBdr>
        <w:top w:val="none" w:sz="0" w:space="0" w:color="auto"/>
        <w:left w:val="none" w:sz="0" w:space="0" w:color="auto"/>
        <w:bottom w:val="none" w:sz="0" w:space="0" w:color="auto"/>
        <w:right w:val="none" w:sz="0" w:space="0" w:color="auto"/>
      </w:divBdr>
    </w:div>
    <w:div w:id="1019742373">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773636">
      <w:bodyDiv w:val="1"/>
      <w:marLeft w:val="0"/>
      <w:marRight w:val="0"/>
      <w:marTop w:val="0"/>
      <w:marBottom w:val="0"/>
      <w:divBdr>
        <w:top w:val="none" w:sz="0" w:space="0" w:color="auto"/>
        <w:left w:val="none" w:sz="0" w:space="0" w:color="auto"/>
        <w:bottom w:val="none" w:sz="0" w:space="0" w:color="auto"/>
        <w:right w:val="none" w:sz="0" w:space="0" w:color="auto"/>
      </w:divBdr>
    </w:div>
    <w:div w:id="1109201949">
      <w:bodyDiv w:val="1"/>
      <w:marLeft w:val="0"/>
      <w:marRight w:val="0"/>
      <w:marTop w:val="0"/>
      <w:marBottom w:val="0"/>
      <w:divBdr>
        <w:top w:val="none" w:sz="0" w:space="0" w:color="auto"/>
        <w:left w:val="none" w:sz="0" w:space="0" w:color="auto"/>
        <w:bottom w:val="none" w:sz="0" w:space="0" w:color="auto"/>
        <w:right w:val="none" w:sz="0" w:space="0" w:color="auto"/>
      </w:divBdr>
    </w:div>
    <w:div w:id="1130317527">
      <w:bodyDiv w:val="1"/>
      <w:marLeft w:val="0"/>
      <w:marRight w:val="0"/>
      <w:marTop w:val="0"/>
      <w:marBottom w:val="0"/>
      <w:divBdr>
        <w:top w:val="none" w:sz="0" w:space="0" w:color="auto"/>
        <w:left w:val="none" w:sz="0" w:space="0" w:color="auto"/>
        <w:bottom w:val="none" w:sz="0" w:space="0" w:color="auto"/>
        <w:right w:val="none" w:sz="0" w:space="0" w:color="auto"/>
      </w:divBdr>
    </w:div>
    <w:div w:id="1135946686">
      <w:bodyDiv w:val="1"/>
      <w:marLeft w:val="0"/>
      <w:marRight w:val="0"/>
      <w:marTop w:val="0"/>
      <w:marBottom w:val="0"/>
      <w:divBdr>
        <w:top w:val="none" w:sz="0" w:space="0" w:color="auto"/>
        <w:left w:val="none" w:sz="0" w:space="0" w:color="auto"/>
        <w:bottom w:val="none" w:sz="0" w:space="0" w:color="auto"/>
        <w:right w:val="none" w:sz="0" w:space="0" w:color="auto"/>
      </w:divBdr>
      <w:divsChild>
        <w:div w:id="1977295335">
          <w:blockQuote w:val="1"/>
          <w:marLeft w:val="720"/>
          <w:marRight w:val="720"/>
          <w:marTop w:val="100"/>
          <w:marBottom w:val="100"/>
          <w:divBdr>
            <w:top w:val="none" w:sz="0" w:space="0" w:color="auto"/>
            <w:left w:val="none" w:sz="0" w:space="0" w:color="auto"/>
            <w:bottom w:val="none" w:sz="0" w:space="0" w:color="auto"/>
            <w:right w:val="none" w:sz="0" w:space="0" w:color="auto"/>
          </w:divBdr>
        </w:div>
        <w:div w:id="8002652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8549555">
      <w:bodyDiv w:val="1"/>
      <w:marLeft w:val="0"/>
      <w:marRight w:val="0"/>
      <w:marTop w:val="0"/>
      <w:marBottom w:val="0"/>
      <w:divBdr>
        <w:top w:val="none" w:sz="0" w:space="0" w:color="auto"/>
        <w:left w:val="none" w:sz="0" w:space="0" w:color="auto"/>
        <w:bottom w:val="none" w:sz="0" w:space="0" w:color="auto"/>
        <w:right w:val="none" w:sz="0" w:space="0" w:color="auto"/>
      </w:divBdr>
    </w:div>
    <w:div w:id="1229539304">
      <w:bodyDiv w:val="1"/>
      <w:marLeft w:val="0"/>
      <w:marRight w:val="0"/>
      <w:marTop w:val="0"/>
      <w:marBottom w:val="0"/>
      <w:divBdr>
        <w:top w:val="none" w:sz="0" w:space="0" w:color="auto"/>
        <w:left w:val="none" w:sz="0" w:space="0" w:color="auto"/>
        <w:bottom w:val="none" w:sz="0" w:space="0" w:color="auto"/>
        <w:right w:val="none" w:sz="0" w:space="0" w:color="auto"/>
      </w:divBdr>
      <w:divsChild>
        <w:div w:id="608586436">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379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6741989">
      <w:bodyDiv w:val="1"/>
      <w:marLeft w:val="0"/>
      <w:marRight w:val="0"/>
      <w:marTop w:val="0"/>
      <w:marBottom w:val="0"/>
      <w:divBdr>
        <w:top w:val="none" w:sz="0" w:space="0" w:color="auto"/>
        <w:left w:val="none" w:sz="0" w:space="0" w:color="auto"/>
        <w:bottom w:val="none" w:sz="0" w:space="0" w:color="auto"/>
        <w:right w:val="none" w:sz="0" w:space="0" w:color="auto"/>
      </w:divBdr>
    </w:div>
    <w:div w:id="1485390055">
      <w:bodyDiv w:val="1"/>
      <w:marLeft w:val="0"/>
      <w:marRight w:val="0"/>
      <w:marTop w:val="0"/>
      <w:marBottom w:val="0"/>
      <w:divBdr>
        <w:top w:val="none" w:sz="0" w:space="0" w:color="auto"/>
        <w:left w:val="none" w:sz="0" w:space="0" w:color="auto"/>
        <w:bottom w:val="none" w:sz="0" w:space="0" w:color="auto"/>
        <w:right w:val="none" w:sz="0" w:space="0" w:color="auto"/>
      </w:divBdr>
    </w:div>
    <w:div w:id="1520000904">
      <w:bodyDiv w:val="1"/>
      <w:marLeft w:val="0"/>
      <w:marRight w:val="0"/>
      <w:marTop w:val="0"/>
      <w:marBottom w:val="0"/>
      <w:divBdr>
        <w:top w:val="none" w:sz="0" w:space="0" w:color="auto"/>
        <w:left w:val="none" w:sz="0" w:space="0" w:color="auto"/>
        <w:bottom w:val="none" w:sz="0" w:space="0" w:color="auto"/>
        <w:right w:val="none" w:sz="0" w:space="0" w:color="auto"/>
      </w:divBdr>
    </w:div>
    <w:div w:id="1593657544">
      <w:bodyDiv w:val="1"/>
      <w:marLeft w:val="0"/>
      <w:marRight w:val="0"/>
      <w:marTop w:val="0"/>
      <w:marBottom w:val="0"/>
      <w:divBdr>
        <w:top w:val="none" w:sz="0" w:space="0" w:color="auto"/>
        <w:left w:val="none" w:sz="0" w:space="0" w:color="auto"/>
        <w:bottom w:val="none" w:sz="0" w:space="0" w:color="auto"/>
        <w:right w:val="none" w:sz="0" w:space="0" w:color="auto"/>
      </w:divBdr>
    </w:div>
    <w:div w:id="1600798551">
      <w:bodyDiv w:val="1"/>
      <w:marLeft w:val="0"/>
      <w:marRight w:val="0"/>
      <w:marTop w:val="0"/>
      <w:marBottom w:val="0"/>
      <w:divBdr>
        <w:top w:val="none" w:sz="0" w:space="0" w:color="auto"/>
        <w:left w:val="none" w:sz="0" w:space="0" w:color="auto"/>
        <w:bottom w:val="none" w:sz="0" w:space="0" w:color="auto"/>
        <w:right w:val="none" w:sz="0" w:space="0" w:color="auto"/>
      </w:divBdr>
    </w:div>
    <w:div w:id="1601837829">
      <w:bodyDiv w:val="1"/>
      <w:marLeft w:val="0"/>
      <w:marRight w:val="0"/>
      <w:marTop w:val="0"/>
      <w:marBottom w:val="0"/>
      <w:divBdr>
        <w:top w:val="none" w:sz="0" w:space="0" w:color="auto"/>
        <w:left w:val="none" w:sz="0" w:space="0" w:color="auto"/>
        <w:bottom w:val="none" w:sz="0" w:space="0" w:color="auto"/>
        <w:right w:val="none" w:sz="0" w:space="0" w:color="auto"/>
      </w:divBdr>
    </w:div>
    <w:div w:id="1659841006">
      <w:bodyDiv w:val="1"/>
      <w:marLeft w:val="0"/>
      <w:marRight w:val="0"/>
      <w:marTop w:val="0"/>
      <w:marBottom w:val="0"/>
      <w:divBdr>
        <w:top w:val="none" w:sz="0" w:space="0" w:color="auto"/>
        <w:left w:val="none" w:sz="0" w:space="0" w:color="auto"/>
        <w:bottom w:val="none" w:sz="0" w:space="0" w:color="auto"/>
        <w:right w:val="none" w:sz="0" w:space="0" w:color="auto"/>
      </w:divBdr>
    </w:div>
    <w:div w:id="1725790359">
      <w:bodyDiv w:val="1"/>
      <w:marLeft w:val="0"/>
      <w:marRight w:val="0"/>
      <w:marTop w:val="0"/>
      <w:marBottom w:val="0"/>
      <w:divBdr>
        <w:top w:val="none" w:sz="0" w:space="0" w:color="auto"/>
        <w:left w:val="none" w:sz="0" w:space="0" w:color="auto"/>
        <w:bottom w:val="none" w:sz="0" w:space="0" w:color="auto"/>
        <w:right w:val="none" w:sz="0" w:space="0" w:color="auto"/>
      </w:divBdr>
    </w:div>
    <w:div w:id="1756246689">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799644189">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65287591">
      <w:bodyDiv w:val="1"/>
      <w:marLeft w:val="0"/>
      <w:marRight w:val="0"/>
      <w:marTop w:val="0"/>
      <w:marBottom w:val="0"/>
      <w:divBdr>
        <w:top w:val="none" w:sz="0" w:space="0" w:color="auto"/>
        <w:left w:val="none" w:sz="0" w:space="0" w:color="auto"/>
        <w:bottom w:val="none" w:sz="0" w:space="0" w:color="auto"/>
        <w:right w:val="none" w:sz="0" w:space="0" w:color="auto"/>
      </w:divBdr>
    </w:div>
    <w:div w:id="1924024264">
      <w:bodyDiv w:val="1"/>
      <w:marLeft w:val="0"/>
      <w:marRight w:val="0"/>
      <w:marTop w:val="0"/>
      <w:marBottom w:val="0"/>
      <w:divBdr>
        <w:top w:val="none" w:sz="0" w:space="0" w:color="auto"/>
        <w:left w:val="none" w:sz="0" w:space="0" w:color="auto"/>
        <w:bottom w:val="none" w:sz="0" w:space="0" w:color="auto"/>
        <w:right w:val="none" w:sz="0" w:space="0" w:color="auto"/>
      </w:divBdr>
    </w:div>
    <w:div w:id="1936546581">
      <w:bodyDiv w:val="1"/>
      <w:marLeft w:val="0"/>
      <w:marRight w:val="0"/>
      <w:marTop w:val="0"/>
      <w:marBottom w:val="0"/>
      <w:divBdr>
        <w:top w:val="none" w:sz="0" w:space="0" w:color="auto"/>
        <w:left w:val="none" w:sz="0" w:space="0" w:color="auto"/>
        <w:bottom w:val="none" w:sz="0" w:space="0" w:color="auto"/>
        <w:right w:val="none" w:sz="0" w:space="0" w:color="auto"/>
      </w:divBdr>
    </w:div>
    <w:div w:id="1960524676">
      <w:bodyDiv w:val="1"/>
      <w:marLeft w:val="0"/>
      <w:marRight w:val="0"/>
      <w:marTop w:val="0"/>
      <w:marBottom w:val="0"/>
      <w:divBdr>
        <w:top w:val="none" w:sz="0" w:space="0" w:color="auto"/>
        <w:left w:val="none" w:sz="0" w:space="0" w:color="auto"/>
        <w:bottom w:val="none" w:sz="0" w:space="0" w:color="auto"/>
        <w:right w:val="none" w:sz="0" w:space="0" w:color="auto"/>
      </w:divBdr>
    </w:div>
    <w:div w:id="2006008042">
      <w:bodyDiv w:val="1"/>
      <w:marLeft w:val="0"/>
      <w:marRight w:val="0"/>
      <w:marTop w:val="0"/>
      <w:marBottom w:val="0"/>
      <w:divBdr>
        <w:top w:val="none" w:sz="0" w:space="0" w:color="auto"/>
        <w:left w:val="none" w:sz="0" w:space="0" w:color="auto"/>
        <w:bottom w:val="none" w:sz="0" w:space="0" w:color="auto"/>
        <w:right w:val="none" w:sz="0" w:space="0" w:color="auto"/>
      </w:divBdr>
    </w:div>
    <w:div w:id="2010208610">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5561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08A89-CDC5-456E-BABC-69BAD4B6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3041</Words>
  <Characters>17337</Characters>
  <Application>Microsoft Office Word</Application>
  <DocSecurity>4</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2025-02-07T13:22:00Z</cp:lastPrinted>
  <dcterms:created xsi:type="dcterms:W3CDTF">2026-06-24T19:55:00Z</dcterms:created>
  <dcterms:modified xsi:type="dcterms:W3CDTF">2026-06-24T19:55:00Z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