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CF4C2AB" w14:textId="6A0689DB" w:rsidR="002573CC" w:rsidRPr="003F2FB5" w:rsidRDefault="00976EA6" w:rsidP="002573CC">
      <w:pPr>
        <w:suppressLineNumbers/>
        <w:spacing w:after="0" w:line="240" w:lineRule="auto"/>
        <w:jc w:val="center"/>
        <w:rPr>
          <w:rFonts w:ascii="Book Antiqua" w:eastAsia="Times New Roman" w:hAnsi="Book Antiqua" w:cs="Times New Roman"/>
          <w:sz w:val="28"/>
          <w:szCs w:val="28"/>
          <w:lang w:val="es-ES_tradnl"/>
        </w:rPr>
      </w:pPr>
      <w:r>
        <w:rPr>
          <w:rFonts w:ascii="Book Antiqua" w:eastAsia="Times New Roman" w:hAnsi="Book Antiqua" w:cs="Times New Roman"/>
          <w:sz w:val="28"/>
          <w:szCs w:val="28"/>
          <w:lang w:val="es-ES_tradnl"/>
        </w:rPr>
        <w:t xml:space="preserve"> </w:t>
      </w:r>
      <w:r w:rsidR="009D6C16" w:rsidRPr="003F2FB5">
        <w:rPr>
          <w:rFonts w:ascii="Book Antiqua" w:eastAsia="Times New Roman" w:hAnsi="Book Antiqua" w:cs="Times New Roman"/>
          <w:sz w:val="28"/>
          <w:szCs w:val="28"/>
          <w:lang w:val="es-ES_tradnl"/>
        </w:rPr>
        <w:t xml:space="preserve">GOBIERNO </w:t>
      </w:r>
      <w:r w:rsidR="002573CC" w:rsidRPr="003F2FB5">
        <w:rPr>
          <w:rFonts w:ascii="Book Antiqua" w:eastAsia="Times New Roman" w:hAnsi="Book Antiqua" w:cs="Times New Roman"/>
          <w:sz w:val="28"/>
          <w:szCs w:val="28"/>
          <w:lang w:val="es-ES_tradnl"/>
        </w:rPr>
        <w:t>DE PUERTO RICO</w:t>
      </w:r>
    </w:p>
    <w:p w14:paraId="14DCF277" w14:textId="77777777" w:rsidR="002573CC" w:rsidRPr="003F2FB5" w:rsidRDefault="002573CC" w:rsidP="002573CC">
      <w:pPr>
        <w:suppressLineNumbers/>
        <w:spacing w:after="0" w:line="240" w:lineRule="auto"/>
        <w:jc w:val="center"/>
        <w:rPr>
          <w:rFonts w:ascii="Book Antiqua" w:eastAsia="Times New Roman" w:hAnsi="Book Antiqua" w:cs="Times New Roman"/>
          <w:sz w:val="24"/>
          <w:szCs w:val="20"/>
          <w:lang w:val="es-ES_tradnl"/>
        </w:rPr>
      </w:pPr>
    </w:p>
    <w:p w14:paraId="7B4E789F" w14:textId="2C7D971D" w:rsidR="002573CC" w:rsidRPr="003F2FB5" w:rsidRDefault="009D6C16" w:rsidP="002573CC">
      <w:pPr>
        <w:suppressLineNumbers/>
        <w:tabs>
          <w:tab w:val="left" w:pos="648"/>
          <w:tab w:val="right" w:pos="7776"/>
          <w:tab w:val="left" w:pos="7848"/>
        </w:tabs>
        <w:spacing w:after="0" w:line="240" w:lineRule="auto"/>
        <w:rPr>
          <w:rFonts w:ascii="Book Antiqua" w:eastAsia="Times New Roman" w:hAnsi="Book Antiqua" w:cs="Times New Roman"/>
          <w:sz w:val="24"/>
          <w:szCs w:val="20"/>
          <w:lang w:val="es-ES_tradnl"/>
        </w:rPr>
      </w:pPr>
      <w:r w:rsidRPr="003F2FB5">
        <w:rPr>
          <w:rFonts w:ascii="Book Antiqua" w:eastAsia="Times New Roman" w:hAnsi="Book Antiqua" w:cs="Times New Roman"/>
          <w:sz w:val="24"/>
          <w:szCs w:val="20"/>
          <w:lang w:val="es-ES_tradnl"/>
        </w:rPr>
        <w:t>20</w:t>
      </w:r>
      <w:r w:rsidRPr="003F2FB5">
        <w:rPr>
          <w:rFonts w:ascii="Book Antiqua" w:eastAsia="Times New Roman" w:hAnsi="Book Antiqua" w:cs="Times New Roman"/>
          <w:sz w:val="24"/>
          <w:szCs w:val="20"/>
          <w:vertAlign w:val="superscript"/>
          <w:lang w:val="es-ES_tradnl"/>
        </w:rPr>
        <w:t>m</w:t>
      </w:r>
      <w:r w:rsidR="002573CC" w:rsidRPr="003F2FB5">
        <w:rPr>
          <w:rFonts w:ascii="Book Antiqua" w:eastAsia="Times New Roman" w:hAnsi="Book Antiqua" w:cs="Times New Roman"/>
          <w:sz w:val="24"/>
          <w:szCs w:val="20"/>
          <w:vertAlign w:val="superscript"/>
          <w:lang w:val="es-ES_tradnl"/>
        </w:rPr>
        <w:t>a.</w:t>
      </w:r>
      <w:r w:rsidR="002573CC" w:rsidRPr="003F2FB5">
        <w:rPr>
          <w:rFonts w:ascii="Book Antiqua" w:eastAsia="Times New Roman" w:hAnsi="Book Antiqua" w:cs="Times New Roman"/>
          <w:sz w:val="24"/>
          <w:szCs w:val="20"/>
          <w:lang w:val="es-ES_tradnl"/>
        </w:rPr>
        <w:tab/>
        <w:t>Asamblea</w:t>
      </w:r>
      <w:r w:rsidR="002573CC" w:rsidRPr="003F2FB5">
        <w:rPr>
          <w:rFonts w:ascii="Book Antiqua" w:eastAsia="Times New Roman" w:hAnsi="Book Antiqua" w:cs="Times New Roman"/>
          <w:sz w:val="24"/>
          <w:szCs w:val="20"/>
          <w:lang w:val="es-ES_tradnl"/>
        </w:rPr>
        <w:tab/>
      </w:r>
      <w:r w:rsidR="00C332C0">
        <w:rPr>
          <w:rFonts w:ascii="Book Antiqua" w:eastAsia="Times New Roman" w:hAnsi="Book Antiqua" w:cs="Times New Roman"/>
          <w:sz w:val="24"/>
          <w:szCs w:val="20"/>
          <w:lang w:val="es-ES_tradnl"/>
        </w:rPr>
        <w:t>3</w:t>
      </w:r>
      <w:r w:rsidR="00C332C0">
        <w:rPr>
          <w:rFonts w:ascii="Book Antiqua" w:eastAsia="Times New Roman" w:hAnsi="Book Antiqua" w:cs="Times New Roman"/>
          <w:sz w:val="24"/>
          <w:szCs w:val="20"/>
          <w:vertAlign w:val="superscript"/>
          <w:lang w:val="es-ES_tradnl"/>
        </w:rPr>
        <w:t>r</w:t>
      </w:r>
      <w:r w:rsidR="00E85494" w:rsidRPr="003F2FB5">
        <w:rPr>
          <w:rFonts w:ascii="Book Antiqua" w:eastAsia="Times New Roman" w:hAnsi="Book Antiqua" w:cs="Times New Roman"/>
          <w:sz w:val="24"/>
          <w:szCs w:val="20"/>
          <w:vertAlign w:val="superscript"/>
          <w:lang w:val="es-ES_tradnl"/>
        </w:rPr>
        <w:t>a</w:t>
      </w:r>
      <w:r w:rsidR="002573CC" w:rsidRPr="003F2FB5">
        <w:rPr>
          <w:rFonts w:ascii="Book Antiqua" w:eastAsia="Times New Roman" w:hAnsi="Book Antiqua" w:cs="Times New Roman"/>
          <w:sz w:val="24"/>
          <w:szCs w:val="20"/>
          <w:vertAlign w:val="superscript"/>
          <w:lang w:val="es-ES_tradnl"/>
        </w:rPr>
        <w:t>.</w:t>
      </w:r>
      <w:r w:rsidR="002573CC" w:rsidRPr="003F2FB5">
        <w:rPr>
          <w:rFonts w:ascii="Book Antiqua" w:eastAsia="Times New Roman" w:hAnsi="Book Antiqua" w:cs="Times New Roman"/>
          <w:sz w:val="24"/>
          <w:szCs w:val="20"/>
          <w:lang w:val="es-ES_tradnl"/>
        </w:rPr>
        <w:tab/>
        <w:t>Sesión</w:t>
      </w:r>
    </w:p>
    <w:p w14:paraId="0C767136" w14:textId="36EB15CF" w:rsidR="002573CC" w:rsidRPr="003F2FB5" w:rsidRDefault="002573CC" w:rsidP="00C332C0">
      <w:pPr>
        <w:suppressLineNumbers/>
        <w:tabs>
          <w:tab w:val="left" w:pos="648"/>
          <w:tab w:val="left" w:pos="7605"/>
          <w:tab w:val="right" w:pos="7776"/>
          <w:tab w:val="left" w:pos="7848"/>
        </w:tabs>
        <w:spacing w:after="0" w:line="240" w:lineRule="auto"/>
        <w:rPr>
          <w:rFonts w:ascii="Book Antiqua" w:eastAsia="Times New Roman" w:hAnsi="Book Antiqua" w:cs="Times New Roman"/>
          <w:sz w:val="24"/>
          <w:szCs w:val="20"/>
          <w:lang w:val="es-ES_tradnl"/>
        </w:rPr>
      </w:pPr>
      <w:r w:rsidRPr="003F2FB5">
        <w:rPr>
          <w:rFonts w:ascii="Book Antiqua" w:eastAsia="Times New Roman" w:hAnsi="Book Antiqua" w:cs="Times New Roman"/>
          <w:sz w:val="24"/>
          <w:szCs w:val="20"/>
          <w:lang w:val="es-ES_tradnl"/>
        </w:rPr>
        <w:tab/>
        <w:t>Legislativa</w:t>
      </w:r>
      <w:r w:rsidRPr="003F2FB5">
        <w:rPr>
          <w:rFonts w:ascii="Book Antiqua" w:eastAsia="Times New Roman" w:hAnsi="Book Antiqua" w:cs="Times New Roman"/>
          <w:sz w:val="24"/>
          <w:szCs w:val="20"/>
          <w:lang w:val="es-ES_tradnl"/>
        </w:rPr>
        <w:tab/>
      </w:r>
      <w:r w:rsidR="00C332C0">
        <w:rPr>
          <w:rFonts w:ascii="Book Antiqua" w:eastAsia="Times New Roman" w:hAnsi="Book Antiqua" w:cs="Times New Roman"/>
          <w:sz w:val="24"/>
          <w:szCs w:val="20"/>
          <w:lang w:val="es-ES_tradnl"/>
        </w:rPr>
        <w:tab/>
      </w:r>
      <w:r w:rsidRPr="003F2FB5">
        <w:rPr>
          <w:rFonts w:ascii="Book Antiqua" w:eastAsia="Times New Roman" w:hAnsi="Book Antiqua" w:cs="Times New Roman"/>
          <w:sz w:val="24"/>
          <w:szCs w:val="20"/>
          <w:lang w:val="es-ES_tradnl"/>
        </w:rPr>
        <w:tab/>
        <w:t>Ordinaria</w:t>
      </w:r>
    </w:p>
    <w:p w14:paraId="36E1EB6D" w14:textId="77777777" w:rsidR="002573CC" w:rsidRPr="003F2FB5" w:rsidRDefault="002573CC" w:rsidP="002573CC">
      <w:pPr>
        <w:spacing w:after="0" w:line="240" w:lineRule="auto"/>
        <w:rPr>
          <w:rFonts w:ascii="Book Antiqua" w:eastAsia="Times New Roman" w:hAnsi="Book Antiqua" w:cs="Times New Roman"/>
          <w:sz w:val="24"/>
          <w:szCs w:val="20"/>
          <w:lang w:val="es-ES_tradnl"/>
        </w:rPr>
      </w:pPr>
    </w:p>
    <w:p w14:paraId="14118107" w14:textId="1988B730" w:rsidR="002573CC" w:rsidRPr="003F2FB5" w:rsidRDefault="009D6C16" w:rsidP="002573CC">
      <w:pPr>
        <w:spacing w:after="0" w:line="240" w:lineRule="auto"/>
        <w:jc w:val="center"/>
        <w:rPr>
          <w:rFonts w:ascii="Book Antiqua" w:eastAsia="Times New Roman" w:hAnsi="Book Antiqua" w:cs="Times New Roman"/>
          <w:b/>
          <w:sz w:val="36"/>
          <w:szCs w:val="36"/>
          <w:lang w:val="es-ES_tradnl"/>
        </w:rPr>
      </w:pPr>
      <w:r w:rsidRPr="003F2FB5">
        <w:rPr>
          <w:rFonts w:ascii="Book Antiqua" w:eastAsia="Times New Roman" w:hAnsi="Book Antiqua" w:cs="Times New Roman"/>
          <w:b/>
          <w:sz w:val="36"/>
          <w:szCs w:val="36"/>
          <w:lang w:val="es-ES_tradnl"/>
        </w:rPr>
        <w:t>C</w:t>
      </w:r>
      <w:r w:rsidR="00680204" w:rsidRPr="003F2FB5">
        <w:rPr>
          <w:rFonts w:ascii="Book Antiqua" w:eastAsia="Times New Roman" w:hAnsi="Book Antiqua" w:cs="Times New Roman"/>
          <w:b/>
          <w:sz w:val="36"/>
          <w:szCs w:val="36"/>
          <w:lang w:val="es-ES_tradnl"/>
        </w:rPr>
        <w:t>Á</w:t>
      </w:r>
      <w:r w:rsidRPr="003F2FB5">
        <w:rPr>
          <w:rFonts w:ascii="Book Antiqua" w:eastAsia="Times New Roman" w:hAnsi="Book Antiqua" w:cs="Times New Roman"/>
          <w:b/>
          <w:sz w:val="36"/>
          <w:szCs w:val="36"/>
          <w:lang w:val="es-ES_tradnl"/>
        </w:rPr>
        <w:t>MARA DE REPRESENTANTES</w:t>
      </w:r>
    </w:p>
    <w:p w14:paraId="7E8FA781" w14:textId="77777777" w:rsidR="002573CC" w:rsidRPr="003F2FB5" w:rsidRDefault="002573CC" w:rsidP="002573CC">
      <w:pPr>
        <w:spacing w:after="0" w:line="240" w:lineRule="auto"/>
        <w:jc w:val="center"/>
        <w:rPr>
          <w:rFonts w:ascii="Book Antiqua" w:eastAsia="Times New Roman" w:hAnsi="Book Antiqua" w:cs="Times New Roman"/>
          <w:b/>
          <w:sz w:val="24"/>
          <w:szCs w:val="36"/>
          <w:lang w:val="es-ES_tradnl"/>
        </w:rPr>
      </w:pPr>
    </w:p>
    <w:p w14:paraId="681A0861" w14:textId="208A2B56" w:rsidR="002573CC" w:rsidRPr="003F2FB5" w:rsidRDefault="002573CC" w:rsidP="002573CC">
      <w:pPr>
        <w:spacing w:after="0" w:line="240" w:lineRule="auto"/>
        <w:jc w:val="center"/>
        <w:rPr>
          <w:rFonts w:ascii="Book Antiqua" w:eastAsia="Times New Roman" w:hAnsi="Book Antiqua" w:cs="Times New Roman"/>
          <w:b/>
          <w:sz w:val="52"/>
          <w:szCs w:val="52"/>
          <w:lang w:val="es-ES_tradnl"/>
        </w:rPr>
      </w:pPr>
      <w:r w:rsidRPr="003F2FB5">
        <w:rPr>
          <w:rFonts w:ascii="Book Antiqua" w:eastAsia="Times New Roman" w:hAnsi="Book Antiqua" w:cs="Times New Roman"/>
          <w:b/>
          <w:sz w:val="52"/>
          <w:szCs w:val="52"/>
          <w:lang w:val="es-ES_tradnl"/>
        </w:rPr>
        <w:t>P. de</w:t>
      </w:r>
      <w:r w:rsidR="009D6C16" w:rsidRPr="003F2FB5">
        <w:rPr>
          <w:rFonts w:ascii="Book Antiqua" w:eastAsia="Times New Roman" w:hAnsi="Book Antiqua" w:cs="Times New Roman"/>
          <w:b/>
          <w:sz w:val="52"/>
          <w:szCs w:val="52"/>
          <w:lang w:val="es-ES_tradnl"/>
        </w:rPr>
        <w:t xml:space="preserve"> </w:t>
      </w:r>
      <w:r w:rsidR="00B03370" w:rsidRPr="003F2FB5">
        <w:rPr>
          <w:rFonts w:ascii="Book Antiqua" w:eastAsia="Times New Roman" w:hAnsi="Book Antiqua" w:cs="Times New Roman"/>
          <w:b/>
          <w:sz w:val="52"/>
          <w:szCs w:val="52"/>
          <w:lang w:val="es-ES_tradnl"/>
        </w:rPr>
        <w:t>l</w:t>
      </w:r>
      <w:r w:rsidR="009D6C16" w:rsidRPr="003F2FB5">
        <w:rPr>
          <w:rFonts w:ascii="Book Antiqua" w:eastAsia="Times New Roman" w:hAnsi="Book Antiqua" w:cs="Times New Roman"/>
          <w:b/>
          <w:sz w:val="52"/>
          <w:szCs w:val="52"/>
          <w:lang w:val="es-ES_tradnl"/>
        </w:rPr>
        <w:t>a</w:t>
      </w:r>
      <w:r w:rsidR="00B03370" w:rsidRPr="003F2FB5">
        <w:rPr>
          <w:rFonts w:ascii="Book Antiqua" w:eastAsia="Times New Roman" w:hAnsi="Book Antiqua" w:cs="Times New Roman"/>
          <w:b/>
          <w:sz w:val="52"/>
          <w:szCs w:val="52"/>
          <w:lang w:val="es-ES_tradnl"/>
        </w:rPr>
        <w:t xml:space="preserve"> </w:t>
      </w:r>
      <w:r w:rsidR="009D6C16" w:rsidRPr="003F2FB5">
        <w:rPr>
          <w:rFonts w:ascii="Book Antiqua" w:eastAsia="Times New Roman" w:hAnsi="Book Antiqua" w:cs="Times New Roman"/>
          <w:b/>
          <w:sz w:val="52"/>
          <w:szCs w:val="52"/>
          <w:lang w:val="es-ES_tradnl"/>
        </w:rPr>
        <w:t>C</w:t>
      </w:r>
      <w:r w:rsidR="00B03370" w:rsidRPr="003F2FB5">
        <w:rPr>
          <w:rFonts w:ascii="Book Antiqua" w:eastAsia="Times New Roman" w:hAnsi="Book Antiqua" w:cs="Times New Roman"/>
          <w:b/>
          <w:sz w:val="52"/>
          <w:szCs w:val="52"/>
          <w:lang w:val="es-ES_tradnl"/>
        </w:rPr>
        <w:t xml:space="preserve">. </w:t>
      </w:r>
      <w:r w:rsidR="00C332C0">
        <w:rPr>
          <w:rFonts w:ascii="Book Antiqua" w:eastAsia="Times New Roman" w:hAnsi="Book Antiqua" w:cs="Times New Roman"/>
          <w:b/>
          <w:sz w:val="52"/>
          <w:szCs w:val="52"/>
          <w:lang w:val="es-ES_tradnl"/>
        </w:rPr>
        <w:t>1124</w:t>
      </w:r>
    </w:p>
    <w:p w14:paraId="49C06FA4" w14:textId="77777777" w:rsidR="002573CC" w:rsidRPr="003F2FB5" w:rsidRDefault="002573CC" w:rsidP="002573CC">
      <w:pPr>
        <w:spacing w:after="0" w:line="240" w:lineRule="auto"/>
        <w:jc w:val="center"/>
        <w:rPr>
          <w:rFonts w:ascii="Book Antiqua" w:eastAsia="Times New Roman" w:hAnsi="Book Antiqua" w:cs="Times New Roman"/>
          <w:b/>
          <w:sz w:val="24"/>
          <w:szCs w:val="36"/>
          <w:lang w:val="es-ES_tradnl"/>
        </w:rPr>
      </w:pPr>
    </w:p>
    <w:p w14:paraId="7687D0D3" w14:textId="08B0848A" w:rsidR="002573CC" w:rsidRPr="003F2FB5" w:rsidRDefault="002573CC" w:rsidP="002573CC">
      <w:pPr>
        <w:spacing w:after="0" w:line="240" w:lineRule="auto"/>
        <w:jc w:val="center"/>
        <w:rPr>
          <w:rFonts w:ascii="Book Antiqua" w:eastAsia="Times New Roman" w:hAnsi="Book Antiqua" w:cs="Times New Roman"/>
          <w:b/>
          <w:sz w:val="28"/>
          <w:szCs w:val="28"/>
          <w:lang w:val="es-ES_tradnl"/>
        </w:rPr>
      </w:pPr>
      <w:r w:rsidRPr="003F2FB5">
        <w:rPr>
          <w:rFonts w:ascii="Book Antiqua" w:eastAsia="Times New Roman" w:hAnsi="Book Antiqua" w:cs="Times New Roman"/>
          <w:b/>
          <w:sz w:val="28"/>
          <w:szCs w:val="28"/>
          <w:lang w:val="es-ES_tradnl"/>
        </w:rPr>
        <w:t xml:space="preserve">INFORME </w:t>
      </w:r>
      <w:r w:rsidR="00120660">
        <w:rPr>
          <w:rFonts w:ascii="Book Antiqua" w:eastAsia="Times New Roman" w:hAnsi="Book Antiqua" w:cs="Times New Roman"/>
          <w:b/>
          <w:sz w:val="28"/>
          <w:szCs w:val="28"/>
          <w:lang w:val="es-ES_tradnl"/>
        </w:rPr>
        <w:t>NEGATIVO</w:t>
      </w:r>
    </w:p>
    <w:p w14:paraId="53631E38" w14:textId="77777777" w:rsidR="002573CC" w:rsidRPr="003F2FB5" w:rsidRDefault="002573CC" w:rsidP="002573CC">
      <w:pPr>
        <w:spacing w:after="0" w:line="240" w:lineRule="auto"/>
        <w:jc w:val="center"/>
        <w:rPr>
          <w:rFonts w:ascii="Book Antiqua" w:eastAsia="Times New Roman" w:hAnsi="Book Antiqua" w:cs="Times New Roman"/>
          <w:b/>
          <w:sz w:val="24"/>
          <w:szCs w:val="24"/>
          <w:lang w:val="es-ES_tradnl"/>
        </w:rPr>
      </w:pPr>
    </w:p>
    <w:p w14:paraId="1C8B3605" w14:textId="7BF6677B" w:rsidR="002573CC" w:rsidRPr="003F2FB5" w:rsidRDefault="00EC0397" w:rsidP="002573CC">
      <w:pPr>
        <w:spacing w:after="0" w:line="240" w:lineRule="auto"/>
        <w:jc w:val="center"/>
        <w:rPr>
          <w:rFonts w:ascii="Book Antiqua" w:eastAsia="Times New Roman" w:hAnsi="Book Antiqua" w:cs="Times New Roman"/>
          <w:sz w:val="24"/>
          <w:szCs w:val="24"/>
          <w:lang w:val="es-ES_tradnl"/>
        </w:rPr>
      </w:pPr>
      <w:r>
        <w:rPr>
          <w:rFonts w:ascii="Book Antiqua" w:eastAsia="Times New Roman" w:hAnsi="Book Antiqua" w:cs="Times New Roman"/>
          <w:sz w:val="24"/>
          <w:szCs w:val="24"/>
          <w:lang w:val="es-ES_tradnl"/>
        </w:rPr>
        <w:t xml:space="preserve">4 </w:t>
      </w:r>
      <w:r w:rsidR="002573CC" w:rsidRPr="003F2FB5">
        <w:rPr>
          <w:rFonts w:ascii="Book Antiqua" w:eastAsia="Times New Roman" w:hAnsi="Book Antiqua" w:cs="Times New Roman"/>
          <w:sz w:val="24"/>
          <w:szCs w:val="24"/>
          <w:lang w:val="es-ES_tradnl"/>
        </w:rPr>
        <w:t xml:space="preserve">de </w:t>
      </w:r>
      <w:r w:rsidR="00C332C0">
        <w:rPr>
          <w:rFonts w:ascii="Book Antiqua" w:eastAsia="Times New Roman" w:hAnsi="Book Antiqua" w:cs="Times New Roman"/>
          <w:sz w:val="24"/>
          <w:szCs w:val="24"/>
          <w:lang w:val="es-ES_tradnl"/>
        </w:rPr>
        <w:t>junio de 2026</w:t>
      </w:r>
    </w:p>
    <w:p w14:paraId="68521AC0" w14:textId="77777777" w:rsidR="002573CC" w:rsidRPr="003F2FB5" w:rsidRDefault="002573CC" w:rsidP="002573CC">
      <w:pPr>
        <w:spacing w:after="0" w:line="240" w:lineRule="auto"/>
        <w:jc w:val="both"/>
        <w:rPr>
          <w:rFonts w:ascii="Book Antiqua" w:eastAsia="Times New Roman" w:hAnsi="Book Antiqua" w:cs="Times New Roman"/>
          <w:b/>
          <w:sz w:val="24"/>
          <w:szCs w:val="20"/>
          <w:lang w:val="es-ES_tradnl"/>
        </w:rPr>
      </w:pPr>
    </w:p>
    <w:p w14:paraId="30D938C7" w14:textId="25EDE356" w:rsidR="002573CC" w:rsidRPr="00B006FE" w:rsidRDefault="002573CC" w:rsidP="00FD56FE">
      <w:pPr>
        <w:spacing w:after="0" w:line="240" w:lineRule="auto"/>
        <w:contextualSpacing/>
        <w:jc w:val="both"/>
        <w:rPr>
          <w:rFonts w:ascii="Book Antiqua" w:eastAsia="Times New Roman" w:hAnsi="Book Antiqua" w:cs="Times New Roman"/>
          <w:b/>
          <w:sz w:val="24"/>
          <w:szCs w:val="24"/>
        </w:rPr>
      </w:pPr>
      <w:r w:rsidRPr="00B006FE">
        <w:rPr>
          <w:rFonts w:ascii="Book Antiqua" w:eastAsia="Times New Roman" w:hAnsi="Book Antiqua" w:cs="Times New Roman"/>
          <w:b/>
          <w:sz w:val="24"/>
          <w:szCs w:val="24"/>
        </w:rPr>
        <w:t>A</w:t>
      </w:r>
      <w:r w:rsidR="009C1DD7" w:rsidRPr="00B006FE">
        <w:rPr>
          <w:rFonts w:ascii="Book Antiqua" w:eastAsia="Times New Roman" w:hAnsi="Book Antiqua" w:cs="Times New Roman"/>
          <w:b/>
          <w:sz w:val="24"/>
          <w:szCs w:val="24"/>
        </w:rPr>
        <w:t xml:space="preserve"> </w:t>
      </w:r>
      <w:r w:rsidRPr="00B006FE">
        <w:rPr>
          <w:rFonts w:ascii="Book Antiqua" w:eastAsia="Times New Roman" w:hAnsi="Book Antiqua" w:cs="Times New Roman"/>
          <w:b/>
          <w:sz w:val="24"/>
          <w:szCs w:val="24"/>
        </w:rPr>
        <w:t>L</w:t>
      </w:r>
      <w:r w:rsidR="009C1DD7" w:rsidRPr="00B006FE">
        <w:rPr>
          <w:rFonts w:ascii="Book Antiqua" w:eastAsia="Times New Roman" w:hAnsi="Book Antiqua" w:cs="Times New Roman"/>
          <w:b/>
          <w:sz w:val="24"/>
          <w:szCs w:val="24"/>
        </w:rPr>
        <w:t>A C</w:t>
      </w:r>
      <w:r w:rsidR="00680204" w:rsidRPr="00B006FE">
        <w:rPr>
          <w:rFonts w:ascii="Book Antiqua" w:eastAsia="Times New Roman" w:hAnsi="Book Antiqua" w:cs="Times New Roman"/>
          <w:b/>
          <w:sz w:val="24"/>
          <w:szCs w:val="24"/>
        </w:rPr>
        <w:t>Á</w:t>
      </w:r>
      <w:r w:rsidR="009C1DD7" w:rsidRPr="00B006FE">
        <w:rPr>
          <w:rFonts w:ascii="Book Antiqua" w:eastAsia="Times New Roman" w:hAnsi="Book Antiqua" w:cs="Times New Roman"/>
          <w:b/>
          <w:sz w:val="24"/>
          <w:szCs w:val="24"/>
        </w:rPr>
        <w:t>MARA DE REPRESENTANTES</w:t>
      </w:r>
      <w:r w:rsidRPr="00B006FE">
        <w:rPr>
          <w:rFonts w:ascii="Book Antiqua" w:eastAsia="Times New Roman" w:hAnsi="Book Antiqua" w:cs="Times New Roman"/>
          <w:b/>
          <w:sz w:val="24"/>
          <w:szCs w:val="24"/>
        </w:rPr>
        <w:t>:</w:t>
      </w:r>
    </w:p>
    <w:p w14:paraId="1863FBE5" w14:textId="77777777" w:rsidR="002573CC" w:rsidRPr="00B006FE" w:rsidRDefault="002573CC" w:rsidP="00FD56FE">
      <w:pPr>
        <w:spacing w:after="0" w:line="240" w:lineRule="auto"/>
        <w:contextualSpacing/>
        <w:jc w:val="both"/>
        <w:rPr>
          <w:rFonts w:ascii="Book Antiqua" w:eastAsia="Times New Roman" w:hAnsi="Book Antiqua" w:cs="Times New Roman"/>
          <w:b/>
          <w:sz w:val="24"/>
          <w:szCs w:val="24"/>
        </w:rPr>
      </w:pPr>
    </w:p>
    <w:p w14:paraId="6D190832" w14:textId="12EC055A" w:rsidR="00A442AC" w:rsidRPr="00823EDF" w:rsidRDefault="002573CC" w:rsidP="00FD56FE">
      <w:pPr>
        <w:spacing w:after="0" w:line="240" w:lineRule="auto"/>
        <w:ind w:firstLine="708"/>
        <w:contextualSpacing/>
        <w:jc w:val="both"/>
        <w:rPr>
          <w:rFonts w:ascii="Book Antiqua" w:eastAsia="Times New Roman" w:hAnsi="Book Antiqua" w:cs="Times New Roman"/>
          <w:sz w:val="24"/>
          <w:szCs w:val="24"/>
        </w:rPr>
      </w:pPr>
      <w:r w:rsidRPr="00823EDF">
        <w:rPr>
          <w:rFonts w:ascii="Book Antiqua" w:eastAsia="Times New Roman" w:hAnsi="Book Antiqua" w:cs="Times New Roman"/>
          <w:sz w:val="24"/>
          <w:szCs w:val="24"/>
        </w:rPr>
        <w:t>La Comisión de</w:t>
      </w:r>
      <w:r w:rsidR="008972CA" w:rsidRPr="00823EDF">
        <w:rPr>
          <w:rFonts w:ascii="Book Antiqua" w:eastAsia="Times New Roman" w:hAnsi="Book Antiqua" w:cs="Times New Roman"/>
          <w:sz w:val="24"/>
          <w:szCs w:val="24"/>
        </w:rPr>
        <w:t xml:space="preserve"> </w:t>
      </w:r>
      <w:r w:rsidR="00E85494" w:rsidRPr="00823EDF">
        <w:rPr>
          <w:rFonts w:ascii="Book Antiqua" w:eastAsia="Times New Roman" w:hAnsi="Book Antiqua" w:cs="Times New Roman"/>
          <w:sz w:val="24"/>
          <w:szCs w:val="24"/>
        </w:rPr>
        <w:t>Gobierno</w:t>
      </w:r>
      <w:r w:rsidR="004620B0" w:rsidRPr="00823EDF">
        <w:rPr>
          <w:rFonts w:ascii="Book Antiqua" w:eastAsia="Times New Roman" w:hAnsi="Book Antiqua" w:cs="Times New Roman"/>
          <w:sz w:val="24"/>
          <w:szCs w:val="24"/>
        </w:rPr>
        <w:t xml:space="preserve"> de la Cámara de Representantes </w:t>
      </w:r>
      <w:r w:rsidR="00850D8F" w:rsidRPr="00823EDF">
        <w:rPr>
          <w:rFonts w:ascii="Book Antiqua" w:eastAsia="Times New Roman" w:hAnsi="Book Antiqua" w:cs="Times New Roman"/>
          <w:sz w:val="24"/>
          <w:szCs w:val="24"/>
        </w:rPr>
        <w:t>de Puerto Rico</w:t>
      </w:r>
      <w:r w:rsidRPr="00823EDF">
        <w:rPr>
          <w:rFonts w:ascii="Book Antiqua" w:eastAsia="Times New Roman" w:hAnsi="Book Antiqua" w:cs="Times New Roman"/>
          <w:sz w:val="24"/>
          <w:szCs w:val="24"/>
        </w:rPr>
        <w:t>, previo estudio y consideración del</w:t>
      </w:r>
      <w:r w:rsidR="00470B60" w:rsidRPr="00823EDF">
        <w:rPr>
          <w:rFonts w:ascii="Book Antiqua" w:eastAsia="Times New Roman" w:hAnsi="Book Antiqua" w:cs="Times New Roman"/>
          <w:sz w:val="24"/>
          <w:szCs w:val="24"/>
        </w:rPr>
        <w:t xml:space="preserve"> Proyecto de</w:t>
      </w:r>
      <w:r w:rsidR="00680204" w:rsidRPr="00823EDF">
        <w:rPr>
          <w:rFonts w:ascii="Book Antiqua" w:eastAsia="Times New Roman" w:hAnsi="Book Antiqua" w:cs="Times New Roman"/>
          <w:sz w:val="24"/>
          <w:szCs w:val="24"/>
        </w:rPr>
        <w:t xml:space="preserve"> </w:t>
      </w:r>
      <w:r w:rsidR="00470B60" w:rsidRPr="00823EDF">
        <w:rPr>
          <w:rFonts w:ascii="Book Antiqua" w:eastAsia="Times New Roman" w:hAnsi="Book Antiqua" w:cs="Times New Roman"/>
          <w:sz w:val="24"/>
          <w:szCs w:val="24"/>
        </w:rPr>
        <w:t>l</w:t>
      </w:r>
      <w:r w:rsidR="00680204" w:rsidRPr="00823EDF">
        <w:rPr>
          <w:rFonts w:ascii="Book Antiqua" w:eastAsia="Times New Roman" w:hAnsi="Book Antiqua" w:cs="Times New Roman"/>
          <w:sz w:val="24"/>
          <w:szCs w:val="24"/>
        </w:rPr>
        <w:t>a</w:t>
      </w:r>
      <w:r w:rsidR="00470B60" w:rsidRPr="00823EDF">
        <w:rPr>
          <w:rFonts w:ascii="Book Antiqua" w:eastAsia="Times New Roman" w:hAnsi="Book Antiqua" w:cs="Times New Roman"/>
          <w:sz w:val="24"/>
          <w:szCs w:val="24"/>
        </w:rPr>
        <w:t xml:space="preserve"> </w:t>
      </w:r>
      <w:r w:rsidR="00680204" w:rsidRPr="00823EDF">
        <w:rPr>
          <w:rFonts w:ascii="Book Antiqua" w:eastAsia="Times New Roman" w:hAnsi="Book Antiqua" w:cs="Times New Roman"/>
          <w:sz w:val="24"/>
          <w:szCs w:val="24"/>
        </w:rPr>
        <w:t>Cámara</w:t>
      </w:r>
      <w:r w:rsidR="00470B60" w:rsidRPr="00823EDF">
        <w:rPr>
          <w:rFonts w:ascii="Book Antiqua" w:eastAsia="Times New Roman" w:hAnsi="Book Antiqua" w:cs="Times New Roman"/>
          <w:sz w:val="24"/>
          <w:szCs w:val="24"/>
        </w:rPr>
        <w:t xml:space="preserve"> </w:t>
      </w:r>
      <w:r w:rsidR="00C332C0" w:rsidRPr="00823EDF">
        <w:rPr>
          <w:rFonts w:ascii="Book Antiqua" w:eastAsia="Times New Roman" w:hAnsi="Book Antiqua" w:cs="Times New Roman"/>
          <w:sz w:val="24"/>
          <w:szCs w:val="24"/>
        </w:rPr>
        <w:t>1124</w:t>
      </w:r>
      <w:r w:rsidRPr="00823EDF">
        <w:rPr>
          <w:rFonts w:ascii="Book Antiqua" w:eastAsia="Times New Roman" w:hAnsi="Book Antiqua" w:cs="Times New Roman"/>
          <w:sz w:val="24"/>
          <w:szCs w:val="24"/>
        </w:rPr>
        <w:t>,</w:t>
      </w:r>
      <w:r w:rsidR="00C10EC0" w:rsidRPr="00823EDF">
        <w:rPr>
          <w:rFonts w:ascii="Book Antiqua" w:eastAsia="Times New Roman" w:hAnsi="Book Antiqua" w:cs="Times New Roman"/>
          <w:sz w:val="24"/>
          <w:szCs w:val="24"/>
        </w:rPr>
        <w:t xml:space="preserve"> </w:t>
      </w:r>
      <w:r w:rsidR="00120660" w:rsidRPr="00823EDF">
        <w:rPr>
          <w:rFonts w:ascii="Book Antiqua" w:eastAsia="Times New Roman" w:hAnsi="Book Antiqua" w:cs="Times New Roman"/>
          <w:sz w:val="24"/>
          <w:szCs w:val="24"/>
        </w:rPr>
        <w:t xml:space="preserve">no </w:t>
      </w:r>
      <w:r w:rsidR="00282759" w:rsidRPr="00823EDF">
        <w:rPr>
          <w:rFonts w:ascii="Book Antiqua" w:eastAsia="Times New Roman" w:hAnsi="Book Antiqua" w:cs="Times New Roman"/>
          <w:sz w:val="24"/>
          <w:szCs w:val="24"/>
        </w:rPr>
        <w:t>recomienda</w:t>
      </w:r>
      <w:r w:rsidRPr="00823EDF">
        <w:rPr>
          <w:rFonts w:ascii="Book Antiqua" w:eastAsia="Times New Roman" w:hAnsi="Book Antiqua" w:cs="Times New Roman"/>
          <w:sz w:val="24"/>
          <w:szCs w:val="24"/>
        </w:rPr>
        <w:t xml:space="preserve"> </w:t>
      </w:r>
      <w:r w:rsidR="00120660" w:rsidRPr="00823EDF">
        <w:rPr>
          <w:rFonts w:ascii="Book Antiqua" w:eastAsia="Times New Roman" w:hAnsi="Book Antiqua" w:cs="Times New Roman"/>
          <w:sz w:val="24"/>
          <w:szCs w:val="24"/>
        </w:rPr>
        <w:t>su aprobación</w:t>
      </w:r>
      <w:r w:rsidRPr="00823EDF">
        <w:rPr>
          <w:rFonts w:ascii="Book Antiqua" w:eastAsia="Times New Roman" w:hAnsi="Book Antiqua" w:cs="Times New Roman"/>
          <w:sz w:val="24"/>
          <w:szCs w:val="24"/>
        </w:rPr>
        <w:t xml:space="preserve">. </w:t>
      </w:r>
    </w:p>
    <w:p w14:paraId="30856599" w14:textId="77777777" w:rsidR="002D6515" w:rsidRPr="00823EDF" w:rsidRDefault="002D6515" w:rsidP="00FD56FE">
      <w:pPr>
        <w:spacing w:after="0" w:line="240" w:lineRule="auto"/>
        <w:ind w:firstLine="708"/>
        <w:contextualSpacing/>
        <w:jc w:val="both"/>
        <w:rPr>
          <w:rFonts w:ascii="Book Antiqua" w:eastAsia="Times New Roman" w:hAnsi="Book Antiqua" w:cs="Times New Roman"/>
          <w:sz w:val="24"/>
          <w:szCs w:val="24"/>
        </w:rPr>
      </w:pPr>
    </w:p>
    <w:p w14:paraId="089769F7" w14:textId="77777777" w:rsidR="002573CC" w:rsidRPr="00823EDF" w:rsidRDefault="002573CC" w:rsidP="00FD56FE">
      <w:pPr>
        <w:spacing w:after="0" w:line="240" w:lineRule="auto"/>
        <w:contextualSpacing/>
        <w:jc w:val="center"/>
        <w:rPr>
          <w:rFonts w:ascii="Book Antiqua" w:eastAsia="Times New Roman" w:hAnsi="Book Antiqua" w:cs="Times New Roman"/>
          <w:b/>
          <w:sz w:val="24"/>
          <w:szCs w:val="24"/>
        </w:rPr>
      </w:pPr>
      <w:r w:rsidRPr="00823EDF">
        <w:rPr>
          <w:rFonts w:ascii="Book Antiqua" w:eastAsia="Times New Roman" w:hAnsi="Book Antiqua" w:cs="Times New Roman"/>
          <w:b/>
          <w:sz w:val="24"/>
          <w:szCs w:val="24"/>
        </w:rPr>
        <w:t>ALCANCE DE LA MEDIDA</w:t>
      </w:r>
    </w:p>
    <w:p w14:paraId="33C8D1DE" w14:textId="77777777" w:rsidR="006471A0" w:rsidRPr="00823EDF" w:rsidRDefault="006471A0" w:rsidP="00FD56FE">
      <w:pPr>
        <w:suppressLineNumbers/>
        <w:spacing w:after="0" w:line="240" w:lineRule="auto"/>
        <w:ind w:firstLine="708"/>
        <w:contextualSpacing/>
        <w:jc w:val="both"/>
        <w:rPr>
          <w:rFonts w:ascii="Book Antiqua" w:eastAsia="Times New Roman" w:hAnsi="Book Antiqua" w:cs="Times New Roman"/>
          <w:sz w:val="24"/>
          <w:szCs w:val="24"/>
        </w:rPr>
      </w:pPr>
    </w:p>
    <w:p w14:paraId="03E5F39D" w14:textId="77777777" w:rsidR="00AE11F6" w:rsidRPr="00823EDF" w:rsidRDefault="002573CC" w:rsidP="00AE11F6">
      <w:pPr>
        <w:widowControl w:val="0"/>
        <w:autoSpaceDE w:val="0"/>
        <w:autoSpaceDN w:val="0"/>
        <w:adjustRightInd w:val="0"/>
        <w:spacing w:after="0" w:line="240" w:lineRule="auto"/>
        <w:ind w:firstLine="708"/>
        <w:contextualSpacing/>
        <w:jc w:val="both"/>
        <w:rPr>
          <w:rFonts w:ascii="Book Antiqua" w:eastAsia="Times New Roman" w:hAnsi="Book Antiqua" w:cs="Times New Roman"/>
          <w:sz w:val="24"/>
          <w:szCs w:val="24"/>
        </w:rPr>
      </w:pPr>
      <w:r w:rsidRPr="00823EDF">
        <w:rPr>
          <w:rFonts w:ascii="Book Antiqua" w:eastAsia="Times New Roman" w:hAnsi="Book Antiqua" w:cs="Times New Roman"/>
          <w:sz w:val="24"/>
          <w:szCs w:val="24"/>
        </w:rPr>
        <w:t>El P. de</w:t>
      </w:r>
      <w:r w:rsidR="00FE6DD7" w:rsidRPr="00823EDF">
        <w:rPr>
          <w:rFonts w:ascii="Book Antiqua" w:eastAsia="Times New Roman" w:hAnsi="Book Antiqua" w:cs="Times New Roman"/>
          <w:sz w:val="24"/>
          <w:szCs w:val="24"/>
        </w:rPr>
        <w:t xml:space="preserve"> </w:t>
      </w:r>
      <w:r w:rsidR="00B03370" w:rsidRPr="00823EDF">
        <w:rPr>
          <w:rFonts w:ascii="Book Antiqua" w:eastAsia="Times New Roman" w:hAnsi="Book Antiqua" w:cs="Times New Roman"/>
          <w:sz w:val="24"/>
          <w:szCs w:val="24"/>
        </w:rPr>
        <w:t>l</w:t>
      </w:r>
      <w:r w:rsidR="00FE6DD7" w:rsidRPr="00823EDF">
        <w:rPr>
          <w:rFonts w:ascii="Book Antiqua" w:eastAsia="Times New Roman" w:hAnsi="Book Antiqua" w:cs="Times New Roman"/>
          <w:sz w:val="24"/>
          <w:szCs w:val="24"/>
        </w:rPr>
        <w:t>a</w:t>
      </w:r>
      <w:r w:rsidR="00B03370" w:rsidRPr="00823EDF">
        <w:rPr>
          <w:rFonts w:ascii="Book Antiqua" w:eastAsia="Times New Roman" w:hAnsi="Book Antiqua" w:cs="Times New Roman"/>
          <w:sz w:val="24"/>
          <w:szCs w:val="24"/>
        </w:rPr>
        <w:t xml:space="preserve"> </w:t>
      </w:r>
      <w:r w:rsidR="00FE6DD7" w:rsidRPr="00823EDF">
        <w:rPr>
          <w:rFonts w:ascii="Book Antiqua" w:eastAsia="Times New Roman" w:hAnsi="Book Antiqua" w:cs="Times New Roman"/>
          <w:sz w:val="24"/>
          <w:szCs w:val="24"/>
        </w:rPr>
        <w:t>C</w:t>
      </w:r>
      <w:r w:rsidR="00B03370" w:rsidRPr="00823EDF">
        <w:rPr>
          <w:rFonts w:ascii="Book Antiqua" w:eastAsia="Times New Roman" w:hAnsi="Book Antiqua" w:cs="Times New Roman"/>
          <w:sz w:val="24"/>
          <w:szCs w:val="24"/>
        </w:rPr>
        <w:t xml:space="preserve">. </w:t>
      </w:r>
      <w:r w:rsidR="00C332C0" w:rsidRPr="00823EDF">
        <w:rPr>
          <w:rFonts w:ascii="Book Antiqua" w:eastAsia="Times New Roman" w:hAnsi="Book Antiqua" w:cs="Times New Roman"/>
          <w:sz w:val="24"/>
          <w:szCs w:val="24"/>
        </w:rPr>
        <w:t>1124</w:t>
      </w:r>
      <w:r w:rsidRPr="00823EDF">
        <w:rPr>
          <w:rFonts w:ascii="Book Antiqua" w:eastAsia="Times New Roman" w:hAnsi="Book Antiqua" w:cs="Times New Roman"/>
          <w:sz w:val="24"/>
          <w:szCs w:val="24"/>
        </w:rPr>
        <w:t xml:space="preserve">, </w:t>
      </w:r>
      <w:r w:rsidR="003D46CA" w:rsidRPr="00823EDF">
        <w:rPr>
          <w:rFonts w:ascii="Book Antiqua" w:eastAsia="Times New Roman" w:hAnsi="Book Antiqua" w:cs="Times New Roman"/>
          <w:sz w:val="24"/>
          <w:szCs w:val="24"/>
        </w:rPr>
        <w:t xml:space="preserve">busca </w:t>
      </w:r>
      <w:r w:rsidR="00AE11F6" w:rsidRPr="00823EDF">
        <w:rPr>
          <w:rFonts w:ascii="Book Antiqua" w:eastAsia="Times New Roman" w:hAnsi="Book Antiqua" w:cs="Times New Roman"/>
          <w:sz w:val="24"/>
          <w:szCs w:val="24"/>
        </w:rPr>
        <w:t>enmendar el Artículo 5.01; añadir un inciso (j) al Artículo 5.05; enmendar los incisos (a) y (d) del Artículo 5.06; y enmendar el Artículo 5.07 de la Ley Núm. 26-2017, según enmendada, conocida como “Ley de Cumplimiento con el Plan Fiscal”, a fin de ampliar los deberes del Comité de Evaluación y Disposición de Propiedades Inmuebles con respecto al inventario oficial de propiedades del Gobierno de Puerto Rico; y autorizar la transferencia de propiedades inmuebles en total desuso a los municipios, entidades sin fines de lucro o desarrolladores comunitarios para ser destinadas exclusivamente al desarrollo de vivienda social y asequible.</w:t>
      </w:r>
    </w:p>
    <w:p w14:paraId="27BF827D" w14:textId="77777777" w:rsidR="00AE11F6" w:rsidRPr="00823EDF" w:rsidRDefault="00AE11F6" w:rsidP="00AE11F6">
      <w:pPr>
        <w:widowControl w:val="0"/>
        <w:autoSpaceDE w:val="0"/>
        <w:autoSpaceDN w:val="0"/>
        <w:adjustRightInd w:val="0"/>
        <w:spacing w:after="0" w:line="240" w:lineRule="auto"/>
        <w:ind w:firstLine="708"/>
        <w:contextualSpacing/>
        <w:jc w:val="both"/>
        <w:rPr>
          <w:rFonts w:ascii="Book Antiqua" w:eastAsia="Times New Roman" w:hAnsi="Book Antiqua" w:cs="Times New Roman"/>
          <w:sz w:val="24"/>
          <w:szCs w:val="24"/>
        </w:rPr>
      </w:pPr>
    </w:p>
    <w:p w14:paraId="79AEB4A6" w14:textId="77777777" w:rsidR="002573CC" w:rsidRPr="00823EDF" w:rsidRDefault="002573CC" w:rsidP="00FD56FE">
      <w:pPr>
        <w:spacing w:after="0" w:line="240" w:lineRule="auto"/>
        <w:contextualSpacing/>
        <w:jc w:val="center"/>
        <w:rPr>
          <w:rFonts w:ascii="Book Antiqua" w:eastAsia="Times New Roman" w:hAnsi="Book Antiqua" w:cs="Times New Roman"/>
          <w:b/>
          <w:sz w:val="24"/>
          <w:szCs w:val="24"/>
        </w:rPr>
      </w:pPr>
      <w:r w:rsidRPr="00823EDF">
        <w:rPr>
          <w:rFonts w:ascii="Book Antiqua" w:eastAsia="Times New Roman" w:hAnsi="Book Antiqua" w:cs="Times New Roman"/>
          <w:b/>
          <w:sz w:val="24"/>
          <w:szCs w:val="24"/>
        </w:rPr>
        <w:t>INTRODUCCIÓN</w:t>
      </w:r>
    </w:p>
    <w:p w14:paraId="3E55500C" w14:textId="77777777" w:rsidR="006471A0" w:rsidRPr="00823EDF" w:rsidRDefault="006471A0" w:rsidP="00FD56FE">
      <w:pPr>
        <w:spacing w:after="0" w:line="240" w:lineRule="auto"/>
        <w:ind w:firstLine="708"/>
        <w:contextualSpacing/>
        <w:jc w:val="both"/>
        <w:rPr>
          <w:rFonts w:ascii="Book Antiqua" w:eastAsia="Times New Roman" w:hAnsi="Book Antiqua" w:cs="Times New Roman"/>
          <w:sz w:val="24"/>
          <w:szCs w:val="24"/>
        </w:rPr>
      </w:pPr>
    </w:p>
    <w:p w14:paraId="3D52BEED" w14:textId="3F560FC5" w:rsidR="00AE11F6" w:rsidRPr="00823EDF" w:rsidRDefault="00AE11F6" w:rsidP="00AE11F6">
      <w:pPr>
        <w:spacing w:after="0" w:line="240" w:lineRule="auto"/>
        <w:ind w:firstLine="708"/>
        <w:contextualSpacing/>
        <w:jc w:val="both"/>
        <w:rPr>
          <w:rFonts w:ascii="Book Antiqua" w:eastAsia="Times New Roman" w:hAnsi="Book Antiqua" w:cs="Times New Roman"/>
          <w:sz w:val="24"/>
          <w:szCs w:val="24"/>
        </w:rPr>
      </w:pPr>
      <w:r w:rsidRPr="00823EDF">
        <w:rPr>
          <w:rFonts w:ascii="Book Antiqua" w:eastAsia="Times New Roman" w:hAnsi="Book Antiqua" w:cs="Times New Roman"/>
          <w:sz w:val="24"/>
          <w:szCs w:val="24"/>
        </w:rPr>
        <w:t xml:space="preserve">La Exposición de Motivos </w:t>
      </w:r>
      <w:r w:rsidR="0001121F" w:rsidRPr="00823EDF">
        <w:rPr>
          <w:rFonts w:ascii="Book Antiqua" w:eastAsia="Times New Roman" w:hAnsi="Book Antiqua" w:cs="Times New Roman"/>
          <w:sz w:val="24"/>
          <w:szCs w:val="24"/>
        </w:rPr>
        <w:t>del P. de la C. 1124</w:t>
      </w:r>
      <w:r w:rsidRPr="00823EDF">
        <w:rPr>
          <w:rFonts w:ascii="Book Antiqua" w:eastAsia="Times New Roman" w:hAnsi="Book Antiqua" w:cs="Times New Roman"/>
          <w:sz w:val="24"/>
          <w:szCs w:val="24"/>
        </w:rPr>
        <w:t xml:space="preserve"> indica que Puerto Rico atraviesa actualmente una crisis significativa de vivienda accesible que afecta de manera desproporcionada a personas y familias de escasos recursos. Según un informe del </w:t>
      </w:r>
      <w:proofErr w:type="spellStart"/>
      <w:r w:rsidRPr="00823EDF">
        <w:rPr>
          <w:rFonts w:ascii="Book Antiqua" w:eastAsia="Times New Roman" w:hAnsi="Book Antiqua" w:cs="Times New Roman"/>
          <w:i/>
          <w:iCs/>
          <w:sz w:val="24"/>
          <w:szCs w:val="24"/>
        </w:rPr>
        <w:t>National</w:t>
      </w:r>
      <w:proofErr w:type="spellEnd"/>
      <w:r w:rsidRPr="00823EDF">
        <w:rPr>
          <w:rFonts w:ascii="Book Antiqua" w:eastAsia="Times New Roman" w:hAnsi="Book Antiqua" w:cs="Times New Roman"/>
          <w:i/>
          <w:iCs/>
          <w:sz w:val="24"/>
          <w:szCs w:val="24"/>
        </w:rPr>
        <w:t xml:space="preserve"> Low </w:t>
      </w:r>
      <w:proofErr w:type="spellStart"/>
      <w:r w:rsidRPr="00823EDF">
        <w:rPr>
          <w:rFonts w:ascii="Book Antiqua" w:eastAsia="Times New Roman" w:hAnsi="Book Antiqua" w:cs="Times New Roman"/>
          <w:i/>
          <w:iCs/>
          <w:sz w:val="24"/>
          <w:szCs w:val="24"/>
        </w:rPr>
        <w:t>Income</w:t>
      </w:r>
      <w:proofErr w:type="spellEnd"/>
      <w:r w:rsidRPr="00823EDF">
        <w:rPr>
          <w:rFonts w:ascii="Book Antiqua" w:eastAsia="Times New Roman" w:hAnsi="Book Antiqua" w:cs="Times New Roman"/>
          <w:i/>
          <w:iCs/>
          <w:sz w:val="24"/>
          <w:szCs w:val="24"/>
        </w:rPr>
        <w:t xml:space="preserve"> </w:t>
      </w:r>
      <w:proofErr w:type="spellStart"/>
      <w:r w:rsidRPr="00823EDF">
        <w:rPr>
          <w:rFonts w:ascii="Book Antiqua" w:eastAsia="Times New Roman" w:hAnsi="Book Antiqua" w:cs="Times New Roman"/>
          <w:i/>
          <w:iCs/>
          <w:sz w:val="24"/>
          <w:szCs w:val="24"/>
        </w:rPr>
        <w:t>Housing</w:t>
      </w:r>
      <w:proofErr w:type="spellEnd"/>
      <w:r w:rsidRPr="00823EDF">
        <w:rPr>
          <w:rFonts w:ascii="Book Antiqua" w:eastAsia="Times New Roman" w:hAnsi="Book Antiqua" w:cs="Times New Roman"/>
          <w:i/>
          <w:iCs/>
          <w:sz w:val="24"/>
          <w:szCs w:val="24"/>
        </w:rPr>
        <w:t xml:space="preserve"> </w:t>
      </w:r>
      <w:proofErr w:type="spellStart"/>
      <w:r w:rsidRPr="00823EDF">
        <w:rPr>
          <w:rFonts w:ascii="Book Antiqua" w:eastAsia="Times New Roman" w:hAnsi="Book Antiqua" w:cs="Times New Roman"/>
          <w:i/>
          <w:iCs/>
          <w:sz w:val="24"/>
          <w:szCs w:val="24"/>
        </w:rPr>
        <w:t>Coalition</w:t>
      </w:r>
      <w:proofErr w:type="spellEnd"/>
      <w:r w:rsidRPr="00823EDF">
        <w:rPr>
          <w:rFonts w:ascii="Book Antiqua" w:eastAsia="Times New Roman" w:hAnsi="Book Antiqua" w:cs="Times New Roman"/>
          <w:sz w:val="24"/>
          <w:szCs w:val="24"/>
        </w:rPr>
        <w:t xml:space="preserve"> (NLIHC), el cual analizó los datos del </w:t>
      </w:r>
      <w:r w:rsidRPr="00823EDF">
        <w:rPr>
          <w:rFonts w:ascii="Book Antiqua" w:eastAsia="Times New Roman" w:hAnsi="Book Antiqua" w:cs="Times New Roman"/>
          <w:i/>
          <w:iCs/>
          <w:sz w:val="24"/>
          <w:szCs w:val="24"/>
        </w:rPr>
        <w:t xml:space="preserve">2023 Puerto </w:t>
      </w:r>
      <w:proofErr w:type="spellStart"/>
      <w:r w:rsidRPr="00823EDF">
        <w:rPr>
          <w:rFonts w:ascii="Book Antiqua" w:eastAsia="Times New Roman" w:hAnsi="Book Antiqua" w:cs="Times New Roman"/>
          <w:i/>
          <w:iCs/>
          <w:sz w:val="24"/>
          <w:szCs w:val="24"/>
        </w:rPr>
        <w:t>Rican</w:t>
      </w:r>
      <w:proofErr w:type="spellEnd"/>
      <w:r w:rsidRPr="00823EDF">
        <w:rPr>
          <w:rFonts w:ascii="Book Antiqua" w:eastAsia="Times New Roman" w:hAnsi="Book Antiqua" w:cs="Times New Roman"/>
          <w:i/>
          <w:iCs/>
          <w:sz w:val="24"/>
          <w:szCs w:val="24"/>
        </w:rPr>
        <w:t xml:space="preserve"> </w:t>
      </w:r>
      <w:proofErr w:type="spellStart"/>
      <w:r w:rsidRPr="00823EDF">
        <w:rPr>
          <w:rFonts w:ascii="Book Antiqua" w:eastAsia="Times New Roman" w:hAnsi="Book Antiqua" w:cs="Times New Roman"/>
          <w:i/>
          <w:iCs/>
          <w:sz w:val="24"/>
          <w:szCs w:val="24"/>
        </w:rPr>
        <w:t>Community</w:t>
      </w:r>
      <w:proofErr w:type="spellEnd"/>
      <w:r w:rsidRPr="00823EDF">
        <w:rPr>
          <w:rFonts w:ascii="Book Antiqua" w:eastAsia="Times New Roman" w:hAnsi="Book Antiqua" w:cs="Times New Roman"/>
          <w:i/>
          <w:iCs/>
          <w:sz w:val="24"/>
          <w:szCs w:val="24"/>
        </w:rPr>
        <w:t xml:space="preserve"> </w:t>
      </w:r>
      <w:proofErr w:type="spellStart"/>
      <w:r w:rsidRPr="00823EDF">
        <w:rPr>
          <w:rFonts w:ascii="Book Antiqua" w:eastAsia="Times New Roman" w:hAnsi="Book Antiqua" w:cs="Times New Roman"/>
          <w:i/>
          <w:iCs/>
          <w:sz w:val="24"/>
          <w:szCs w:val="24"/>
        </w:rPr>
        <w:t>Survey</w:t>
      </w:r>
      <w:proofErr w:type="spellEnd"/>
      <w:r w:rsidRPr="00823EDF">
        <w:rPr>
          <w:rFonts w:ascii="Book Antiqua" w:eastAsia="Times New Roman" w:hAnsi="Book Antiqua" w:cs="Times New Roman"/>
          <w:sz w:val="24"/>
          <w:szCs w:val="24"/>
        </w:rPr>
        <w:t xml:space="preserve"> (PRCS), la Isla enfrenta un déficit de aproximadamente 54,915 unidades de vivienda de alquiler que sean asequibles y disponibles para hogares de ingresos extremadamente bajos, lo que equivale a solo 66 unidades disponibles por cada 100 hogares que las necesitan. </w:t>
      </w:r>
    </w:p>
    <w:p w14:paraId="4B7EE639" w14:textId="77777777" w:rsidR="00AE11F6" w:rsidRPr="00823EDF" w:rsidRDefault="00AE11F6" w:rsidP="00AE11F6">
      <w:pPr>
        <w:spacing w:after="0" w:line="240" w:lineRule="auto"/>
        <w:ind w:firstLine="708"/>
        <w:contextualSpacing/>
        <w:jc w:val="both"/>
        <w:rPr>
          <w:rFonts w:ascii="Book Antiqua" w:eastAsia="Times New Roman" w:hAnsi="Book Antiqua" w:cs="Times New Roman"/>
          <w:sz w:val="24"/>
          <w:szCs w:val="24"/>
        </w:rPr>
      </w:pPr>
    </w:p>
    <w:p w14:paraId="4D0B4C00" w14:textId="42801497" w:rsidR="00AE11F6" w:rsidRPr="00823EDF" w:rsidRDefault="00AE11F6" w:rsidP="00AE11F6">
      <w:pPr>
        <w:spacing w:after="0" w:line="240" w:lineRule="auto"/>
        <w:ind w:firstLine="708"/>
        <w:contextualSpacing/>
        <w:jc w:val="both"/>
        <w:rPr>
          <w:rFonts w:ascii="Book Antiqua" w:eastAsia="Times New Roman" w:hAnsi="Book Antiqua" w:cs="Times New Roman"/>
          <w:sz w:val="24"/>
          <w:szCs w:val="24"/>
        </w:rPr>
      </w:pPr>
      <w:r w:rsidRPr="00823EDF">
        <w:rPr>
          <w:rFonts w:ascii="Book Antiqua" w:eastAsia="Times New Roman" w:hAnsi="Book Antiqua" w:cs="Times New Roman"/>
          <w:sz w:val="24"/>
          <w:szCs w:val="24"/>
        </w:rPr>
        <w:lastRenderedPageBreak/>
        <w:t>Señala que el propio informe de la NLIHC revela que una mayoría significativa de los hogares de bajos ingresos en Puerto Rico experimenta una carga severa de costos de vivienda, ya que destinan más del 30% -y en muchos casos más del 50%- de sus ingresos al pago de alquiler o hipoteca. Esta situación limita gravemente la capacidad de dichas familias para cubrir otras necesidades básicas como alimentación, salud, educación y transporte, lo cual profundiza los ciclos de pobreza y desigualdad social.</w:t>
      </w:r>
    </w:p>
    <w:p w14:paraId="3057C936" w14:textId="456F6ECC" w:rsidR="00AE11F6" w:rsidRPr="00823EDF" w:rsidRDefault="00AE11F6" w:rsidP="00AE11F6">
      <w:pPr>
        <w:spacing w:after="0" w:line="240" w:lineRule="auto"/>
        <w:ind w:firstLine="708"/>
        <w:contextualSpacing/>
        <w:jc w:val="both"/>
        <w:rPr>
          <w:rFonts w:ascii="Book Antiqua" w:eastAsia="Times New Roman" w:hAnsi="Book Antiqua" w:cs="Times New Roman"/>
          <w:sz w:val="24"/>
          <w:szCs w:val="24"/>
        </w:rPr>
      </w:pPr>
    </w:p>
    <w:p w14:paraId="3256B124" w14:textId="5100D5F2" w:rsidR="00AE11F6" w:rsidRPr="00823EDF" w:rsidRDefault="00AE11F6" w:rsidP="00AE11F6">
      <w:pPr>
        <w:spacing w:after="0" w:line="240" w:lineRule="auto"/>
        <w:contextualSpacing/>
        <w:jc w:val="both"/>
        <w:rPr>
          <w:rFonts w:ascii="Book Antiqua" w:eastAsia="Times New Roman" w:hAnsi="Book Antiqua" w:cs="Times New Roman"/>
          <w:sz w:val="24"/>
          <w:szCs w:val="24"/>
        </w:rPr>
      </w:pPr>
      <w:r w:rsidRPr="00823EDF">
        <w:rPr>
          <w:rFonts w:ascii="Book Antiqua" w:eastAsia="Times New Roman" w:hAnsi="Book Antiqua" w:cs="Times New Roman"/>
          <w:sz w:val="24"/>
          <w:szCs w:val="24"/>
        </w:rPr>
        <w:tab/>
        <w:t>Indica que la construcción de viviendas nuevas en Puerto Rico es casi inexistente. De las 12,000 unidades de vivienda que se construían a principios de la década del 2000, los datos del año 2024 reflejan que solo se construyeron cerca de 700 nuevas unidades. Esta realidad coloca a miles de familias en una situación de inseguridad permanente de vivienda.</w:t>
      </w:r>
    </w:p>
    <w:p w14:paraId="6BC0FB0C" w14:textId="656BDAF7" w:rsidR="00AE11F6" w:rsidRPr="00823EDF" w:rsidRDefault="00AE11F6" w:rsidP="00AE11F6">
      <w:pPr>
        <w:spacing w:after="0" w:line="240" w:lineRule="auto"/>
        <w:contextualSpacing/>
        <w:jc w:val="both"/>
        <w:rPr>
          <w:rFonts w:ascii="Book Antiqua" w:eastAsia="Times New Roman" w:hAnsi="Book Antiqua" w:cs="Times New Roman"/>
          <w:sz w:val="24"/>
          <w:szCs w:val="24"/>
        </w:rPr>
      </w:pPr>
      <w:r w:rsidRPr="00823EDF">
        <w:rPr>
          <w:rFonts w:ascii="Book Antiqua" w:eastAsia="Times New Roman" w:hAnsi="Book Antiqua" w:cs="Times New Roman"/>
          <w:sz w:val="24"/>
          <w:szCs w:val="24"/>
        </w:rPr>
        <w:tab/>
      </w:r>
    </w:p>
    <w:p w14:paraId="657C191C" w14:textId="1A74EB3F" w:rsidR="00AE11F6" w:rsidRPr="00823EDF" w:rsidRDefault="00AE11F6" w:rsidP="00AE11F6">
      <w:pPr>
        <w:spacing w:after="0" w:line="240" w:lineRule="auto"/>
        <w:contextualSpacing/>
        <w:jc w:val="both"/>
        <w:rPr>
          <w:rFonts w:ascii="Book Antiqua" w:eastAsia="Times New Roman" w:hAnsi="Book Antiqua" w:cs="Times New Roman"/>
          <w:sz w:val="24"/>
          <w:szCs w:val="24"/>
        </w:rPr>
      </w:pPr>
      <w:r w:rsidRPr="00823EDF">
        <w:rPr>
          <w:rFonts w:ascii="Book Antiqua" w:eastAsia="Times New Roman" w:hAnsi="Book Antiqua" w:cs="Times New Roman"/>
          <w:sz w:val="24"/>
          <w:szCs w:val="24"/>
        </w:rPr>
        <w:tab/>
      </w:r>
      <w:r w:rsidR="007925EF" w:rsidRPr="00823EDF">
        <w:rPr>
          <w:rFonts w:ascii="Book Antiqua" w:eastAsia="Times New Roman" w:hAnsi="Book Antiqua" w:cs="Times New Roman"/>
          <w:sz w:val="24"/>
          <w:szCs w:val="24"/>
        </w:rPr>
        <w:t xml:space="preserve">La Exposición de Motivos menciona </w:t>
      </w:r>
      <w:proofErr w:type="gramStart"/>
      <w:r w:rsidR="007925EF" w:rsidRPr="00823EDF">
        <w:rPr>
          <w:rFonts w:ascii="Book Antiqua" w:eastAsia="Times New Roman" w:hAnsi="Book Antiqua" w:cs="Times New Roman"/>
          <w:sz w:val="24"/>
          <w:szCs w:val="24"/>
        </w:rPr>
        <w:t>que</w:t>
      </w:r>
      <w:proofErr w:type="gramEnd"/>
      <w:r w:rsidR="007925EF" w:rsidRPr="00823EDF">
        <w:rPr>
          <w:rFonts w:ascii="Book Antiqua" w:eastAsia="Times New Roman" w:hAnsi="Book Antiqua" w:cs="Times New Roman"/>
          <w:sz w:val="24"/>
          <w:szCs w:val="24"/>
        </w:rPr>
        <w:t xml:space="preserve"> a</w:t>
      </w:r>
      <w:r w:rsidRPr="00823EDF">
        <w:rPr>
          <w:rFonts w:ascii="Book Antiqua" w:eastAsia="Times New Roman" w:hAnsi="Book Antiqua" w:cs="Times New Roman"/>
          <w:sz w:val="24"/>
          <w:szCs w:val="24"/>
        </w:rPr>
        <w:t xml:space="preserve">nte este panorama, resulta imperativo que el Estado adopte medidas concretas y efectivas que permitan movilizar cierto número de propiedades inmuebles públicas en desuso para beneficio del interés público, particularmente para atender la crisis de vivienda que afecta a los sectores más vulnerables de nuestra sociedad. </w:t>
      </w:r>
      <w:r w:rsidR="007925EF" w:rsidRPr="00823EDF">
        <w:rPr>
          <w:rFonts w:ascii="Book Antiqua" w:eastAsia="Times New Roman" w:hAnsi="Book Antiqua" w:cs="Times New Roman"/>
          <w:sz w:val="24"/>
          <w:szCs w:val="24"/>
        </w:rPr>
        <w:t xml:space="preserve"> </w:t>
      </w:r>
    </w:p>
    <w:p w14:paraId="40F13D81" w14:textId="77777777" w:rsidR="00AE11F6" w:rsidRPr="00823EDF" w:rsidRDefault="00AE11F6" w:rsidP="00AE11F6">
      <w:pPr>
        <w:spacing w:after="0" w:line="240" w:lineRule="auto"/>
        <w:contextualSpacing/>
        <w:jc w:val="both"/>
        <w:rPr>
          <w:rFonts w:ascii="Book Antiqua" w:eastAsia="Times New Roman" w:hAnsi="Book Antiqua" w:cs="Times New Roman"/>
          <w:sz w:val="24"/>
          <w:szCs w:val="24"/>
        </w:rPr>
      </w:pPr>
    </w:p>
    <w:p w14:paraId="69C28C26" w14:textId="7F1D9DEC" w:rsidR="00AE11F6" w:rsidRPr="00823EDF" w:rsidRDefault="00AE11F6" w:rsidP="00AE11F6">
      <w:pPr>
        <w:spacing w:after="0" w:line="240" w:lineRule="auto"/>
        <w:contextualSpacing/>
        <w:jc w:val="both"/>
        <w:rPr>
          <w:rFonts w:ascii="Book Antiqua" w:eastAsia="Times New Roman" w:hAnsi="Book Antiqua" w:cs="Times New Roman"/>
          <w:sz w:val="24"/>
          <w:szCs w:val="24"/>
        </w:rPr>
      </w:pPr>
      <w:r w:rsidRPr="00823EDF">
        <w:rPr>
          <w:rFonts w:ascii="Book Antiqua" w:eastAsia="Times New Roman" w:hAnsi="Book Antiqua" w:cs="Times New Roman"/>
          <w:sz w:val="24"/>
          <w:szCs w:val="24"/>
        </w:rPr>
        <w:tab/>
        <w:t xml:space="preserve">Esta política pública reconoce que dichas entidades, por su naturaleza y misión social, están mejor posicionadas para desarrollar proyectos de vivienda orientados al bienestar comunitario, sin fines especulativos, y con un enfoque de permanencia, accesibilidad y justicia social. </w:t>
      </w:r>
      <w:r w:rsidR="007925EF" w:rsidRPr="00823EDF">
        <w:rPr>
          <w:rFonts w:ascii="Book Antiqua" w:eastAsia="Times New Roman" w:hAnsi="Book Antiqua" w:cs="Times New Roman"/>
          <w:sz w:val="24"/>
          <w:szCs w:val="24"/>
        </w:rPr>
        <w:t xml:space="preserve"> Señala que</w:t>
      </w:r>
      <w:r w:rsidRPr="00823EDF">
        <w:rPr>
          <w:rFonts w:ascii="Book Antiqua" w:eastAsia="Times New Roman" w:hAnsi="Book Antiqua" w:cs="Times New Roman"/>
          <w:sz w:val="24"/>
          <w:szCs w:val="24"/>
        </w:rPr>
        <w:t xml:space="preserve"> la transferencia de propiedades inmuebles en desuso reduce los costos de desarrollo, incentiva la inversión responsable, promueve la rehabilitación de estructuras deterioradas y disminuye la presión fiscal sobre el Estado al evitar gastos de mantenimiento innecesarios de propiedades que ya no le rinden ningún beneficio.</w:t>
      </w:r>
    </w:p>
    <w:p w14:paraId="0879F921" w14:textId="77777777" w:rsidR="008D1576" w:rsidRPr="00823EDF" w:rsidRDefault="008D1576" w:rsidP="00B85F44">
      <w:pPr>
        <w:spacing w:after="0" w:line="240" w:lineRule="auto"/>
        <w:contextualSpacing/>
        <w:rPr>
          <w:rFonts w:ascii="Book Antiqua" w:eastAsia="Times New Roman" w:hAnsi="Book Antiqua" w:cs="Times New Roman"/>
          <w:b/>
          <w:sz w:val="24"/>
          <w:szCs w:val="24"/>
        </w:rPr>
      </w:pPr>
    </w:p>
    <w:p w14:paraId="43DB3518" w14:textId="4A57197D" w:rsidR="002573CC" w:rsidRPr="00823EDF" w:rsidRDefault="002573CC" w:rsidP="00FD56FE">
      <w:pPr>
        <w:spacing w:after="0" w:line="240" w:lineRule="auto"/>
        <w:contextualSpacing/>
        <w:jc w:val="center"/>
        <w:rPr>
          <w:rFonts w:ascii="Book Antiqua" w:eastAsia="Times New Roman" w:hAnsi="Book Antiqua" w:cs="Times New Roman"/>
          <w:b/>
          <w:sz w:val="24"/>
          <w:szCs w:val="24"/>
        </w:rPr>
      </w:pPr>
      <w:r w:rsidRPr="00823EDF">
        <w:rPr>
          <w:rFonts w:ascii="Book Antiqua" w:eastAsia="Times New Roman" w:hAnsi="Book Antiqua" w:cs="Times New Roman"/>
          <w:b/>
          <w:sz w:val="24"/>
          <w:szCs w:val="24"/>
        </w:rPr>
        <w:t>ANÁLISIS DE LA MEDIDA</w:t>
      </w:r>
    </w:p>
    <w:p w14:paraId="4B90A446" w14:textId="77777777" w:rsidR="006471A0" w:rsidRPr="00823EDF" w:rsidRDefault="006471A0" w:rsidP="00FD56FE">
      <w:pPr>
        <w:pStyle w:val="NormalWeb"/>
        <w:spacing w:before="0" w:beforeAutospacing="0" w:after="0" w:afterAutospacing="0"/>
        <w:ind w:firstLine="708"/>
        <w:contextualSpacing/>
        <w:jc w:val="both"/>
        <w:rPr>
          <w:rFonts w:ascii="Book Antiqua" w:hAnsi="Book Antiqua"/>
          <w:lang w:val="es-PR"/>
        </w:rPr>
      </w:pPr>
    </w:p>
    <w:p w14:paraId="59752A8E" w14:textId="74360C0E" w:rsidR="00137580" w:rsidRPr="00823EDF" w:rsidRDefault="00EB2903" w:rsidP="00FD56FE">
      <w:pPr>
        <w:spacing w:after="0" w:line="240" w:lineRule="auto"/>
        <w:ind w:firstLine="708"/>
        <w:contextualSpacing/>
        <w:jc w:val="both"/>
        <w:rPr>
          <w:rFonts w:ascii="Book Antiqua" w:eastAsia="Times New Roman" w:hAnsi="Book Antiqua" w:cs="Times New Roman"/>
          <w:sz w:val="24"/>
          <w:szCs w:val="24"/>
        </w:rPr>
      </w:pPr>
      <w:r w:rsidRPr="00823EDF">
        <w:rPr>
          <w:rFonts w:ascii="Book Antiqua" w:eastAsia="Times New Roman" w:hAnsi="Book Antiqua" w:cs="Times New Roman"/>
          <w:sz w:val="24"/>
          <w:szCs w:val="24"/>
        </w:rPr>
        <w:t xml:space="preserve">Como parte del proceso de análisis y evaluación de esta medida, se tomó en </w:t>
      </w:r>
      <w:r w:rsidR="00137580" w:rsidRPr="00823EDF">
        <w:rPr>
          <w:rFonts w:ascii="Book Antiqua" w:eastAsia="Times New Roman" w:hAnsi="Book Antiqua" w:cs="Times New Roman"/>
          <w:sz w:val="24"/>
          <w:szCs w:val="24"/>
        </w:rPr>
        <w:t xml:space="preserve">consideración el Memorial Explicativo </w:t>
      </w:r>
      <w:r w:rsidR="00E61CD3" w:rsidRPr="00823EDF">
        <w:rPr>
          <w:rFonts w:ascii="Book Antiqua" w:eastAsia="Times New Roman" w:hAnsi="Book Antiqua" w:cs="Times New Roman"/>
          <w:sz w:val="24"/>
          <w:szCs w:val="24"/>
        </w:rPr>
        <w:t>de la Autoridad de Asesoría y Agencia Fiscal y el Comité de Evaluación y Disposición de Bienes Inmuebles;</w:t>
      </w:r>
      <w:r w:rsidR="0001121F" w:rsidRPr="00823EDF">
        <w:rPr>
          <w:rFonts w:ascii="Book Antiqua" w:eastAsia="Times New Roman" w:hAnsi="Book Antiqua" w:cs="Times New Roman"/>
          <w:sz w:val="24"/>
          <w:szCs w:val="24"/>
        </w:rPr>
        <w:t xml:space="preserve"> y la Asociación de </w:t>
      </w:r>
      <w:proofErr w:type="gramStart"/>
      <w:r w:rsidR="0001121F" w:rsidRPr="00823EDF">
        <w:rPr>
          <w:rFonts w:ascii="Book Antiqua" w:eastAsia="Times New Roman" w:hAnsi="Book Antiqua" w:cs="Times New Roman"/>
          <w:sz w:val="24"/>
          <w:szCs w:val="24"/>
        </w:rPr>
        <w:t>Alcaldes</w:t>
      </w:r>
      <w:proofErr w:type="gramEnd"/>
      <w:r w:rsidR="0001121F" w:rsidRPr="00823EDF">
        <w:rPr>
          <w:rFonts w:ascii="Book Antiqua" w:eastAsia="Times New Roman" w:hAnsi="Book Antiqua" w:cs="Times New Roman"/>
          <w:sz w:val="24"/>
          <w:szCs w:val="24"/>
        </w:rPr>
        <w:t xml:space="preserve"> de Puerto Rico</w:t>
      </w:r>
      <w:r w:rsidR="00137580" w:rsidRPr="00823EDF">
        <w:rPr>
          <w:rFonts w:ascii="Book Antiqua" w:eastAsia="Times New Roman" w:hAnsi="Book Antiqua" w:cs="Times New Roman"/>
          <w:sz w:val="24"/>
          <w:szCs w:val="24"/>
        </w:rPr>
        <w:t xml:space="preserve">. </w:t>
      </w:r>
      <w:r w:rsidR="00EB2256" w:rsidRPr="00823EDF">
        <w:rPr>
          <w:rFonts w:ascii="Book Antiqua" w:eastAsia="Times New Roman" w:hAnsi="Book Antiqua" w:cs="Times New Roman"/>
          <w:sz w:val="24"/>
          <w:szCs w:val="24"/>
        </w:rPr>
        <w:t xml:space="preserve"> Además, la Comisión suscribiente solicitó memoriales a la Federación de </w:t>
      </w:r>
      <w:proofErr w:type="gramStart"/>
      <w:r w:rsidR="00EB2256" w:rsidRPr="00823EDF">
        <w:rPr>
          <w:rFonts w:ascii="Book Antiqua" w:eastAsia="Times New Roman" w:hAnsi="Book Antiqua" w:cs="Times New Roman"/>
          <w:sz w:val="24"/>
          <w:szCs w:val="24"/>
        </w:rPr>
        <w:t>Alcaldes</w:t>
      </w:r>
      <w:proofErr w:type="gramEnd"/>
      <w:r w:rsidR="00EB2256" w:rsidRPr="00823EDF">
        <w:rPr>
          <w:rFonts w:ascii="Book Antiqua" w:eastAsia="Times New Roman" w:hAnsi="Book Antiqua" w:cs="Times New Roman"/>
          <w:sz w:val="24"/>
          <w:szCs w:val="24"/>
        </w:rPr>
        <w:t xml:space="preserve"> de Puerto Rico y al Departamento de Justicia, no obstante, al momento de redactar este Informe no se habían recibido. </w:t>
      </w:r>
    </w:p>
    <w:p w14:paraId="5CCC433E" w14:textId="77777777" w:rsidR="00AD1973" w:rsidRPr="00823EDF" w:rsidRDefault="00AD1973" w:rsidP="00137580">
      <w:pPr>
        <w:spacing w:after="0" w:line="240" w:lineRule="auto"/>
        <w:contextualSpacing/>
        <w:jc w:val="both"/>
        <w:rPr>
          <w:rFonts w:ascii="Book Antiqua" w:eastAsia="Times New Roman" w:hAnsi="Book Antiqua" w:cs="Times New Roman"/>
          <w:sz w:val="24"/>
          <w:szCs w:val="24"/>
        </w:rPr>
      </w:pPr>
    </w:p>
    <w:p w14:paraId="43CB030E" w14:textId="7B6316C0" w:rsidR="007C2792" w:rsidRPr="00823EDF" w:rsidRDefault="006A3ACE" w:rsidP="00FD56FE">
      <w:pPr>
        <w:spacing w:after="0" w:line="240" w:lineRule="auto"/>
        <w:ind w:firstLine="708"/>
        <w:contextualSpacing/>
        <w:jc w:val="both"/>
        <w:rPr>
          <w:rFonts w:ascii="Book Antiqua" w:eastAsia="Times New Roman" w:hAnsi="Book Antiqua" w:cs="Times New Roman"/>
          <w:sz w:val="24"/>
          <w:szCs w:val="24"/>
        </w:rPr>
      </w:pPr>
      <w:r w:rsidRPr="00823EDF">
        <w:rPr>
          <w:rFonts w:ascii="Book Antiqua" w:eastAsia="Times New Roman" w:hAnsi="Book Antiqua" w:cs="Times New Roman"/>
          <w:sz w:val="24"/>
          <w:szCs w:val="24"/>
        </w:rPr>
        <w:t xml:space="preserve"> A </w:t>
      </w:r>
      <w:r w:rsidR="0017453A" w:rsidRPr="00823EDF">
        <w:rPr>
          <w:rFonts w:ascii="Book Antiqua" w:eastAsia="Times New Roman" w:hAnsi="Book Antiqua" w:cs="Times New Roman"/>
          <w:sz w:val="24"/>
          <w:szCs w:val="24"/>
        </w:rPr>
        <w:t>continuación,</w:t>
      </w:r>
      <w:r w:rsidRPr="00823EDF">
        <w:rPr>
          <w:rFonts w:ascii="Book Antiqua" w:eastAsia="Times New Roman" w:hAnsi="Book Antiqua" w:cs="Times New Roman"/>
          <w:sz w:val="24"/>
          <w:szCs w:val="24"/>
        </w:rPr>
        <w:t xml:space="preserve"> un resumen de </w:t>
      </w:r>
      <w:r w:rsidR="00EB2256" w:rsidRPr="00823EDF">
        <w:rPr>
          <w:rFonts w:ascii="Book Antiqua" w:eastAsia="Times New Roman" w:hAnsi="Book Antiqua" w:cs="Times New Roman"/>
          <w:sz w:val="24"/>
          <w:szCs w:val="24"/>
        </w:rPr>
        <w:t>los memoriales explicativos recibidos</w:t>
      </w:r>
      <w:r w:rsidR="00FD7525" w:rsidRPr="00823EDF">
        <w:rPr>
          <w:rFonts w:ascii="Book Antiqua" w:eastAsia="Times New Roman" w:hAnsi="Book Antiqua" w:cs="Times New Roman"/>
          <w:sz w:val="24"/>
          <w:szCs w:val="24"/>
        </w:rPr>
        <w:t xml:space="preserve"> para</w:t>
      </w:r>
      <w:r w:rsidRPr="00823EDF">
        <w:rPr>
          <w:rFonts w:ascii="Book Antiqua" w:eastAsia="Times New Roman" w:hAnsi="Book Antiqua" w:cs="Times New Roman"/>
          <w:sz w:val="24"/>
          <w:szCs w:val="24"/>
        </w:rPr>
        <w:t xml:space="preserve"> analizar la presente medida:</w:t>
      </w:r>
    </w:p>
    <w:p w14:paraId="26A49112" w14:textId="77777777" w:rsidR="009E200E" w:rsidRPr="00823EDF" w:rsidRDefault="009E200E" w:rsidP="00FD56FE">
      <w:pPr>
        <w:spacing w:after="0" w:line="240" w:lineRule="auto"/>
        <w:ind w:firstLine="708"/>
        <w:contextualSpacing/>
        <w:jc w:val="both"/>
        <w:rPr>
          <w:rFonts w:ascii="Book Antiqua" w:eastAsia="Times New Roman" w:hAnsi="Book Antiqua" w:cs="Times New Roman"/>
          <w:sz w:val="24"/>
          <w:szCs w:val="24"/>
        </w:rPr>
      </w:pPr>
    </w:p>
    <w:p w14:paraId="33E61E11" w14:textId="21E34FBF" w:rsidR="007A1A85" w:rsidRPr="00823EDF" w:rsidRDefault="00E61CD3" w:rsidP="00E61CD3">
      <w:pPr>
        <w:spacing w:after="0" w:line="240" w:lineRule="auto"/>
        <w:contextualSpacing/>
        <w:jc w:val="both"/>
        <w:rPr>
          <w:rFonts w:ascii="Book Antiqua" w:eastAsia="Times New Roman" w:hAnsi="Book Antiqua" w:cs="Times New Roman"/>
          <w:b/>
          <w:bCs/>
          <w:sz w:val="24"/>
          <w:szCs w:val="24"/>
        </w:rPr>
      </w:pPr>
      <w:r w:rsidRPr="00823EDF">
        <w:rPr>
          <w:rFonts w:ascii="Book Antiqua" w:eastAsia="Times New Roman" w:hAnsi="Book Antiqua" w:cs="Times New Roman"/>
          <w:sz w:val="24"/>
          <w:szCs w:val="24"/>
        </w:rPr>
        <w:tab/>
        <w:t xml:space="preserve">La </w:t>
      </w:r>
      <w:r w:rsidRPr="00823EDF">
        <w:rPr>
          <w:rFonts w:ascii="Book Antiqua" w:eastAsia="Times New Roman" w:hAnsi="Book Antiqua" w:cs="Times New Roman"/>
          <w:b/>
          <w:bCs/>
          <w:sz w:val="24"/>
          <w:szCs w:val="24"/>
        </w:rPr>
        <w:t>Autoridad de Asesoría y Agencia Fiscal</w:t>
      </w:r>
      <w:r w:rsidRPr="00823EDF">
        <w:rPr>
          <w:rFonts w:ascii="Book Antiqua" w:eastAsia="Times New Roman" w:hAnsi="Book Antiqua" w:cs="Times New Roman"/>
          <w:sz w:val="24"/>
          <w:szCs w:val="24"/>
        </w:rPr>
        <w:t xml:space="preserve"> </w:t>
      </w:r>
      <w:r w:rsidR="00DB3028" w:rsidRPr="00823EDF">
        <w:rPr>
          <w:rFonts w:ascii="Book Antiqua" w:eastAsia="Times New Roman" w:hAnsi="Book Antiqua" w:cs="Times New Roman"/>
          <w:b/>
          <w:bCs/>
          <w:sz w:val="24"/>
          <w:szCs w:val="24"/>
        </w:rPr>
        <w:t>(AAFAF)</w:t>
      </w:r>
      <w:r w:rsidR="00DB3028" w:rsidRPr="00823EDF">
        <w:rPr>
          <w:rFonts w:ascii="Book Antiqua" w:eastAsia="Times New Roman" w:hAnsi="Book Antiqua" w:cs="Times New Roman"/>
          <w:sz w:val="24"/>
          <w:szCs w:val="24"/>
        </w:rPr>
        <w:t xml:space="preserve"> </w:t>
      </w:r>
      <w:r w:rsidRPr="00823EDF">
        <w:rPr>
          <w:rFonts w:ascii="Book Antiqua" w:eastAsia="Times New Roman" w:hAnsi="Book Antiqua" w:cs="Times New Roman"/>
          <w:sz w:val="24"/>
          <w:szCs w:val="24"/>
        </w:rPr>
        <w:t xml:space="preserve">y el </w:t>
      </w:r>
      <w:r w:rsidRPr="00823EDF">
        <w:rPr>
          <w:rFonts w:ascii="Book Antiqua" w:eastAsia="Times New Roman" w:hAnsi="Book Antiqua" w:cs="Times New Roman"/>
          <w:b/>
          <w:bCs/>
          <w:sz w:val="24"/>
          <w:szCs w:val="24"/>
        </w:rPr>
        <w:t xml:space="preserve">Comité de Evaluación y Disposición de Bienes Inmuebles </w:t>
      </w:r>
      <w:r w:rsidR="00DB3028" w:rsidRPr="00823EDF">
        <w:rPr>
          <w:rFonts w:ascii="Book Antiqua" w:eastAsia="Times New Roman" w:hAnsi="Book Antiqua" w:cs="Times New Roman"/>
          <w:b/>
          <w:bCs/>
          <w:sz w:val="24"/>
          <w:szCs w:val="24"/>
        </w:rPr>
        <w:t xml:space="preserve">(CEDBI) </w:t>
      </w:r>
      <w:r w:rsidRPr="00823EDF">
        <w:rPr>
          <w:rFonts w:ascii="Book Antiqua" w:eastAsia="Times New Roman" w:hAnsi="Book Antiqua" w:cs="Times New Roman"/>
          <w:sz w:val="24"/>
          <w:szCs w:val="24"/>
        </w:rPr>
        <w:t xml:space="preserve">comparecieron en conjunto a emitir sus </w:t>
      </w:r>
      <w:r w:rsidRPr="00823EDF">
        <w:rPr>
          <w:rFonts w:ascii="Book Antiqua" w:eastAsia="Times New Roman" w:hAnsi="Book Antiqua" w:cs="Times New Roman"/>
          <w:sz w:val="24"/>
          <w:szCs w:val="24"/>
        </w:rPr>
        <w:lastRenderedPageBreak/>
        <w:t>comentarios</w:t>
      </w:r>
      <w:r w:rsidR="00FE0D7A" w:rsidRPr="00823EDF">
        <w:rPr>
          <w:rFonts w:ascii="Book Antiqua" w:eastAsia="Times New Roman" w:hAnsi="Book Antiqua" w:cs="Times New Roman"/>
          <w:sz w:val="24"/>
          <w:szCs w:val="24"/>
        </w:rPr>
        <w:t xml:space="preserve"> con relación al P. de la C. 1124</w:t>
      </w:r>
      <w:r w:rsidRPr="00823EDF">
        <w:rPr>
          <w:rFonts w:ascii="Book Antiqua" w:eastAsia="Times New Roman" w:hAnsi="Book Antiqua" w:cs="Times New Roman"/>
          <w:sz w:val="24"/>
          <w:szCs w:val="24"/>
        </w:rPr>
        <w:t>.</w:t>
      </w:r>
      <w:r w:rsidR="008E36F0" w:rsidRPr="00823EDF">
        <w:rPr>
          <w:rFonts w:ascii="Book Antiqua" w:eastAsia="Times New Roman" w:hAnsi="Book Antiqua" w:cs="Times New Roman"/>
          <w:sz w:val="24"/>
          <w:szCs w:val="24"/>
        </w:rPr>
        <w:t xml:space="preserve">  </w:t>
      </w:r>
      <w:r w:rsidR="007A1A85" w:rsidRPr="00823EDF">
        <w:rPr>
          <w:rFonts w:ascii="Book Antiqua" w:eastAsia="Times New Roman" w:hAnsi="Book Antiqua" w:cs="Times New Roman"/>
          <w:sz w:val="24"/>
          <w:szCs w:val="24"/>
        </w:rPr>
        <w:t xml:space="preserve">Las entidades no recomiendan la aprobación </w:t>
      </w:r>
      <w:r w:rsidR="00FE0D7A" w:rsidRPr="00823EDF">
        <w:rPr>
          <w:rFonts w:ascii="Book Antiqua" w:eastAsia="Times New Roman" w:hAnsi="Book Antiqua" w:cs="Times New Roman"/>
          <w:sz w:val="24"/>
          <w:szCs w:val="24"/>
        </w:rPr>
        <w:t>la medida</w:t>
      </w:r>
      <w:r w:rsidR="007A1A85" w:rsidRPr="00823EDF">
        <w:rPr>
          <w:rFonts w:ascii="Book Antiqua" w:eastAsia="Times New Roman" w:hAnsi="Book Antiqua" w:cs="Times New Roman"/>
          <w:sz w:val="24"/>
          <w:szCs w:val="24"/>
        </w:rPr>
        <w:t xml:space="preserve"> por entender que los mecanismos legales y administrativos vigentes resultan adecuados y suficientes para maximizar el mejor uso de los bienes inmuebles en desuso del Gobierno y adelantar los fines propuestos en la pieza legislativa.</w:t>
      </w:r>
      <w:r w:rsidR="007A1A85" w:rsidRPr="00823EDF">
        <w:rPr>
          <w:rFonts w:ascii="Book Antiqua" w:eastAsia="Times New Roman" w:hAnsi="Book Antiqua" w:cs="Times New Roman"/>
          <w:b/>
          <w:bCs/>
          <w:sz w:val="24"/>
          <w:szCs w:val="24"/>
        </w:rPr>
        <w:t xml:space="preserve"> </w:t>
      </w:r>
    </w:p>
    <w:p w14:paraId="3DE7EF46" w14:textId="77777777" w:rsidR="007A1A85" w:rsidRPr="00823EDF" w:rsidRDefault="007A1A85" w:rsidP="00E61CD3">
      <w:pPr>
        <w:spacing w:after="0" w:line="240" w:lineRule="auto"/>
        <w:contextualSpacing/>
        <w:jc w:val="both"/>
        <w:rPr>
          <w:rFonts w:ascii="Book Antiqua" w:eastAsia="Times New Roman" w:hAnsi="Book Antiqua" w:cs="Times New Roman"/>
          <w:b/>
          <w:bCs/>
          <w:sz w:val="24"/>
          <w:szCs w:val="24"/>
        </w:rPr>
      </w:pPr>
    </w:p>
    <w:p w14:paraId="11C8F119" w14:textId="6F23CC87" w:rsidR="00DB3028" w:rsidRPr="00823EDF" w:rsidRDefault="00DB3028" w:rsidP="007A1A85">
      <w:pPr>
        <w:spacing w:after="0" w:line="240" w:lineRule="auto"/>
        <w:ind w:firstLine="708"/>
        <w:contextualSpacing/>
        <w:jc w:val="both"/>
        <w:rPr>
          <w:rFonts w:ascii="Book Antiqua" w:eastAsia="Times New Roman" w:hAnsi="Book Antiqua" w:cs="Times New Roman"/>
          <w:sz w:val="24"/>
          <w:szCs w:val="24"/>
        </w:rPr>
      </w:pPr>
      <w:r w:rsidRPr="00823EDF">
        <w:rPr>
          <w:rFonts w:ascii="Book Antiqua" w:eastAsia="Times New Roman" w:hAnsi="Book Antiqua" w:cs="Times New Roman"/>
          <w:sz w:val="24"/>
          <w:szCs w:val="24"/>
        </w:rPr>
        <w:t>Explica</w:t>
      </w:r>
      <w:r w:rsidR="00550A66" w:rsidRPr="00823EDF">
        <w:rPr>
          <w:rFonts w:ascii="Book Antiqua" w:eastAsia="Times New Roman" w:hAnsi="Book Antiqua" w:cs="Times New Roman"/>
          <w:sz w:val="24"/>
          <w:szCs w:val="24"/>
        </w:rPr>
        <w:t>n</w:t>
      </w:r>
      <w:r w:rsidRPr="00823EDF">
        <w:rPr>
          <w:rFonts w:ascii="Book Antiqua" w:eastAsia="Times New Roman" w:hAnsi="Book Antiqua" w:cs="Times New Roman"/>
          <w:sz w:val="24"/>
          <w:szCs w:val="24"/>
        </w:rPr>
        <w:t xml:space="preserve"> que mediante el Capítulo V de la Ley Núm. 26-2017, según enmendada, conocida como </w:t>
      </w:r>
      <w:r w:rsidR="00FE0D7A" w:rsidRPr="00823EDF">
        <w:rPr>
          <w:rFonts w:ascii="Book Antiqua" w:eastAsia="Times New Roman" w:hAnsi="Book Antiqua" w:cs="Times New Roman"/>
          <w:sz w:val="24"/>
          <w:szCs w:val="24"/>
        </w:rPr>
        <w:t>“</w:t>
      </w:r>
      <w:r w:rsidRPr="00823EDF">
        <w:rPr>
          <w:rFonts w:ascii="Book Antiqua" w:eastAsia="Times New Roman" w:hAnsi="Book Antiqua" w:cs="Times New Roman"/>
          <w:sz w:val="24"/>
          <w:szCs w:val="24"/>
        </w:rPr>
        <w:t>Ley para el Cumplimiento con el Plan Fiscal</w:t>
      </w:r>
      <w:r w:rsidR="00FE0D7A" w:rsidRPr="00823EDF">
        <w:rPr>
          <w:rFonts w:ascii="Book Antiqua" w:eastAsia="Times New Roman" w:hAnsi="Book Antiqua" w:cs="Times New Roman"/>
          <w:sz w:val="24"/>
          <w:szCs w:val="24"/>
        </w:rPr>
        <w:t>”</w:t>
      </w:r>
      <w:r w:rsidRPr="00823EDF">
        <w:rPr>
          <w:rFonts w:ascii="Book Antiqua" w:eastAsia="Times New Roman" w:hAnsi="Book Antiqua" w:cs="Times New Roman"/>
          <w:sz w:val="24"/>
          <w:szCs w:val="24"/>
        </w:rPr>
        <w:t>, se creó el CEDBI con el fin de ejercer las facultades necesarias para poner en vigor la política pública de una mejor utilización de las propiedades inmuebles en desuso de la Rama Ejecutiva</w:t>
      </w:r>
      <w:r w:rsidR="00490DD4" w:rsidRPr="00823EDF">
        <w:rPr>
          <w:rFonts w:ascii="Book Antiqua" w:eastAsia="Times New Roman" w:hAnsi="Book Antiqua" w:cs="Times New Roman"/>
          <w:sz w:val="24"/>
          <w:szCs w:val="24"/>
        </w:rPr>
        <w:t>.  Su propósito es</w:t>
      </w:r>
      <w:r w:rsidRPr="00823EDF">
        <w:rPr>
          <w:rFonts w:ascii="Book Antiqua" w:eastAsia="Times New Roman" w:hAnsi="Book Antiqua" w:cs="Times New Roman"/>
          <w:sz w:val="24"/>
          <w:szCs w:val="24"/>
        </w:rPr>
        <w:t xml:space="preserve"> allegar mayores recursos al erario y propiciar que dichas propiedades sean utilizadas para actividades de bienestar común, desarrollo económico, entre otros ofrecimientos en beneficio de ciertos sectores de la ciudadanía con necesidades específicas que requieren atención o servicios particulares. </w:t>
      </w:r>
    </w:p>
    <w:p w14:paraId="040F9C37" w14:textId="77777777" w:rsidR="00DB3028" w:rsidRPr="00823EDF" w:rsidRDefault="00DB3028" w:rsidP="00E61CD3">
      <w:pPr>
        <w:spacing w:after="0" w:line="240" w:lineRule="auto"/>
        <w:contextualSpacing/>
        <w:jc w:val="both"/>
        <w:rPr>
          <w:rFonts w:ascii="Book Antiqua" w:eastAsia="Times New Roman" w:hAnsi="Book Antiqua" w:cs="Times New Roman"/>
          <w:sz w:val="24"/>
          <w:szCs w:val="24"/>
        </w:rPr>
      </w:pPr>
    </w:p>
    <w:p w14:paraId="3DEB6CF9" w14:textId="1EF92CE7" w:rsidR="00E61CD3" w:rsidRPr="00823EDF" w:rsidRDefault="00DB3028" w:rsidP="00DB3028">
      <w:pPr>
        <w:spacing w:after="0" w:line="240" w:lineRule="auto"/>
        <w:ind w:firstLine="708"/>
        <w:contextualSpacing/>
        <w:jc w:val="both"/>
        <w:rPr>
          <w:rFonts w:ascii="Book Antiqua" w:eastAsia="Times New Roman" w:hAnsi="Book Antiqua" w:cs="Times New Roman"/>
          <w:sz w:val="24"/>
          <w:szCs w:val="24"/>
        </w:rPr>
      </w:pPr>
      <w:r w:rsidRPr="00823EDF">
        <w:rPr>
          <w:rFonts w:ascii="Book Antiqua" w:eastAsia="Times New Roman" w:hAnsi="Book Antiqua" w:cs="Times New Roman"/>
          <w:sz w:val="24"/>
          <w:szCs w:val="24"/>
        </w:rPr>
        <w:t>Posteriormente, el CEDBI adoptó el Reglamento Único para la Evaluación y Disposición de Bienes inmuebles de la Rama Ejecutiva del Gobierno de Puerto Rico, Reglamento Núm</w:t>
      </w:r>
      <w:r w:rsidR="002E2B75" w:rsidRPr="00823EDF">
        <w:rPr>
          <w:rFonts w:ascii="Book Antiqua" w:eastAsia="Times New Roman" w:hAnsi="Book Antiqua" w:cs="Times New Roman"/>
          <w:sz w:val="24"/>
          <w:szCs w:val="24"/>
        </w:rPr>
        <w:t>.</w:t>
      </w:r>
      <w:r w:rsidRPr="00823EDF">
        <w:rPr>
          <w:rFonts w:ascii="Book Antiqua" w:eastAsia="Times New Roman" w:hAnsi="Book Antiqua" w:cs="Times New Roman"/>
          <w:sz w:val="24"/>
          <w:szCs w:val="24"/>
        </w:rPr>
        <w:t xml:space="preserve"> 9133 de 9 de diciembre de 2019 (Reglamento Único), para establecer los parámetros uniformes aplicables a toda disposición de inmuebles en desuso pertenecientes a la Rama Ejecutiva.</w:t>
      </w:r>
    </w:p>
    <w:p w14:paraId="2683949A" w14:textId="77777777" w:rsidR="00D557AE" w:rsidRPr="00823EDF" w:rsidRDefault="00D557AE" w:rsidP="00DB3028">
      <w:pPr>
        <w:spacing w:after="0" w:line="240" w:lineRule="auto"/>
        <w:ind w:firstLine="708"/>
        <w:contextualSpacing/>
        <w:jc w:val="both"/>
        <w:rPr>
          <w:rFonts w:ascii="Book Antiqua" w:eastAsia="Times New Roman" w:hAnsi="Book Antiqua" w:cs="Times New Roman"/>
          <w:sz w:val="24"/>
          <w:szCs w:val="24"/>
        </w:rPr>
      </w:pPr>
    </w:p>
    <w:p w14:paraId="19B457CD" w14:textId="4D17D41E" w:rsidR="00D557AE" w:rsidRPr="00823EDF" w:rsidRDefault="00D557AE" w:rsidP="00DB3028">
      <w:pPr>
        <w:spacing w:after="0" w:line="240" w:lineRule="auto"/>
        <w:ind w:firstLine="708"/>
        <w:contextualSpacing/>
        <w:jc w:val="both"/>
        <w:rPr>
          <w:rFonts w:ascii="Book Antiqua" w:eastAsia="Times New Roman" w:hAnsi="Book Antiqua" w:cs="Times New Roman"/>
          <w:sz w:val="24"/>
          <w:szCs w:val="24"/>
        </w:rPr>
      </w:pPr>
      <w:r w:rsidRPr="00823EDF">
        <w:rPr>
          <w:rFonts w:ascii="Book Antiqua" w:eastAsia="Times New Roman" w:hAnsi="Book Antiqua" w:cs="Times New Roman"/>
          <w:sz w:val="24"/>
          <w:szCs w:val="24"/>
        </w:rPr>
        <w:t>Las entidades explican que la política pública de la Ley 26-2017 establece como prioridad del CEDBI y del Gobierno la mejor utilización de las propiedades en desuso</w:t>
      </w:r>
      <w:r w:rsidR="007C453F" w:rsidRPr="00823EDF">
        <w:rPr>
          <w:rFonts w:ascii="Book Antiqua" w:eastAsia="Times New Roman" w:hAnsi="Book Antiqua" w:cs="Times New Roman"/>
          <w:sz w:val="24"/>
          <w:szCs w:val="24"/>
        </w:rPr>
        <w:t xml:space="preserve"> al expresar que se propicia que las propiedades en desuso “</w:t>
      </w:r>
      <w:r w:rsidR="007C453F" w:rsidRPr="00823EDF">
        <w:rPr>
          <w:rFonts w:ascii="Book Antiqua" w:eastAsia="Times New Roman" w:hAnsi="Book Antiqua" w:cs="Times New Roman"/>
          <w:i/>
          <w:iCs/>
          <w:sz w:val="24"/>
          <w:szCs w:val="24"/>
        </w:rPr>
        <w:t>puedan dedicarse a actividades para el bienestar común, ya sean para usos sin fines de lucro, comerciales o residenciales que promuevan la activación del mercado de bienes inmuebles y la económica en general</w:t>
      </w:r>
      <w:r w:rsidR="007C453F" w:rsidRPr="00823EDF">
        <w:rPr>
          <w:rFonts w:ascii="Book Antiqua" w:eastAsia="Times New Roman" w:hAnsi="Book Antiqua" w:cs="Times New Roman"/>
          <w:sz w:val="24"/>
          <w:szCs w:val="24"/>
        </w:rPr>
        <w:t xml:space="preserve">”.  </w:t>
      </w:r>
      <w:r w:rsidR="00FE0D7A" w:rsidRPr="00823EDF">
        <w:rPr>
          <w:rFonts w:ascii="Book Antiqua" w:eastAsia="Times New Roman" w:hAnsi="Book Antiqua" w:cs="Times New Roman"/>
          <w:sz w:val="24"/>
          <w:szCs w:val="24"/>
        </w:rPr>
        <w:t>De acuerdo con</w:t>
      </w:r>
      <w:r w:rsidR="007C453F" w:rsidRPr="00823EDF">
        <w:rPr>
          <w:rFonts w:ascii="Book Antiqua" w:eastAsia="Times New Roman" w:hAnsi="Book Antiqua" w:cs="Times New Roman"/>
          <w:sz w:val="24"/>
          <w:szCs w:val="24"/>
        </w:rPr>
        <w:t xml:space="preserve"> estos principios y en lo que respeta a la disposición de planteles escolares en desuso, el Artículo 16 del Reglamento Único contiene una lista no taxativa de los usos permitidos, al considerar evaluar las propuestas para la ocupación de estos.  Expresamente dicho Artículo dispone lo siguiente: </w:t>
      </w:r>
    </w:p>
    <w:p w14:paraId="2E178717" w14:textId="57A63686" w:rsidR="007C453F" w:rsidRPr="00823EDF" w:rsidRDefault="007C453F" w:rsidP="00DB3028">
      <w:pPr>
        <w:spacing w:after="0" w:line="240" w:lineRule="auto"/>
        <w:ind w:firstLine="708"/>
        <w:contextualSpacing/>
        <w:jc w:val="both"/>
        <w:rPr>
          <w:rFonts w:ascii="Book Antiqua" w:eastAsia="Times New Roman" w:hAnsi="Book Antiqua" w:cs="Times New Roman"/>
          <w:sz w:val="24"/>
          <w:szCs w:val="24"/>
        </w:rPr>
      </w:pPr>
      <w:r w:rsidRPr="00823EDF">
        <w:rPr>
          <w:rFonts w:ascii="Book Antiqua" w:eastAsia="Times New Roman" w:hAnsi="Book Antiqua" w:cs="Times New Roman"/>
          <w:sz w:val="24"/>
          <w:szCs w:val="24"/>
        </w:rPr>
        <w:tab/>
      </w:r>
    </w:p>
    <w:p w14:paraId="3BB5FCCC" w14:textId="250A85B1" w:rsidR="000F35F9" w:rsidRPr="00823EDF" w:rsidRDefault="007C453F" w:rsidP="00F94354">
      <w:pPr>
        <w:pStyle w:val="ListParagraph"/>
        <w:numPr>
          <w:ilvl w:val="0"/>
          <w:numId w:val="9"/>
        </w:numPr>
        <w:spacing w:after="0" w:line="240" w:lineRule="auto"/>
        <w:jc w:val="both"/>
        <w:rPr>
          <w:rFonts w:ascii="Book Antiqua" w:hAnsi="Book Antiqua"/>
          <w:sz w:val="24"/>
          <w:szCs w:val="24"/>
        </w:rPr>
      </w:pPr>
      <w:r w:rsidRPr="00823EDF">
        <w:rPr>
          <w:rFonts w:ascii="Book Antiqua" w:hAnsi="Book Antiqua"/>
          <w:sz w:val="24"/>
          <w:szCs w:val="24"/>
        </w:rPr>
        <w:t xml:space="preserve">Toda propuesta de arrendamiento de un Plantel Escolar en Desuso debe propender a actividades para el bien común, sea para usos sin fines de lucro, comerciales y/o que promuevan la activación del mercado de bienes raíces y/o la economía en general, incluyendo, sin que se entienda una lista taxativa a: actividades de desarrollo comunitario, centros de atención de deambulantes, albergues para personas sin hogar; albergues para animales abandonados; centros de seguridad y rescate; centros de entrenamiento y supervivencia; centros de entrenamiento físico o deportivos; centros de bellas artes; centros de entrenamiento emocional y atención al ser interior; centro de tratamiento para drogodependientes; centro de talleres de terapias educativas o tutorías para niños, jóvenes y adultos; centros para víctimas de maltrato o violencia </w:t>
      </w:r>
      <w:r w:rsidRPr="00823EDF">
        <w:rPr>
          <w:rFonts w:ascii="Book Antiqua" w:hAnsi="Book Antiqua"/>
          <w:sz w:val="24"/>
          <w:szCs w:val="24"/>
        </w:rPr>
        <w:lastRenderedPageBreak/>
        <w:t>doméstica; incubadora de microempresas comunitarias o cooperativas; entre otros.</w:t>
      </w:r>
    </w:p>
    <w:p w14:paraId="1A575FFF" w14:textId="77777777" w:rsidR="00F94354" w:rsidRPr="00823EDF" w:rsidRDefault="00F94354" w:rsidP="00F94354">
      <w:pPr>
        <w:spacing w:after="0" w:line="240" w:lineRule="auto"/>
        <w:jc w:val="both"/>
        <w:rPr>
          <w:rFonts w:ascii="Book Antiqua" w:eastAsia="Times New Roman" w:hAnsi="Book Antiqua" w:cs="Times New Roman"/>
          <w:sz w:val="24"/>
          <w:szCs w:val="24"/>
        </w:rPr>
      </w:pPr>
    </w:p>
    <w:p w14:paraId="53388F8D" w14:textId="215A8A24" w:rsidR="00B96EA9" w:rsidRPr="00823EDF" w:rsidRDefault="004A20B4" w:rsidP="00F94354">
      <w:pPr>
        <w:spacing w:after="0" w:line="240" w:lineRule="auto"/>
        <w:ind w:firstLine="708"/>
        <w:jc w:val="both"/>
        <w:rPr>
          <w:rFonts w:ascii="Book Antiqua" w:eastAsia="Times New Roman" w:hAnsi="Book Antiqua" w:cs="Times New Roman"/>
          <w:sz w:val="24"/>
          <w:szCs w:val="24"/>
        </w:rPr>
      </w:pPr>
      <w:r w:rsidRPr="00823EDF">
        <w:rPr>
          <w:rFonts w:ascii="Book Antiqua" w:eastAsia="Times New Roman" w:hAnsi="Book Antiqua" w:cs="Times New Roman"/>
          <w:sz w:val="24"/>
          <w:szCs w:val="24"/>
        </w:rPr>
        <w:t>La AAFAF y el CEDBI considera</w:t>
      </w:r>
      <w:r w:rsidR="00F94354" w:rsidRPr="00823EDF">
        <w:rPr>
          <w:rFonts w:ascii="Book Antiqua" w:eastAsia="Times New Roman" w:hAnsi="Book Antiqua" w:cs="Times New Roman"/>
          <w:sz w:val="24"/>
          <w:szCs w:val="24"/>
        </w:rPr>
        <w:t xml:space="preserve"> que la Ley 26-2017 y el Reglamento Único provee un marco amplio para que el CEDBI pueda evaluar, priorizar y autorizar propuestas de uso, tal como se propone incorporar de forma específica mediante la pieza legislativa.  La amplitud en la política </w:t>
      </w:r>
      <w:r w:rsidR="00D35CE9" w:rsidRPr="00823EDF">
        <w:rPr>
          <w:rFonts w:ascii="Book Antiqua" w:eastAsia="Times New Roman" w:hAnsi="Book Antiqua" w:cs="Times New Roman"/>
          <w:sz w:val="24"/>
          <w:szCs w:val="24"/>
        </w:rPr>
        <w:t>pública</w:t>
      </w:r>
      <w:r w:rsidR="00F94354" w:rsidRPr="00823EDF">
        <w:rPr>
          <w:rFonts w:ascii="Book Antiqua" w:eastAsia="Times New Roman" w:hAnsi="Book Antiqua" w:cs="Times New Roman"/>
          <w:sz w:val="24"/>
          <w:szCs w:val="24"/>
        </w:rPr>
        <w:t xml:space="preserve"> de la Ley 26-2017 permite la consideración de un sinnúmero de propuestas para la reutilización de los planteles en desuso, a través del propio gobierno, municipios o por medio de entidades con o sin fines de lucro, siendo estas últimas la mayoría de los casos aprobados por el CEDBI. </w:t>
      </w:r>
      <w:r w:rsidR="00B96EA9" w:rsidRPr="00823EDF">
        <w:rPr>
          <w:rFonts w:ascii="Book Antiqua" w:eastAsia="Times New Roman" w:hAnsi="Book Antiqua" w:cs="Times New Roman"/>
          <w:sz w:val="24"/>
          <w:szCs w:val="24"/>
        </w:rPr>
        <w:t xml:space="preserve"> </w:t>
      </w:r>
    </w:p>
    <w:p w14:paraId="4AB4A83F" w14:textId="77777777" w:rsidR="00B96EA9" w:rsidRPr="00823EDF" w:rsidRDefault="00B96EA9" w:rsidP="00F94354">
      <w:pPr>
        <w:spacing w:after="0" w:line="240" w:lineRule="auto"/>
        <w:ind w:firstLine="708"/>
        <w:jc w:val="both"/>
        <w:rPr>
          <w:rFonts w:ascii="Book Antiqua" w:eastAsia="Times New Roman" w:hAnsi="Book Antiqua" w:cs="Times New Roman"/>
          <w:sz w:val="24"/>
          <w:szCs w:val="24"/>
        </w:rPr>
      </w:pPr>
    </w:p>
    <w:p w14:paraId="25260421" w14:textId="568D2DF1" w:rsidR="00F94354" w:rsidRPr="00823EDF" w:rsidRDefault="00B96EA9" w:rsidP="00F94354">
      <w:pPr>
        <w:spacing w:after="0" w:line="240" w:lineRule="auto"/>
        <w:ind w:firstLine="708"/>
        <w:jc w:val="both"/>
        <w:rPr>
          <w:rFonts w:ascii="Book Antiqua" w:eastAsia="Times New Roman" w:hAnsi="Book Antiqua" w:cs="Times New Roman"/>
          <w:sz w:val="24"/>
          <w:szCs w:val="24"/>
        </w:rPr>
      </w:pPr>
      <w:r w:rsidRPr="00823EDF">
        <w:rPr>
          <w:rFonts w:ascii="Book Antiqua" w:eastAsia="Times New Roman" w:hAnsi="Book Antiqua" w:cs="Times New Roman"/>
          <w:sz w:val="24"/>
          <w:szCs w:val="24"/>
        </w:rPr>
        <w:t>La flexibilidad en la legislación vigente posibilita y potencia el poder evaluar una diversidad de propuestas de desarrollo, incluyendo vivienda</w:t>
      </w:r>
      <w:r w:rsidR="00190897" w:rsidRPr="00823EDF">
        <w:rPr>
          <w:rFonts w:ascii="Book Antiqua" w:eastAsia="Times New Roman" w:hAnsi="Book Antiqua" w:cs="Times New Roman"/>
          <w:sz w:val="24"/>
          <w:szCs w:val="24"/>
        </w:rPr>
        <w:t xml:space="preserve"> social y</w:t>
      </w:r>
      <w:r w:rsidRPr="00823EDF">
        <w:rPr>
          <w:rFonts w:ascii="Book Antiqua" w:eastAsia="Times New Roman" w:hAnsi="Book Antiqua" w:cs="Times New Roman"/>
          <w:sz w:val="24"/>
          <w:szCs w:val="24"/>
        </w:rPr>
        <w:t xml:space="preserve"> asequible, con el fin, no solo de reutilizar las propiedades inmuebles, sino de canalizar y atender problemáticas distintas del componente social, según el peritaje de la entidad de que se trate y la población a impactar.  Ni la Ley ni el Reglamento establecen </w:t>
      </w:r>
      <w:r w:rsidR="00B006FE" w:rsidRPr="00823EDF">
        <w:rPr>
          <w:rFonts w:ascii="Book Antiqua" w:eastAsia="Times New Roman" w:hAnsi="Book Antiqua" w:cs="Times New Roman"/>
          <w:sz w:val="24"/>
          <w:szCs w:val="24"/>
        </w:rPr>
        <w:t>límites</w:t>
      </w:r>
      <w:r w:rsidRPr="00823EDF">
        <w:rPr>
          <w:rFonts w:ascii="Book Antiqua" w:eastAsia="Times New Roman" w:hAnsi="Book Antiqua" w:cs="Times New Roman"/>
          <w:sz w:val="24"/>
          <w:szCs w:val="24"/>
        </w:rPr>
        <w:t xml:space="preserve"> a lo que se puede hacer o desarrollar.  Lo fundamental es el cumplimiento por parte de las entidades </w:t>
      </w:r>
      <w:r w:rsidR="00B006FE" w:rsidRPr="00823EDF">
        <w:rPr>
          <w:rFonts w:ascii="Book Antiqua" w:eastAsia="Times New Roman" w:hAnsi="Book Antiqua" w:cs="Times New Roman"/>
          <w:sz w:val="24"/>
          <w:szCs w:val="24"/>
        </w:rPr>
        <w:t>públicas</w:t>
      </w:r>
      <w:r w:rsidRPr="00823EDF">
        <w:rPr>
          <w:rFonts w:ascii="Book Antiqua" w:eastAsia="Times New Roman" w:hAnsi="Book Antiqua" w:cs="Times New Roman"/>
          <w:sz w:val="24"/>
          <w:szCs w:val="24"/>
        </w:rPr>
        <w:t xml:space="preserve"> o privadas interesadas con los procesos establecidos por el CEDBI para demostrar la viabilidad de desarrollo del proyecto. Por tanto, no existe impedimento en ley o reglamentación para que las propiedades en desuso, incluyendo las escuelas, se dediquen al desarrollo de vivienda asequible. </w:t>
      </w:r>
    </w:p>
    <w:p w14:paraId="45EE4243" w14:textId="77777777" w:rsidR="00B96EA9" w:rsidRPr="00823EDF" w:rsidRDefault="00B96EA9" w:rsidP="00F94354">
      <w:pPr>
        <w:spacing w:after="0" w:line="240" w:lineRule="auto"/>
        <w:ind w:firstLine="708"/>
        <w:jc w:val="both"/>
        <w:rPr>
          <w:rFonts w:ascii="Book Antiqua" w:eastAsia="Times New Roman" w:hAnsi="Book Antiqua" w:cs="Times New Roman"/>
          <w:sz w:val="24"/>
          <w:szCs w:val="24"/>
        </w:rPr>
      </w:pPr>
    </w:p>
    <w:p w14:paraId="667E0B92" w14:textId="65BC6B46" w:rsidR="00B96EA9" w:rsidRPr="00823EDF" w:rsidRDefault="00B96EA9" w:rsidP="00F94354">
      <w:pPr>
        <w:spacing w:after="0" w:line="240" w:lineRule="auto"/>
        <w:ind w:firstLine="708"/>
        <w:jc w:val="both"/>
        <w:rPr>
          <w:rFonts w:ascii="Book Antiqua" w:eastAsia="Times New Roman" w:hAnsi="Book Antiqua" w:cs="Times New Roman"/>
          <w:sz w:val="24"/>
          <w:szCs w:val="24"/>
        </w:rPr>
      </w:pPr>
      <w:r w:rsidRPr="00823EDF">
        <w:rPr>
          <w:rFonts w:ascii="Book Antiqua" w:eastAsia="Times New Roman" w:hAnsi="Book Antiqua" w:cs="Times New Roman"/>
          <w:sz w:val="24"/>
          <w:szCs w:val="24"/>
        </w:rPr>
        <w:t xml:space="preserve">La AFFAF y el CEDBI explican que bajo la Ley PROMESA y el Articulo 5.07 de la Ley 26-2017 no se autoriza la transferencia de titularidad libre de costo, y toda disposición de las propiedades en desuso se hace a base de su valor en el mercado, evidenciado por una tasación de no </w:t>
      </w:r>
      <w:r w:rsidR="00B006FE" w:rsidRPr="00823EDF">
        <w:rPr>
          <w:rFonts w:ascii="Book Antiqua" w:eastAsia="Times New Roman" w:hAnsi="Book Antiqua" w:cs="Times New Roman"/>
          <w:sz w:val="24"/>
          <w:szCs w:val="24"/>
        </w:rPr>
        <w:t>más</w:t>
      </w:r>
      <w:r w:rsidRPr="00823EDF">
        <w:rPr>
          <w:rFonts w:ascii="Book Antiqua" w:eastAsia="Times New Roman" w:hAnsi="Book Antiqua" w:cs="Times New Roman"/>
          <w:sz w:val="24"/>
          <w:szCs w:val="24"/>
        </w:rPr>
        <w:t xml:space="preserve"> de dos años. Por el contrario, la transferencia libre de costo o a un valor nominal conlleva un impacto fiscal que debe ser determinado antes de realizar o permitir este tipo de transacción, además del efecto que genera en otras entidades con proyectos de interés. </w:t>
      </w:r>
    </w:p>
    <w:p w14:paraId="69E88BB6" w14:textId="77777777" w:rsidR="00B96EA9" w:rsidRPr="00823EDF" w:rsidRDefault="00B96EA9" w:rsidP="00F94354">
      <w:pPr>
        <w:spacing w:after="0" w:line="240" w:lineRule="auto"/>
        <w:ind w:firstLine="708"/>
        <w:jc w:val="both"/>
        <w:rPr>
          <w:rFonts w:ascii="Book Antiqua" w:eastAsia="Times New Roman" w:hAnsi="Book Antiqua" w:cs="Times New Roman"/>
          <w:sz w:val="24"/>
          <w:szCs w:val="24"/>
        </w:rPr>
      </w:pPr>
    </w:p>
    <w:p w14:paraId="798A238D" w14:textId="7B477574" w:rsidR="00B96EA9" w:rsidRPr="00823EDF" w:rsidRDefault="00190897" w:rsidP="00F94354">
      <w:pPr>
        <w:spacing w:after="0" w:line="240" w:lineRule="auto"/>
        <w:ind w:firstLine="708"/>
        <w:jc w:val="both"/>
        <w:rPr>
          <w:rFonts w:ascii="Book Antiqua" w:eastAsia="Times New Roman" w:hAnsi="Book Antiqua" w:cs="Times New Roman"/>
          <w:sz w:val="24"/>
          <w:szCs w:val="24"/>
        </w:rPr>
      </w:pPr>
      <w:r w:rsidRPr="00823EDF">
        <w:rPr>
          <w:rFonts w:ascii="Book Antiqua" w:eastAsia="Times New Roman" w:hAnsi="Book Antiqua" w:cs="Times New Roman"/>
          <w:sz w:val="24"/>
          <w:szCs w:val="24"/>
        </w:rPr>
        <w:t>Finalmente, el</w:t>
      </w:r>
      <w:r w:rsidR="00B96EA9" w:rsidRPr="00823EDF">
        <w:rPr>
          <w:rFonts w:ascii="Book Antiqua" w:eastAsia="Times New Roman" w:hAnsi="Book Antiqua" w:cs="Times New Roman"/>
          <w:sz w:val="24"/>
          <w:szCs w:val="24"/>
        </w:rPr>
        <w:t xml:space="preserve"> CEDBI entiende la apremiante necesidad de vivienda en Puerto Rico y reconoce </w:t>
      </w:r>
      <w:r w:rsidRPr="00823EDF">
        <w:rPr>
          <w:rFonts w:ascii="Book Antiqua" w:eastAsia="Times New Roman" w:hAnsi="Book Antiqua" w:cs="Times New Roman"/>
          <w:sz w:val="24"/>
          <w:szCs w:val="24"/>
        </w:rPr>
        <w:t xml:space="preserve">y recalca </w:t>
      </w:r>
      <w:r w:rsidR="00B96EA9" w:rsidRPr="00823EDF">
        <w:rPr>
          <w:rFonts w:ascii="Book Antiqua" w:eastAsia="Times New Roman" w:hAnsi="Book Antiqua" w:cs="Times New Roman"/>
          <w:sz w:val="24"/>
          <w:szCs w:val="24"/>
        </w:rPr>
        <w:t xml:space="preserve">que el desarrollo de vivienda asequible </w:t>
      </w:r>
      <w:r w:rsidRPr="00823EDF">
        <w:rPr>
          <w:rFonts w:ascii="Book Antiqua" w:eastAsia="Times New Roman" w:hAnsi="Book Antiqua" w:cs="Times New Roman"/>
          <w:sz w:val="24"/>
          <w:szCs w:val="24"/>
        </w:rPr>
        <w:t>es</w:t>
      </w:r>
      <w:r w:rsidR="00B96EA9" w:rsidRPr="00823EDF">
        <w:rPr>
          <w:rFonts w:ascii="Book Antiqua" w:eastAsia="Times New Roman" w:hAnsi="Book Antiqua" w:cs="Times New Roman"/>
          <w:sz w:val="24"/>
          <w:szCs w:val="24"/>
        </w:rPr>
        <w:t xml:space="preserve"> uno de los usos autorizados para las propiedades en desuso. </w:t>
      </w:r>
      <w:r w:rsidR="00812CB8" w:rsidRPr="00823EDF">
        <w:rPr>
          <w:rFonts w:ascii="Book Antiqua" w:eastAsia="Times New Roman" w:hAnsi="Book Antiqua" w:cs="Times New Roman"/>
          <w:sz w:val="24"/>
          <w:szCs w:val="24"/>
        </w:rPr>
        <w:t xml:space="preserve"> El objetivo de priorizar este tipo de </w:t>
      </w:r>
      <w:r w:rsidR="007A1A85" w:rsidRPr="00823EDF">
        <w:rPr>
          <w:rFonts w:ascii="Book Antiqua" w:eastAsia="Times New Roman" w:hAnsi="Book Antiqua" w:cs="Times New Roman"/>
          <w:sz w:val="24"/>
          <w:szCs w:val="24"/>
        </w:rPr>
        <w:t>desarrollo</w:t>
      </w:r>
      <w:r w:rsidR="00812CB8" w:rsidRPr="00823EDF">
        <w:rPr>
          <w:rFonts w:ascii="Book Antiqua" w:eastAsia="Times New Roman" w:hAnsi="Book Antiqua" w:cs="Times New Roman"/>
          <w:sz w:val="24"/>
          <w:szCs w:val="24"/>
        </w:rPr>
        <w:t xml:space="preserve"> a través de los municipios o de</w:t>
      </w:r>
      <w:r w:rsidR="007A1A85" w:rsidRPr="00823EDF">
        <w:rPr>
          <w:rFonts w:ascii="Book Antiqua" w:eastAsia="Times New Roman" w:hAnsi="Book Antiqua" w:cs="Times New Roman"/>
          <w:sz w:val="24"/>
          <w:szCs w:val="24"/>
        </w:rPr>
        <w:t xml:space="preserve"> </w:t>
      </w:r>
      <w:r w:rsidR="00812CB8" w:rsidRPr="00823EDF">
        <w:rPr>
          <w:rFonts w:ascii="Book Antiqua" w:eastAsia="Times New Roman" w:hAnsi="Book Antiqua" w:cs="Times New Roman"/>
          <w:sz w:val="24"/>
          <w:szCs w:val="24"/>
        </w:rPr>
        <w:t xml:space="preserve">entidades privadas sin fines de lucro puede alcanzarse dentro del </w:t>
      </w:r>
      <w:r w:rsidR="007A1A85" w:rsidRPr="00823EDF">
        <w:rPr>
          <w:rFonts w:ascii="Book Antiqua" w:eastAsia="Times New Roman" w:hAnsi="Book Antiqua" w:cs="Times New Roman"/>
          <w:sz w:val="24"/>
          <w:szCs w:val="24"/>
        </w:rPr>
        <w:t>marco</w:t>
      </w:r>
      <w:r w:rsidR="00812CB8" w:rsidRPr="00823EDF">
        <w:rPr>
          <w:rFonts w:ascii="Book Antiqua" w:eastAsia="Times New Roman" w:hAnsi="Book Antiqua" w:cs="Times New Roman"/>
          <w:sz w:val="24"/>
          <w:szCs w:val="24"/>
        </w:rPr>
        <w:t xml:space="preserve"> jurídico </w:t>
      </w:r>
      <w:r w:rsidR="007A1A85" w:rsidRPr="00823EDF">
        <w:rPr>
          <w:rFonts w:ascii="Book Antiqua" w:eastAsia="Times New Roman" w:hAnsi="Book Antiqua" w:cs="Times New Roman"/>
          <w:sz w:val="24"/>
          <w:szCs w:val="24"/>
        </w:rPr>
        <w:t xml:space="preserve">vigente bajo la Ley 26-2017. </w:t>
      </w:r>
    </w:p>
    <w:p w14:paraId="3532E4D1" w14:textId="77777777" w:rsidR="00EF5171" w:rsidRPr="00823EDF" w:rsidRDefault="00EF5171" w:rsidP="00F94354">
      <w:pPr>
        <w:spacing w:after="0" w:line="240" w:lineRule="auto"/>
        <w:ind w:firstLine="708"/>
        <w:jc w:val="both"/>
        <w:rPr>
          <w:rFonts w:ascii="Book Antiqua" w:eastAsia="Times New Roman" w:hAnsi="Book Antiqua" w:cs="Times New Roman"/>
          <w:sz w:val="24"/>
          <w:szCs w:val="24"/>
        </w:rPr>
      </w:pPr>
    </w:p>
    <w:p w14:paraId="7C7EECC2" w14:textId="433139F2" w:rsidR="00EF5171" w:rsidRPr="00823EDF" w:rsidRDefault="00EF5171" w:rsidP="00F94354">
      <w:pPr>
        <w:spacing w:after="0" w:line="240" w:lineRule="auto"/>
        <w:ind w:firstLine="708"/>
        <w:jc w:val="both"/>
        <w:rPr>
          <w:rFonts w:ascii="Book Antiqua" w:eastAsia="Times New Roman" w:hAnsi="Book Antiqua" w:cs="Times New Roman"/>
          <w:sz w:val="24"/>
          <w:szCs w:val="24"/>
        </w:rPr>
      </w:pPr>
      <w:r w:rsidRPr="00823EDF">
        <w:rPr>
          <w:rFonts w:ascii="Book Antiqua" w:eastAsia="Times New Roman" w:hAnsi="Book Antiqua" w:cs="Times New Roman"/>
          <w:sz w:val="24"/>
          <w:szCs w:val="24"/>
        </w:rPr>
        <w:t xml:space="preserve">Por su parte, la </w:t>
      </w:r>
      <w:r w:rsidRPr="00823EDF">
        <w:rPr>
          <w:rFonts w:ascii="Book Antiqua" w:eastAsia="Times New Roman" w:hAnsi="Book Antiqua" w:cs="Times New Roman"/>
          <w:b/>
          <w:bCs/>
          <w:sz w:val="24"/>
          <w:szCs w:val="24"/>
        </w:rPr>
        <w:t xml:space="preserve">Asociación de </w:t>
      </w:r>
      <w:proofErr w:type="gramStart"/>
      <w:r w:rsidRPr="00823EDF">
        <w:rPr>
          <w:rFonts w:ascii="Book Antiqua" w:eastAsia="Times New Roman" w:hAnsi="Book Antiqua" w:cs="Times New Roman"/>
          <w:b/>
          <w:bCs/>
          <w:sz w:val="24"/>
          <w:szCs w:val="24"/>
        </w:rPr>
        <w:t>Alcaldes</w:t>
      </w:r>
      <w:proofErr w:type="gramEnd"/>
      <w:r w:rsidRPr="00823EDF">
        <w:rPr>
          <w:rFonts w:ascii="Book Antiqua" w:eastAsia="Times New Roman" w:hAnsi="Book Antiqua" w:cs="Times New Roman"/>
          <w:b/>
          <w:bCs/>
          <w:sz w:val="24"/>
          <w:szCs w:val="24"/>
        </w:rPr>
        <w:t xml:space="preserve"> de Puerto Rico </w:t>
      </w:r>
      <w:r w:rsidRPr="00823EDF">
        <w:rPr>
          <w:rFonts w:ascii="Book Antiqua" w:eastAsia="Times New Roman" w:hAnsi="Book Antiqua" w:cs="Times New Roman"/>
          <w:sz w:val="24"/>
          <w:szCs w:val="24"/>
        </w:rPr>
        <w:t xml:space="preserve">expresa que </w:t>
      </w:r>
      <w:r w:rsidR="001063D6" w:rsidRPr="00823EDF">
        <w:rPr>
          <w:rFonts w:ascii="Book Antiqua" w:eastAsia="Times New Roman" w:hAnsi="Book Antiqua" w:cs="Times New Roman"/>
          <w:sz w:val="24"/>
          <w:szCs w:val="24"/>
        </w:rPr>
        <w:t xml:space="preserve">no tiene objeción a lo propuesto en el P. de la C. 1124, ya que va encaminado a transferir a los municipios, por venta nominal, viviendas destinadas a vivienda social y asequible.  Indican que </w:t>
      </w:r>
      <w:r w:rsidRPr="00823EDF">
        <w:rPr>
          <w:rFonts w:ascii="Book Antiqua" w:eastAsia="Times New Roman" w:hAnsi="Book Antiqua" w:cs="Times New Roman"/>
          <w:sz w:val="24"/>
          <w:szCs w:val="24"/>
        </w:rPr>
        <w:t xml:space="preserve">el marco legal vigente limita la capacidad del CEDBI de disponer de propiedades </w:t>
      </w:r>
      <w:r w:rsidR="00B006FE" w:rsidRPr="00823EDF">
        <w:rPr>
          <w:rFonts w:ascii="Book Antiqua" w:eastAsia="Times New Roman" w:hAnsi="Book Antiqua" w:cs="Times New Roman"/>
          <w:sz w:val="24"/>
          <w:szCs w:val="24"/>
        </w:rPr>
        <w:t>públicas</w:t>
      </w:r>
      <w:r w:rsidRPr="00823EDF">
        <w:rPr>
          <w:rFonts w:ascii="Book Antiqua" w:eastAsia="Times New Roman" w:hAnsi="Book Antiqua" w:cs="Times New Roman"/>
          <w:sz w:val="24"/>
          <w:szCs w:val="24"/>
        </w:rPr>
        <w:t xml:space="preserve"> con un enfoque prioritario de desarrollo de vivienda asequible y social, particularmente cuando se trata de transferencias a municipios, organizaciones sin </w:t>
      </w:r>
      <w:r w:rsidRPr="00823EDF">
        <w:rPr>
          <w:rFonts w:ascii="Book Antiqua" w:eastAsia="Times New Roman" w:hAnsi="Book Antiqua" w:cs="Times New Roman"/>
          <w:sz w:val="24"/>
          <w:szCs w:val="24"/>
        </w:rPr>
        <w:lastRenderedPageBreak/>
        <w:t xml:space="preserve">fines de lucro o desarrolladores comunitarios.  Esto porque el enfoque de la política </w:t>
      </w:r>
      <w:r w:rsidR="00B006FE" w:rsidRPr="00823EDF">
        <w:rPr>
          <w:rFonts w:ascii="Book Antiqua" w:eastAsia="Times New Roman" w:hAnsi="Book Antiqua" w:cs="Times New Roman"/>
          <w:sz w:val="24"/>
          <w:szCs w:val="24"/>
        </w:rPr>
        <w:t>pública</w:t>
      </w:r>
      <w:r w:rsidRPr="00823EDF">
        <w:rPr>
          <w:rFonts w:ascii="Book Antiqua" w:eastAsia="Times New Roman" w:hAnsi="Book Antiqua" w:cs="Times New Roman"/>
          <w:sz w:val="24"/>
          <w:szCs w:val="24"/>
        </w:rPr>
        <w:t xml:space="preserve"> adoptada en el estatuto es hacerle llegar mayores recursos al erario. </w:t>
      </w:r>
    </w:p>
    <w:p w14:paraId="12563AE7" w14:textId="211123A8" w:rsidR="0067067D" w:rsidRPr="00823EDF" w:rsidRDefault="006471A0" w:rsidP="00FD56FE">
      <w:pPr>
        <w:spacing w:after="0" w:line="240" w:lineRule="auto"/>
        <w:ind w:firstLine="708"/>
        <w:contextualSpacing/>
        <w:jc w:val="both"/>
        <w:rPr>
          <w:rFonts w:ascii="Book Antiqua" w:eastAsia="Times New Roman" w:hAnsi="Book Antiqua" w:cs="Times New Roman"/>
          <w:sz w:val="24"/>
          <w:szCs w:val="24"/>
        </w:rPr>
      </w:pPr>
      <w:r w:rsidRPr="00823EDF">
        <w:rPr>
          <w:rFonts w:ascii="Book Antiqua" w:eastAsia="Times New Roman" w:hAnsi="Book Antiqua" w:cs="Times New Roman"/>
          <w:sz w:val="24"/>
          <w:szCs w:val="24"/>
        </w:rPr>
        <w:t xml:space="preserve">  </w:t>
      </w:r>
    </w:p>
    <w:p w14:paraId="5ADA30F1" w14:textId="77777777" w:rsidR="002C42AD" w:rsidRPr="00823EDF" w:rsidRDefault="002573CC" w:rsidP="00FD56FE">
      <w:pPr>
        <w:spacing w:after="0" w:line="240" w:lineRule="auto"/>
        <w:contextualSpacing/>
        <w:jc w:val="center"/>
        <w:rPr>
          <w:rFonts w:ascii="Book Antiqua" w:eastAsia="Times New Roman" w:hAnsi="Book Antiqua" w:cs="Times New Roman"/>
          <w:b/>
          <w:sz w:val="24"/>
          <w:szCs w:val="24"/>
        </w:rPr>
      </w:pPr>
      <w:r w:rsidRPr="00823EDF">
        <w:rPr>
          <w:rFonts w:ascii="Book Antiqua" w:eastAsia="Times New Roman" w:hAnsi="Book Antiqua" w:cs="Times New Roman"/>
          <w:b/>
          <w:sz w:val="24"/>
          <w:szCs w:val="24"/>
        </w:rPr>
        <w:t>CONCLUSIÓN</w:t>
      </w:r>
    </w:p>
    <w:p w14:paraId="7F9468A9" w14:textId="77777777" w:rsidR="006471A0" w:rsidRPr="00823EDF" w:rsidRDefault="006471A0" w:rsidP="00FD56FE">
      <w:pPr>
        <w:spacing w:after="0" w:line="240" w:lineRule="auto"/>
        <w:contextualSpacing/>
        <w:jc w:val="center"/>
        <w:rPr>
          <w:rFonts w:ascii="Book Antiqua" w:eastAsia="Times New Roman" w:hAnsi="Book Antiqua" w:cs="Times New Roman"/>
          <w:b/>
          <w:sz w:val="24"/>
          <w:szCs w:val="24"/>
        </w:rPr>
      </w:pPr>
    </w:p>
    <w:p w14:paraId="4468915C" w14:textId="77777777" w:rsidR="00C31A6F" w:rsidRPr="00823EDF" w:rsidRDefault="00976EA6" w:rsidP="009514AC">
      <w:pPr>
        <w:spacing w:after="0" w:line="240" w:lineRule="auto"/>
        <w:contextualSpacing/>
        <w:jc w:val="both"/>
        <w:rPr>
          <w:rFonts w:ascii="Book Antiqua" w:eastAsia="Times New Roman" w:hAnsi="Book Antiqua" w:cs="Times New Roman"/>
          <w:sz w:val="24"/>
          <w:szCs w:val="24"/>
        </w:rPr>
      </w:pPr>
      <w:r w:rsidRPr="00823EDF">
        <w:rPr>
          <w:rFonts w:ascii="Book Antiqua" w:eastAsia="Times New Roman" w:hAnsi="Book Antiqua" w:cs="Times New Roman"/>
          <w:sz w:val="24"/>
          <w:szCs w:val="24"/>
        </w:rPr>
        <w:tab/>
      </w:r>
      <w:r w:rsidR="00FE0D7A" w:rsidRPr="00823EDF">
        <w:rPr>
          <w:rFonts w:ascii="Book Antiqua" w:eastAsia="Times New Roman" w:hAnsi="Book Antiqua" w:cs="Times New Roman"/>
          <w:sz w:val="24"/>
          <w:szCs w:val="24"/>
        </w:rPr>
        <w:t>El Artículo 5.0</w:t>
      </w:r>
      <w:r w:rsidR="00804DB4" w:rsidRPr="00823EDF">
        <w:rPr>
          <w:rFonts w:ascii="Book Antiqua" w:eastAsia="Times New Roman" w:hAnsi="Book Antiqua" w:cs="Times New Roman"/>
          <w:sz w:val="24"/>
          <w:szCs w:val="24"/>
        </w:rPr>
        <w:t>1</w:t>
      </w:r>
      <w:r w:rsidR="00FE0D7A" w:rsidRPr="00823EDF">
        <w:rPr>
          <w:rFonts w:ascii="Book Antiqua" w:eastAsia="Times New Roman" w:hAnsi="Book Antiqua" w:cs="Times New Roman"/>
          <w:sz w:val="24"/>
          <w:szCs w:val="24"/>
        </w:rPr>
        <w:t xml:space="preserve"> de la Ley 26-2017, antes citada, establece </w:t>
      </w:r>
      <w:r w:rsidR="00804DB4" w:rsidRPr="00823EDF">
        <w:rPr>
          <w:rFonts w:ascii="Book Antiqua" w:eastAsia="Times New Roman" w:hAnsi="Book Antiqua" w:cs="Times New Roman"/>
          <w:sz w:val="24"/>
          <w:szCs w:val="24"/>
        </w:rPr>
        <w:t>claramente</w:t>
      </w:r>
      <w:r w:rsidR="00FE0D7A" w:rsidRPr="00823EDF">
        <w:rPr>
          <w:rFonts w:ascii="Book Antiqua" w:eastAsia="Times New Roman" w:hAnsi="Book Antiqua" w:cs="Times New Roman"/>
          <w:sz w:val="24"/>
          <w:szCs w:val="24"/>
        </w:rPr>
        <w:t xml:space="preserve"> la política pública sobre el mejor uso de las propiedades en desuso al indicar</w:t>
      </w:r>
      <w:r w:rsidR="00804DB4" w:rsidRPr="00823EDF">
        <w:rPr>
          <w:rFonts w:ascii="Book Antiqua" w:eastAsia="Times New Roman" w:hAnsi="Book Antiqua" w:cs="Times New Roman"/>
          <w:sz w:val="24"/>
          <w:szCs w:val="24"/>
        </w:rPr>
        <w:t xml:space="preserve"> expresamente</w:t>
      </w:r>
      <w:r w:rsidR="00FE0D7A" w:rsidRPr="00823EDF">
        <w:rPr>
          <w:rFonts w:ascii="Book Antiqua" w:eastAsia="Times New Roman" w:hAnsi="Book Antiqua" w:cs="Times New Roman"/>
          <w:sz w:val="24"/>
          <w:szCs w:val="24"/>
        </w:rPr>
        <w:t xml:space="preserve"> que “se propicia que aquellas propiedades que en la actualidad están en total desuso, puedan dedicarse a actividades para el bienestar común, ya sean para usos sin fines de lucro, comerciales o </w:t>
      </w:r>
      <w:r w:rsidR="00FE0D7A" w:rsidRPr="00823EDF">
        <w:rPr>
          <w:rFonts w:ascii="Book Antiqua" w:eastAsia="Times New Roman" w:hAnsi="Book Antiqua" w:cs="Times New Roman"/>
          <w:sz w:val="24"/>
          <w:szCs w:val="24"/>
          <w:u w:val="single"/>
        </w:rPr>
        <w:t>residenciales</w:t>
      </w:r>
      <w:r w:rsidR="00FE0D7A" w:rsidRPr="00823EDF">
        <w:rPr>
          <w:rFonts w:ascii="Book Antiqua" w:eastAsia="Times New Roman" w:hAnsi="Book Antiqua" w:cs="Times New Roman"/>
          <w:sz w:val="24"/>
          <w:szCs w:val="24"/>
        </w:rPr>
        <w:t xml:space="preserve"> que promuevan la activación del mercado de bienes inmuebles y la economía en general”. </w:t>
      </w:r>
      <w:r w:rsidR="00804DB4" w:rsidRPr="00823EDF">
        <w:rPr>
          <w:rFonts w:ascii="Book Antiqua" w:eastAsia="Times New Roman" w:hAnsi="Book Antiqua" w:cs="Times New Roman"/>
          <w:sz w:val="24"/>
          <w:szCs w:val="24"/>
        </w:rPr>
        <w:t>(Énfasis nuestro)</w:t>
      </w:r>
      <w:r w:rsidR="009514AC" w:rsidRPr="00823EDF">
        <w:rPr>
          <w:rFonts w:ascii="Book Antiqua" w:eastAsia="Times New Roman" w:hAnsi="Book Antiqua" w:cs="Times New Roman"/>
          <w:sz w:val="24"/>
          <w:szCs w:val="24"/>
        </w:rPr>
        <w:t xml:space="preserve"> </w:t>
      </w:r>
    </w:p>
    <w:p w14:paraId="7F8D3279" w14:textId="77777777" w:rsidR="00C31A6F" w:rsidRPr="00823EDF" w:rsidRDefault="00C31A6F" w:rsidP="009514AC">
      <w:pPr>
        <w:spacing w:after="0" w:line="240" w:lineRule="auto"/>
        <w:contextualSpacing/>
        <w:jc w:val="both"/>
        <w:rPr>
          <w:rFonts w:ascii="Book Antiqua" w:eastAsia="Times New Roman" w:hAnsi="Book Antiqua" w:cs="Times New Roman"/>
          <w:sz w:val="24"/>
          <w:szCs w:val="24"/>
        </w:rPr>
      </w:pPr>
    </w:p>
    <w:p w14:paraId="308BBFB1" w14:textId="7A9D4C83" w:rsidR="007F5EA7" w:rsidRPr="00823EDF" w:rsidRDefault="00976EA6" w:rsidP="00C31A6F">
      <w:pPr>
        <w:spacing w:after="0" w:line="240" w:lineRule="auto"/>
        <w:ind w:firstLine="708"/>
        <w:contextualSpacing/>
        <w:jc w:val="both"/>
        <w:rPr>
          <w:rFonts w:ascii="Book Antiqua" w:eastAsia="Times New Roman" w:hAnsi="Book Antiqua" w:cs="Times New Roman"/>
          <w:sz w:val="24"/>
          <w:szCs w:val="24"/>
        </w:rPr>
      </w:pPr>
      <w:r w:rsidRPr="00823EDF">
        <w:rPr>
          <w:rFonts w:ascii="Book Antiqua" w:eastAsia="Times New Roman" w:hAnsi="Book Antiqua" w:cs="Times New Roman"/>
          <w:sz w:val="24"/>
          <w:szCs w:val="24"/>
        </w:rPr>
        <w:t xml:space="preserve">Esta Comisión ha evaluado detenidamente el P. de la C. </w:t>
      </w:r>
      <w:r w:rsidR="00FE0D7A" w:rsidRPr="00823EDF">
        <w:rPr>
          <w:rFonts w:ascii="Book Antiqua" w:eastAsia="Times New Roman" w:hAnsi="Book Antiqua" w:cs="Times New Roman"/>
          <w:sz w:val="24"/>
          <w:szCs w:val="24"/>
        </w:rPr>
        <w:t xml:space="preserve">1124 y </w:t>
      </w:r>
      <w:r w:rsidR="007F5EA7" w:rsidRPr="00823EDF">
        <w:rPr>
          <w:rFonts w:ascii="Book Antiqua" w:eastAsia="Times New Roman" w:hAnsi="Book Antiqua" w:cs="Times New Roman"/>
          <w:sz w:val="24"/>
          <w:szCs w:val="24"/>
        </w:rPr>
        <w:t xml:space="preserve">entiende que el </w:t>
      </w:r>
      <w:r w:rsidR="00FE0D7A" w:rsidRPr="00823EDF">
        <w:rPr>
          <w:rFonts w:ascii="Book Antiqua" w:eastAsia="Times New Roman" w:hAnsi="Book Antiqua" w:cs="Times New Roman"/>
          <w:sz w:val="24"/>
          <w:szCs w:val="24"/>
        </w:rPr>
        <w:t>estado de derecho vigente</w:t>
      </w:r>
      <w:r w:rsidR="007F5EA7" w:rsidRPr="00823EDF">
        <w:rPr>
          <w:rFonts w:ascii="Book Antiqua" w:eastAsia="Times New Roman" w:hAnsi="Book Antiqua" w:cs="Times New Roman"/>
          <w:sz w:val="24"/>
          <w:szCs w:val="24"/>
        </w:rPr>
        <w:t xml:space="preserve"> </w:t>
      </w:r>
      <w:r w:rsidR="00FE0D7A" w:rsidRPr="00823EDF">
        <w:rPr>
          <w:rFonts w:ascii="Book Antiqua" w:eastAsia="Times New Roman" w:hAnsi="Book Antiqua" w:cs="Times New Roman"/>
          <w:sz w:val="24"/>
          <w:szCs w:val="24"/>
        </w:rPr>
        <w:t xml:space="preserve">permite la flexibilidad </w:t>
      </w:r>
      <w:r w:rsidR="00C31A6F" w:rsidRPr="00823EDF">
        <w:rPr>
          <w:rFonts w:ascii="Book Antiqua" w:eastAsia="Times New Roman" w:hAnsi="Book Antiqua" w:cs="Times New Roman"/>
          <w:sz w:val="24"/>
          <w:szCs w:val="24"/>
        </w:rPr>
        <w:t xml:space="preserve">conveniente y </w:t>
      </w:r>
      <w:r w:rsidR="00FE0D7A" w:rsidRPr="00823EDF">
        <w:rPr>
          <w:rFonts w:ascii="Book Antiqua" w:eastAsia="Times New Roman" w:hAnsi="Book Antiqua" w:cs="Times New Roman"/>
          <w:sz w:val="24"/>
          <w:szCs w:val="24"/>
        </w:rPr>
        <w:t xml:space="preserve">necesaria para que el CEDBI pueda evaluar una diversidad de propuestas de desarrollo, incluyendo vivienda </w:t>
      </w:r>
      <w:r w:rsidR="00804DB4" w:rsidRPr="00823EDF">
        <w:rPr>
          <w:rFonts w:ascii="Book Antiqua" w:eastAsia="Times New Roman" w:hAnsi="Book Antiqua" w:cs="Times New Roman"/>
          <w:sz w:val="24"/>
          <w:szCs w:val="24"/>
        </w:rPr>
        <w:t xml:space="preserve">social y </w:t>
      </w:r>
      <w:r w:rsidR="00FE0D7A" w:rsidRPr="00823EDF">
        <w:rPr>
          <w:rFonts w:ascii="Book Antiqua" w:eastAsia="Times New Roman" w:hAnsi="Book Antiqua" w:cs="Times New Roman"/>
          <w:sz w:val="24"/>
          <w:szCs w:val="24"/>
        </w:rPr>
        <w:t xml:space="preserve">asequible, con el fin de reutilizar las propiedades inmuebles, y a su vez atender </w:t>
      </w:r>
      <w:r w:rsidR="00804DB4" w:rsidRPr="00823EDF">
        <w:rPr>
          <w:rFonts w:ascii="Book Antiqua" w:eastAsia="Times New Roman" w:hAnsi="Book Antiqua" w:cs="Times New Roman"/>
          <w:sz w:val="24"/>
          <w:szCs w:val="24"/>
        </w:rPr>
        <w:t>distintas necesidades</w:t>
      </w:r>
      <w:r w:rsidR="00FE0D7A" w:rsidRPr="00823EDF">
        <w:rPr>
          <w:rFonts w:ascii="Book Antiqua" w:eastAsia="Times New Roman" w:hAnsi="Book Antiqua" w:cs="Times New Roman"/>
          <w:sz w:val="24"/>
          <w:szCs w:val="24"/>
        </w:rPr>
        <w:t xml:space="preserve"> </w:t>
      </w:r>
      <w:r w:rsidR="00804DB4" w:rsidRPr="00823EDF">
        <w:rPr>
          <w:rFonts w:ascii="Book Antiqua" w:eastAsia="Times New Roman" w:hAnsi="Book Antiqua" w:cs="Times New Roman"/>
          <w:sz w:val="24"/>
          <w:szCs w:val="24"/>
        </w:rPr>
        <w:t>de la comunidad en general</w:t>
      </w:r>
      <w:r w:rsidR="00FE0D7A" w:rsidRPr="00823EDF">
        <w:rPr>
          <w:rFonts w:ascii="Book Antiqua" w:eastAsia="Times New Roman" w:hAnsi="Book Antiqua" w:cs="Times New Roman"/>
          <w:sz w:val="24"/>
          <w:szCs w:val="24"/>
        </w:rPr>
        <w:t xml:space="preserve">.  </w:t>
      </w:r>
    </w:p>
    <w:p w14:paraId="6EBAAE72" w14:textId="77777777" w:rsidR="00804DB4" w:rsidRPr="00823EDF" w:rsidRDefault="00804DB4" w:rsidP="00FE0D7A">
      <w:pPr>
        <w:spacing w:after="0" w:line="240" w:lineRule="auto"/>
        <w:ind w:firstLine="708"/>
        <w:contextualSpacing/>
        <w:jc w:val="both"/>
        <w:rPr>
          <w:rFonts w:ascii="Book Antiqua" w:eastAsia="Times New Roman" w:hAnsi="Book Antiqua" w:cs="Times New Roman"/>
          <w:sz w:val="24"/>
          <w:szCs w:val="24"/>
        </w:rPr>
      </w:pPr>
    </w:p>
    <w:p w14:paraId="2A561069" w14:textId="057171A9" w:rsidR="00804DB4" w:rsidRPr="00823EDF" w:rsidRDefault="00804DB4" w:rsidP="00D8570C">
      <w:pPr>
        <w:spacing w:after="0" w:line="240" w:lineRule="auto"/>
        <w:ind w:firstLine="720"/>
        <w:jc w:val="both"/>
        <w:rPr>
          <w:rFonts w:ascii="Book Antiqua" w:hAnsi="Book Antiqua"/>
          <w:color w:val="000000"/>
          <w:sz w:val="24"/>
          <w:szCs w:val="24"/>
        </w:rPr>
      </w:pPr>
      <w:r w:rsidRPr="00823EDF">
        <w:rPr>
          <w:rFonts w:ascii="Book Antiqua" w:eastAsia="Times New Roman" w:hAnsi="Book Antiqua" w:cs="Times New Roman"/>
          <w:sz w:val="24"/>
          <w:szCs w:val="24"/>
        </w:rPr>
        <w:t xml:space="preserve">Además, destinar hasta un 25% de las propiedades inmuebles en desuso para ser transferidas por el valor nominal de $1 dólar contraviene expresamente el Artículo 5.07 de la Ley 26-2017 que </w:t>
      </w:r>
      <w:r w:rsidRPr="00823EDF">
        <w:rPr>
          <w:rFonts w:ascii="Book Antiqua" w:hAnsi="Book Antiqua"/>
          <w:color w:val="000000"/>
          <w:sz w:val="24"/>
          <w:szCs w:val="24"/>
        </w:rPr>
        <w:t xml:space="preserve">ordena al CEDBI a disponer de los bienes inmuebles utilizando como base el justo valor en el mercado a ser determinado mediante el correspondiente procedimiento de evaluación y tasación o velando por la utilización de la propiedad para el beneficio del interés público. </w:t>
      </w:r>
      <w:r w:rsidR="00544934" w:rsidRPr="00823EDF">
        <w:rPr>
          <w:rFonts w:ascii="Book Antiqua" w:hAnsi="Book Antiqua"/>
          <w:color w:val="000000"/>
          <w:sz w:val="24"/>
          <w:szCs w:val="24"/>
        </w:rPr>
        <w:t xml:space="preserve"> </w:t>
      </w:r>
      <w:r w:rsidR="00190897" w:rsidRPr="00823EDF">
        <w:rPr>
          <w:rFonts w:ascii="Book Antiqua" w:hAnsi="Book Antiqua"/>
          <w:color w:val="000000"/>
          <w:sz w:val="24"/>
          <w:szCs w:val="24"/>
        </w:rPr>
        <w:t>El</w:t>
      </w:r>
      <w:r w:rsidR="009514AC" w:rsidRPr="00823EDF">
        <w:rPr>
          <w:rFonts w:ascii="Book Antiqua" w:hAnsi="Book Antiqua"/>
          <w:color w:val="000000"/>
          <w:sz w:val="24"/>
          <w:szCs w:val="24"/>
        </w:rPr>
        <w:t xml:space="preserve"> estado de derecho vigente</w:t>
      </w:r>
      <w:r w:rsidR="00190897" w:rsidRPr="00823EDF">
        <w:rPr>
          <w:rFonts w:ascii="Book Antiqua" w:hAnsi="Book Antiqua"/>
          <w:color w:val="000000"/>
          <w:sz w:val="24"/>
          <w:szCs w:val="24"/>
        </w:rPr>
        <w:t xml:space="preserve"> para disponer de los bienes inmuebles en desuso</w:t>
      </w:r>
      <w:r w:rsidR="009514AC" w:rsidRPr="00823EDF">
        <w:rPr>
          <w:rFonts w:ascii="Book Antiqua" w:hAnsi="Book Antiqua"/>
          <w:color w:val="000000"/>
          <w:sz w:val="24"/>
          <w:szCs w:val="24"/>
        </w:rPr>
        <w:t xml:space="preserve"> </w:t>
      </w:r>
      <w:r w:rsidR="00D8570C" w:rsidRPr="00823EDF">
        <w:rPr>
          <w:rFonts w:ascii="Book Antiqua" w:hAnsi="Book Antiqua"/>
          <w:color w:val="000000"/>
          <w:sz w:val="24"/>
          <w:szCs w:val="24"/>
        </w:rPr>
        <w:t>contempla</w:t>
      </w:r>
      <w:r w:rsidR="00190897" w:rsidRPr="00823EDF">
        <w:rPr>
          <w:rFonts w:ascii="Book Antiqua" w:hAnsi="Book Antiqua"/>
          <w:color w:val="000000"/>
          <w:sz w:val="24"/>
          <w:szCs w:val="24"/>
        </w:rPr>
        <w:t xml:space="preserve"> múltiples beneficios y un balance apropiado:</w:t>
      </w:r>
      <w:r w:rsidR="00D8570C" w:rsidRPr="00823EDF">
        <w:rPr>
          <w:rFonts w:ascii="Book Antiqua" w:hAnsi="Book Antiqua"/>
          <w:color w:val="000000"/>
          <w:sz w:val="24"/>
          <w:szCs w:val="24"/>
        </w:rPr>
        <w:t xml:space="preserve"> </w:t>
      </w:r>
      <w:r w:rsidR="009514AC" w:rsidRPr="00823EDF">
        <w:rPr>
          <w:rFonts w:ascii="Book Antiqua" w:hAnsi="Book Antiqua"/>
          <w:color w:val="000000"/>
          <w:sz w:val="24"/>
          <w:szCs w:val="24"/>
        </w:rPr>
        <w:t xml:space="preserve">el Gobierno </w:t>
      </w:r>
      <w:r w:rsidR="00C61EFF" w:rsidRPr="00823EDF">
        <w:rPr>
          <w:rFonts w:ascii="Book Antiqua" w:hAnsi="Book Antiqua"/>
          <w:color w:val="000000"/>
          <w:sz w:val="24"/>
          <w:szCs w:val="24"/>
        </w:rPr>
        <w:t>allega recursos</w:t>
      </w:r>
      <w:r w:rsidR="009514AC" w:rsidRPr="00823EDF">
        <w:rPr>
          <w:rFonts w:ascii="Book Antiqua" w:hAnsi="Book Antiqua"/>
          <w:color w:val="000000"/>
          <w:sz w:val="24"/>
          <w:szCs w:val="24"/>
        </w:rPr>
        <w:t xml:space="preserve"> </w:t>
      </w:r>
      <w:r w:rsidR="00C61EFF" w:rsidRPr="00823EDF">
        <w:rPr>
          <w:rFonts w:ascii="Book Antiqua" w:hAnsi="Book Antiqua"/>
          <w:color w:val="000000"/>
          <w:sz w:val="24"/>
          <w:szCs w:val="24"/>
        </w:rPr>
        <w:t>económicos</w:t>
      </w:r>
      <w:r w:rsidR="009514AC" w:rsidRPr="00823EDF">
        <w:rPr>
          <w:rFonts w:ascii="Book Antiqua" w:hAnsi="Book Antiqua"/>
          <w:color w:val="000000"/>
          <w:sz w:val="24"/>
          <w:szCs w:val="24"/>
        </w:rPr>
        <w:t xml:space="preserve"> </w:t>
      </w:r>
      <w:r w:rsidR="00D8570C" w:rsidRPr="00823EDF">
        <w:rPr>
          <w:rFonts w:ascii="Book Antiqua" w:hAnsi="Book Antiqua"/>
          <w:color w:val="000000"/>
          <w:sz w:val="24"/>
          <w:szCs w:val="24"/>
        </w:rPr>
        <w:t>para contar con</w:t>
      </w:r>
      <w:r w:rsidR="009514AC" w:rsidRPr="00823EDF">
        <w:rPr>
          <w:rFonts w:ascii="Book Antiqua" w:hAnsi="Book Antiqua"/>
          <w:color w:val="000000"/>
          <w:sz w:val="24"/>
          <w:szCs w:val="24"/>
        </w:rPr>
        <w:t xml:space="preserve"> mayor liquidez para enfrentar la crisis fiscal; inyecta al mercado un ingrediente de actividad económica al permitir que el sector privado se envuelva en la adquisición de propiedades del Estado para usos comerciales o residenciales; y fomenta el bienestar social ante la posibilidad de que las propiedades puedan ser adquiridas por entidades para ofrecer servicios sociales.</w:t>
      </w:r>
    </w:p>
    <w:p w14:paraId="54C815C9" w14:textId="104BCE93" w:rsidR="00173789" w:rsidRPr="00823EDF" w:rsidRDefault="00804DB4" w:rsidP="00FD56FE">
      <w:pPr>
        <w:spacing w:after="0" w:line="240" w:lineRule="auto"/>
        <w:ind w:firstLine="708"/>
        <w:contextualSpacing/>
        <w:jc w:val="both"/>
        <w:rPr>
          <w:rFonts w:ascii="Book Antiqua" w:eastAsia="Times New Roman" w:hAnsi="Book Antiqua" w:cs="Times New Roman"/>
          <w:sz w:val="24"/>
          <w:szCs w:val="24"/>
        </w:rPr>
      </w:pPr>
      <w:r w:rsidRPr="00823EDF">
        <w:rPr>
          <w:rFonts w:ascii="Book Antiqua" w:eastAsia="Times New Roman" w:hAnsi="Book Antiqua" w:cs="Times New Roman"/>
          <w:sz w:val="24"/>
          <w:szCs w:val="24"/>
        </w:rPr>
        <w:t xml:space="preserve"> </w:t>
      </w:r>
    </w:p>
    <w:p w14:paraId="5518008C" w14:textId="4FAC75F5" w:rsidR="00976EA6" w:rsidRPr="00823EDF" w:rsidRDefault="00976EA6" w:rsidP="00976EA6">
      <w:pPr>
        <w:spacing w:after="0" w:line="240" w:lineRule="auto"/>
        <w:ind w:firstLine="708"/>
        <w:contextualSpacing/>
        <w:jc w:val="both"/>
        <w:rPr>
          <w:rFonts w:ascii="Book Antiqua" w:eastAsia="Times New Roman" w:hAnsi="Book Antiqua" w:cs="Times New Roman"/>
          <w:sz w:val="24"/>
          <w:szCs w:val="24"/>
        </w:rPr>
      </w:pPr>
      <w:r w:rsidRPr="00823EDF">
        <w:rPr>
          <w:rFonts w:ascii="Book Antiqua" w:eastAsia="Times New Roman" w:hAnsi="Book Antiqua" w:cs="Times New Roman"/>
          <w:b/>
          <w:sz w:val="24"/>
          <w:szCs w:val="24"/>
        </w:rPr>
        <w:t>POR TODO LO ANTES EXPUESTO</w:t>
      </w:r>
      <w:r w:rsidRPr="00823EDF">
        <w:rPr>
          <w:rFonts w:ascii="Book Antiqua" w:eastAsia="Times New Roman" w:hAnsi="Book Antiqua" w:cs="Times New Roman"/>
          <w:sz w:val="24"/>
          <w:szCs w:val="24"/>
        </w:rPr>
        <w:t xml:space="preserve">, </w:t>
      </w:r>
      <w:r w:rsidR="00FA7171" w:rsidRPr="00823EDF">
        <w:rPr>
          <w:rFonts w:ascii="Book Antiqua" w:eastAsia="Times New Roman" w:hAnsi="Book Antiqua" w:cs="Times New Roman"/>
          <w:sz w:val="24"/>
          <w:szCs w:val="24"/>
        </w:rPr>
        <w:t>la</w:t>
      </w:r>
      <w:r w:rsidRPr="00823EDF">
        <w:rPr>
          <w:rFonts w:ascii="Book Antiqua" w:eastAsia="Times New Roman" w:hAnsi="Book Antiqua" w:cs="Times New Roman"/>
          <w:sz w:val="24"/>
          <w:szCs w:val="24"/>
        </w:rPr>
        <w:t xml:space="preserve"> Comisión</w:t>
      </w:r>
      <w:r w:rsidR="00FA7171" w:rsidRPr="00823EDF">
        <w:rPr>
          <w:rFonts w:ascii="Book Antiqua" w:eastAsia="Times New Roman" w:hAnsi="Book Antiqua" w:cs="Times New Roman"/>
          <w:sz w:val="24"/>
          <w:szCs w:val="24"/>
        </w:rPr>
        <w:t xml:space="preserve"> de Gobierno</w:t>
      </w:r>
      <w:r w:rsidRPr="00823EDF">
        <w:rPr>
          <w:rFonts w:ascii="Book Antiqua" w:eastAsia="Times New Roman" w:hAnsi="Book Antiqua" w:cs="Times New Roman"/>
          <w:sz w:val="24"/>
          <w:szCs w:val="24"/>
        </w:rPr>
        <w:t xml:space="preserve"> </w:t>
      </w:r>
      <w:r w:rsidRPr="00823EDF">
        <w:rPr>
          <w:rFonts w:ascii="Book Antiqua" w:eastAsia="Times New Roman" w:hAnsi="Book Antiqua" w:cs="Times New Roman"/>
          <w:b/>
          <w:bCs/>
          <w:sz w:val="24"/>
          <w:szCs w:val="24"/>
        </w:rPr>
        <w:t xml:space="preserve">no recomienda </w:t>
      </w:r>
      <w:r w:rsidRPr="00823EDF">
        <w:rPr>
          <w:rFonts w:ascii="Book Antiqua" w:eastAsia="Times New Roman" w:hAnsi="Book Antiqua" w:cs="Times New Roman"/>
          <w:sz w:val="24"/>
          <w:szCs w:val="24"/>
        </w:rPr>
        <w:t xml:space="preserve">la aprobación </w:t>
      </w:r>
      <w:r w:rsidR="008546BA" w:rsidRPr="00823EDF">
        <w:rPr>
          <w:rFonts w:ascii="Book Antiqua" w:eastAsia="Times New Roman" w:hAnsi="Book Antiqua" w:cs="Times New Roman"/>
          <w:sz w:val="24"/>
          <w:szCs w:val="24"/>
        </w:rPr>
        <w:t xml:space="preserve">del </w:t>
      </w:r>
      <w:r w:rsidR="00FA7171" w:rsidRPr="00823EDF">
        <w:rPr>
          <w:rFonts w:ascii="Book Antiqua" w:eastAsia="Times New Roman" w:hAnsi="Book Antiqua" w:cs="Times New Roman"/>
          <w:sz w:val="24"/>
          <w:szCs w:val="24"/>
        </w:rPr>
        <w:t>Proyecto de la Cámara</w:t>
      </w:r>
      <w:r w:rsidR="008546BA" w:rsidRPr="00823EDF">
        <w:rPr>
          <w:rFonts w:ascii="Book Antiqua" w:eastAsia="Times New Roman" w:hAnsi="Book Antiqua" w:cs="Times New Roman"/>
          <w:sz w:val="24"/>
          <w:szCs w:val="24"/>
        </w:rPr>
        <w:t xml:space="preserve"> </w:t>
      </w:r>
      <w:r w:rsidR="00E61CD3" w:rsidRPr="00823EDF">
        <w:rPr>
          <w:rFonts w:ascii="Book Antiqua" w:eastAsia="Times New Roman" w:hAnsi="Book Antiqua" w:cs="Times New Roman"/>
          <w:sz w:val="24"/>
          <w:szCs w:val="24"/>
        </w:rPr>
        <w:t>1124</w:t>
      </w:r>
      <w:r w:rsidRPr="00823EDF">
        <w:rPr>
          <w:rFonts w:ascii="Book Antiqua" w:eastAsia="Times New Roman" w:hAnsi="Book Antiqua" w:cs="Times New Roman"/>
          <w:sz w:val="24"/>
          <w:szCs w:val="24"/>
        </w:rPr>
        <w:t xml:space="preserve">. </w:t>
      </w:r>
    </w:p>
    <w:p w14:paraId="0A548AEA" w14:textId="3886FCF7" w:rsidR="00DA5A44" w:rsidRPr="00823EDF" w:rsidRDefault="00DA5A44" w:rsidP="00FD56FE">
      <w:pPr>
        <w:spacing w:after="0" w:line="240" w:lineRule="auto"/>
        <w:ind w:firstLine="708"/>
        <w:contextualSpacing/>
        <w:jc w:val="both"/>
        <w:rPr>
          <w:rFonts w:ascii="Book Antiqua" w:eastAsia="Times New Roman" w:hAnsi="Book Antiqua" w:cs="Times New Roman"/>
          <w:sz w:val="24"/>
          <w:szCs w:val="24"/>
        </w:rPr>
      </w:pPr>
    </w:p>
    <w:p w14:paraId="57A7474F" w14:textId="5C388747" w:rsidR="00472407" w:rsidRPr="00823EDF" w:rsidRDefault="002573CC" w:rsidP="00D8570C">
      <w:pPr>
        <w:spacing w:after="0" w:line="240" w:lineRule="auto"/>
        <w:contextualSpacing/>
        <w:jc w:val="both"/>
        <w:rPr>
          <w:rFonts w:ascii="Book Antiqua" w:eastAsia="Times New Roman" w:hAnsi="Book Antiqua" w:cs="Times New Roman"/>
          <w:b/>
          <w:sz w:val="24"/>
          <w:szCs w:val="24"/>
        </w:rPr>
      </w:pPr>
      <w:r w:rsidRPr="00823EDF">
        <w:rPr>
          <w:rFonts w:ascii="Book Antiqua" w:eastAsia="Times New Roman" w:hAnsi="Book Antiqua" w:cs="Times New Roman"/>
          <w:b/>
          <w:bCs/>
          <w:sz w:val="24"/>
          <w:szCs w:val="24"/>
        </w:rPr>
        <w:t>Respetuosamente sometido,</w:t>
      </w:r>
    </w:p>
    <w:p w14:paraId="6EA08191" w14:textId="77777777" w:rsidR="00D07F57" w:rsidRPr="00823EDF" w:rsidRDefault="00D07F57" w:rsidP="00FD56FE">
      <w:pPr>
        <w:tabs>
          <w:tab w:val="left" w:pos="567"/>
        </w:tabs>
        <w:spacing w:after="0" w:line="240" w:lineRule="auto"/>
        <w:contextualSpacing/>
        <w:jc w:val="both"/>
        <w:rPr>
          <w:rFonts w:ascii="Book Antiqua" w:eastAsia="Times New Roman" w:hAnsi="Book Antiqua" w:cs="Times New Roman"/>
          <w:sz w:val="24"/>
          <w:szCs w:val="24"/>
        </w:rPr>
      </w:pPr>
    </w:p>
    <w:p w14:paraId="6EE9669A" w14:textId="77777777" w:rsidR="00502B33" w:rsidRPr="00823EDF" w:rsidRDefault="00502B33" w:rsidP="00FD56FE">
      <w:pPr>
        <w:tabs>
          <w:tab w:val="left" w:pos="567"/>
        </w:tabs>
        <w:spacing w:after="0" w:line="240" w:lineRule="auto"/>
        <w:contextualSpacing/>
        <w:jc w:val="both"/>
        <w:rPr>
          <w:rFonts w:ascii="Book Antiqua" w:eastAsia="Times New Roman" w:hAnsi="Book Antiqua" w:cs="Times New Roman"/>
          <w:sz w:val="24"/>
          <w:szCs w:val="24"/>
        </w:rPr>
      </w:pPr>
    </w:p>
    <w:p w14:paraId="47677492" w14:textId="77777777" w:rsidR="002573CC" w:rsidRPr="00823EDF" w:rsidRDefault="002573CC" w:rsidP="00FD56FE">
      <w:pPr>
        <w:tabs>
          <w:tab w:val="left" w:pos="567"/>
        </w:tabs>
        <w:spacing w:after="0" w:line="240" w:lineRule="auto"/>
        <w:contextualSpacing/>
        <w:jc w:val="both"/>
        <w:rPr>
          <w:rFonts w:ascii="Book Antiqua" w:eastAsia="Times New Roman" w:hAnsi="Book Antiqua" w:cs="Times New Roman"/>
          <w:sz w:val="24"/>
          <w:szCs w:val="24"/>
        </w:rPr>
      </w:pPr>
    </w:p>
    <w:p w14:paraId="66EFDAD4" w14:textId="4C537C69" w:rsidR="002573CC" w:rsidRPr="00823EDF" w:rsidRDefault="00CE2F7D" w:rsidP="00FD56FE">
      <w:pPr>
        <w:tabs>
          <w:tab w:val="left" w:pos="567"/>
        </w:tabs>
        <w:spacing w:after="0" w:line="240" w:lineRule="auto"/>
        <w:contextualSpacing/>
        <w:jc w:val="both"/>
        <w:rPr>
          <w:rFonts w:ascii="Book Antiqua" w:eastAsia="Times New Roman" w:hAnsi="Book Antiqua" w:cs="Times New Roman"/>
          <w:b/>
          <w:bCs/>
          <w:sz w:val="24"/>
          <w:szCs w:val="24"/>
        </w:rPr>
      </w:pPr>
      <w:r w:rsidRPr="00823EDF">
        <w:rPr>
          <w:rFonts w:ascii="Book Antiqua" w:eastAsia="Times New Roman" w:hAnsi="Book Antiqua" w:cs="Times New Roman"/>
          <w:b/>
          <w:bCs/>
          <w:sz w:val="24"/>
          <w:szCs w:val="24"/>
        </w:rPr>
        <w:t>H</w:t>
      </w:r>
      <w:r w:rsidR="001D7207" w:rsidRPr="00823EDF">
        <w:rPr>
          <w:rFonts w:ascii="Book Antiqua" w:eastAsia="Times New Roman" w:hAnsi="Book Antiqua" w:cs="Times New Roman"/>
          <w:b/>
          <w:bCs/>
          <w:sz w:val="24"/>
          <w:szCs w:val="24"/>
        </w:rPr>
        <w:t>on</w:t>
      </w:r>
      <w:r w:rsidRPr="00823EDF">
        <w:rPr>
          <w:rFonts w:ascii="Book Antiqua" w:eastAsia="Times New Roman" w:hAnsi="Book Antiqua" w:cs="Times New Roman"/>
          <w:b/>
          <w:bCs/>
          <w:sz w:val="24"/>
          <w:szCs w:val="24"/>
        </w:rPr>
        <w:t xml:space="preserve">. </w:t>
      </w:r>
      <w:r w:rsidR="00D205C8" w:rsidRPr="00823EDF">
        <w:rPr>
          <w:rFonts w:ascii="Book Antiqua" w:eastAsia="Times New Roman" w:hAnsi="Book Antiqua" w:cs="Times New Roman"/>
          <w:b/>
          <w:bCs/>
          <w:sz w:val="24"/>
          <w:szCs w:val="24"/>
        </w:rPr>
        <w:t>Víctor L. Parés Otero</w:t>
      </w:r>
    </w:p>
    <w:p w14:paraId="1AAAF665" w14:textId="1431CD06" w:rsidR="002573CC" w:rsidRPr="00823EDF" w:rsidRDefault="002573CC" w:rsidP="00FD56FE">
      <w:pPr>
        <w:tabs>
          <w:tab w:val="left" w:pos="567"/>
        </w:tabs>
        <w:spacing w:after="0" w:line="240" w:lineRule="auto"/>
        <w:contextualSpacing/>
        <w:jc w:val="both"/>
        <w:rPr>
          <w:rFonts w:ascii="Book Antiqua" w:eastAsia="Times New Roman" w:hAnsi="Book Antiqua" w:cs="Times New Roman"/>
          <w:sz w:val="24"/>
          <w:szCs w:val="24"/>
        </w:rPr>
      </w:pPr>
      <w:r w:rsidRPr="00823EDF">
        <w:rPr>
          <w:rFonts w:ascii="Book Antiqua" w:eastAsia="Times New Roman" w:hAnsi="Book Antiqua" w:cs="Times New Roman"/>
          <w:sz w:val="24"/>
          <w:szCs w:val="24"/>
        </w:rPr>
        <w:t>President</w:t>
      </w:r>
      <w:r w:rsidR="0034480B" w:rsidRPr="00823EDF">
        <w:rPr>
          <w:rFonts w:ascii="Book Antiqua" w:eastAsia="Times New Roman" w:hAnsi="Book Antiqua" w:cs="Times New Roman"/>
          <w:sz w:val="24"/>
          <w:szCs w:val="24"/>
        </w:rPr>
        <w:t>e</w:t>
      </w:r>
    </w:p>
    <w:p w14:paraId="2BBB5271" w14:textId="124A8B26" w:rsidR="00B87D26" w:rsidRPr="00B006FE" w:rsidRDefault="0034480B" w:rsidP="00FD56FE">
      <w:pPr>
        <w:tabs>
          <w:tab w:val="left" w:pos="567"/>
        </w:tabs>
        <w:spacing w:after="0" w:line="240" w:lineRule="auto"/>
        <w:contextualSpacing/>
        <w:jc w:val="both"/>
        <w:rPr>
          <w:rFonts w:ascii="Book Antiqua" w:hAnsi="Book Antiqua"/>
          <w:sz w:val="24"/>
          <w:szCs w:val="24"/>
        </w:rPr>
      </w:pPr>
      <w:r w:rsidRPr="00823EDF">
        <w:rPr>
          <w:rFonts w:ascii="Book Antiqua" w:eastAsia="Times New Roman" w:hAnsi="Book Antiqua" w:cs="Times New Roman"/>
          <w:sz w:val="24"/>
          <w:szCs w:val="24"/>
        </w:rPr>
        <w:t xml:space="preserve">Comisión </w:t>
      </w:r>
      <w:r w:rsidR="00106C0D" w:rsidRPr="00823EDF">
        <w:rPr>
          <w:rFonts w:ascii="Book Antiqua" w:eastAsia="Times New Roman" w:hAnsi="Book Antiqua" w:cs="Times New Roman"/>
          <w:sz w:val="24"/>
          <w:szCs w:val="24"/>
        </w:rPr>
        <w:t>de</w:t>
      </w:r>
      <w:r w:rsidR="00106C0D" w:rsidRPr="00B006FE">
        <w:rPr>
          <w:rFonts w:ascii="Book Antiqua" w:eastAsia="Times New Roman" w:hAnsi="Book Antiqua" w:cs="Times New Roman"/>
          <w:sz w:val="24"/>
          <w:szCs w:val="24"/>
        </w:rPr>
        <w:t xml:space="preserve"> Gobierno</w:t>
      </w:r>
    </w:p>
    <w:sectPr w:rsidR="00B87D26" w:rsidRPr="00B006FE" w:rsidSect="004C4B22">
      <w:headerReference w:type="default" r:id="rId13"/>
      <w:footerReference w:type="default" r:id="rId14"/>
      <w:pgSz w:w="12240" w:h="15840"/>
      <w:pgMar w:top="162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BE0BEFA" w14:textId="77777777" w:rsidR="00D23E50" w:rsidRDefault="00D23E50">
      <w:pPr>
        <w:spacing w:after="0" w:line="240" w:lineRule="auto"/>
      </w:pPr>
      <w:r>
        <w:separator/>
      </w:r>
    </w:p>
  </w:endnote>
  <w:endnote w:type="continuationSeparator" w:id="0">
    <w:p w14:paraId="6CB3D652" w14:textId="77777777" w:rsidR="00D23E50" w:rsidRDefault="00D23E5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Book Antiqua">
    <w:panose1 w:val="02040602050305030304"/>
    <w:charset w:val="00"/>
    <w:family w:val="roman"/>
    <w:pitch w:val="variable"/>
    <w:sig w:usb0="00000287" w:usb1="00000000" w:usb2="00000000" w:usb3="00000000" w:csb0="0000009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842214774"/>
      <w:docPartObj>
        <w:docPartGallery w:val="Page Numbers (Bottom of Page)"/>
        <w:docPartUnique/>
      </w:docPartObj>
    </w:sdtPr>
    <w:sdtEndPr>
      <w:rPr>
        <w:rFonts w:ascii="Book Antiqua" w:hAnsi="Book Antiqua"/>
        <w:noProof/>
        <w:sz w:val="24"/>
        <w:szCs w:val="24"/>
      </w:rPr>
    </w:sdtEndPr>
    <w:sdtContent>
      <w:p w14:paraId="47546A71" w14:textId="2FFCEB5A" w:rsidR="00E61CD3" w:rsidRPr="00E61CD3" w:rsidRDefault="00E61CD3">
        <w:pPr>
          <w:pStyle w:val="Footer"/>
          <w:jc w:val="center"/>
          <w:rPr>
            <w:rFonts w:ascii="Book Antiqua" w:hAnsi="Book Antiqua"/>
            <w:sz w:val="24"/>
            <w:szCs w:val="24"/>
          </w:rPr>
        </w:pPr>
        <w:r w:rsidRPr="00E61CD3">
          <w:rPr>
            <w:rFonts w:ascii="Book Antiqua" w:hAnsi="Book Antiqua"/>
            <w:sz w:val="24"/>
            <w:szCs w:val="24"/>
          </w:rPr>
          <w:fldChar w:fldCharType="begin"/>
        </w:r>
        <w:r w:rsidRPr="00E61CD3">
          <w:rPr>
            <w:rFonts w:ascii="Book Antiqua" w:hAnsi="Book Antiqua"/>
            <w:sz w:val="24"/>
            <w:szCs w:val="24"/>
          </w:rPr>
          <w:instrText xml:space="preserve"> PAGE   \* MERGEFORMAT </w:instrText>
        </w:r>
        <w:r w:rsidRPr="00E61CD3">
          <w:rPr>
            <w:rFonts w:ascii="Book Antiqua" w:hAnsi="Book Antiqua"/>
            <w:sz w:val="24"/>
            <w:szCs w:val="24"/>
          </w:rPr>
          <w:fldChar w:fldCharType="separate"/>
        </w:r>
        <w:r w:rsidRPr="00E61CD3">
          <w:rPr>
            <w:rFonts w:ascii="Book Antiqua" w:hAnsi="Book Antiqua"/>
            <w:noProof/>
            <w:sz w:val="24"/>
            <w:szCs w:val="24"/>
          </w:rPr>
          <w:t>2</w:t>
        </w:r>
        <w:r w:rsidRPr="00E61CD3">
          <w:rPr>
            <w:rFonts w:ascii="Book Antiqua" w:hAnsi="Book Antiqua"/>
            <w:noProof/>
            <w:sz w:val="24"/>
            <w:szCs w:val="24"/>
          </w:rPr>
          <w:fldChar w:fldCharType="end"/>
        </w:r>
      </w:p>
    </w:sdtContent>
  </w:sdt>
  <w:p w14:paraId="3B8206FF" w14:textId="76B457FF" w:rsidR="00E312A7" w:rsidRPr="00E61CD3" w:rsidRDefault="00E312A7" w:rsidP="00E61CD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847809F" w14:textId="77777777" w:rsidR="00D23E50" w:rsidRDefault="00D23E50">
      <w:pPr>
        <w:spacing w:after="0" w:line="240" w:lineRule="auto"/>
      </w:pPr>
      <w:r>
        <w:separator/>
      </w:r>
    </w:p>
  </w:footnote>
  <w:footnote w:type="continuationSeparator" w:id="0">
    <w:p w14:paraId="61DC8938" w14:textId="77777777" w:rsidR="00D23E50" w:rsidRDefault="00D23E5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D629656" w14:textId="5113F4DA" w:rsidR="00E61CD3" w:rsidRDefault="00E61CD3">
    <w:pPr>
      <w:pStyle w:val="Header"/>
    </w:pPr>
  </w:p>
  <w:p w14:paraId="7F560A1B" w14:textId="77777777" w:rsidR="006B2162" w:rsidRDefault="006B2162">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CC15DD3"/>
    <w:multiLevelType w:val="hybridMultilevel"/>
    <w:tmpl w:val="8940D978"/>
    <w:lvl w:ilvl="0" w:tplc="04090001">
      <w:start w:val="1"/>
      <w:numFmt w:val="bullet"/>
      <w:lvlText w:val=""/>
      <w:lvlJc w:val="left"/>
      <w:pPr>
        <w:ind w:left="1068" w:hanging="360"/>
      </w:pPr>
      <w:rPr>
        <w:rFonts w:ascii="Symbol" w:hAnsi="Symbol" w:hint="default"/>
      </w:rPr>
    </w:lvl>
    <w:lvl w:ilvl="1" w:tplc="04090003" w:tentative="1">
      <w:start w:val="1"/>
      <w:numFmt w:val="bullet"/>
      <w:lvlText w:val="o"/>
      <w:lvlJc w:val="left"/>
      <w:pPr>
        <w:ind w:left="1788" w:hanging="360"/>
      </w:pPr>
      <w:rPr>
        <w:rFonts w:ascii="Courier New" w:hAnsi="Courier New" w:cs="Courier New" w:hint="default"/>
      </w:rPr>
    </w:lvl>
    <w:lvl w:ilvl="2" w:tplc="04090005" w:tentative="1">
      <w:start w:val="1"/>
      <w:numFmt w:val="bullet"/>
      <w:lvlText w:val=""/>
      <w:lvlJc w:val="left"/>
      <w:pPr>
        <w:ind w:left="2508" w:hanging="360"/>
      </w:pPr>
      <w:rPr>
        <w:rFonts w:ascii="Wingdings" w:hAnsi="Wingdings" w:hint="default"/>
      </w:rPr>
    </w:lvl>
    <w:lvl w:ilvl="3" w:tplc="04090001" w:tentative="1">
      <w:start w:val="1"/>
      <w:numFmt w:val="bullet"/>
      <w:lvlText w:val=""/>
      <w:lvlJc w:val="left"/>
      <w:pPr>
        <w:ind w:left="3228" w:hanging="360"/>
      </w:pPr>
      <w:rPr>
        <w:rFonts w:ascii="Symbol" w:hAnsi="Symbol" w:hint="default"/>
      </w:rPr>
    </w:lvl>
    <w:lvl w:ilvl="4" w:tplc="04090003" w:tentative="1">
      <w:start w:val="1"/>
      <w:numFmt w:val="bullet"/>
      <w:lvlText w:val="o"/>
      <w:lvlJc w:val="left"/>
      <w:pPr>
        <w:ind w:left="3948" w:hanging="360"/>
      </w:pPr>
      <w:rPr>
        <w:rFonts w:ascii="Courier New" w:hAnsi="Courier New" w:cs="Courier New" w:hint="default"/>
      </w:rPr>
    </w:lvl>
    <w:lvl w:ilvl="5" w:tplc="04090005" w:tentative="1">
      <w:start w:val="1"/>
      <w:numFmt w:val="bullet"/>
      <w:lvlText w:val=""/>
      <w:lvlJc w:val="left"/>
      <w:pPr>
        <w:ind w:left="4668" w:hanging="360"/>
      </w:pPr>
      <w:rPr>
        <w:rFonts w:ascii="Wingdings" w:hAnsi="Wingdings" w:hint="default"/>
      </w:rPr>
    </w:lvl>
    <w:lvl w:ilvl="6" w:tplc="04090001" w:tentative="1">
      <w:start w:val="1"/>
      <w:numFmt w:val="bullet"/>
      <w:lvlText w:val=""/>
      <w:lvlJc w:val="left"/>
      <w:pPr>
        <w:ind w:left="5388" w:hanging="360"/>
      </w:pPr>
      <w:rPr>
        <w:rFonts w:ascii="Symbol" w:hAnsi="Symbol" w:hint="default"/>
      </w:rPr>
    </w:lvl>
    <w:lvl w:ilvl="7" w:tplc="04090003" w:tentative="1">
      <w:start w:val="1"/>
      <w:numFmt w:val="bullet"/>
      <w:lvlText w:val="o"/>
      <w:lvlJc w:val="left"/>
      <w:pPr>
        <w:ind w:left="6108" w:hanging="360"/>
      </w:pPr>
      <w:rPr>
        <w:rFonts w:ascii="Courier New" w:hAnsi="Courier New" w:cs="Courier New" w:hint="default"/>
      </w:rPr>
    </w:lvl>
    <w:lvl w:ilvl="8" w:tplc="04090005" w:tentative="1">
      <w:start w:val="1"/>
      <w:numFmt w:val="bullet"/>
      <w:lvlText w:val=""/>
      <w:lvlJc w:val="left"/>
      <w:pPr>
        <w:ind w:left="6828" w:hanging="360"/>
      </w:pPr>
      <w:rPr>
        <w:rFonts w:ascii="Wingdings" w:hAnsi="Wingdings" w:hint="default"/>
      </w:rPr>
    </w:lvl>
  </w:abstractNum>
  <w:abstractNum w:abstractNumId="1" w15:restartNumberingAfterBreak="0">
    <w:nsid w:val="1D0B5E63"/>
    <w:multiLevelType w:val="hybridMultilevel"/>
    <w:tmpl w:val="5A12009A"/>
    <w:lvl w:ilvl="0" w:tplc="2B2EDEC8">
      <w:start w:val="1"/>
      <w:numFmt w:val="upperLetter"/>
      <w:lvlText w:val="%1."/>
      <w:lvlJc w:val="left"/>
      <w:pPr>
        <w:ind w:left="1083" w:hanging="375"/>
      </w:pPr>
      <w:rPr>
        <w:rFonts w:hint="default"/>
      </w:rPr>
    </w:lvl>
    <w:lvl w:ilvl="1" w:tplc="04090019" w:tentative="1">
      <w:start w:val="1"/>
      <w:numFmt w:val="lowerLetter"/>
      <w:lvlText w:val="%2."/>
      <w:lvlJc w:val="left"/>
      <w:pPr>
        <w:ind w:left="1788" w:hanging="360"/>
      </w:pPr>
    </w:lvl>
    <w:lvl w:ilvl="2" w:tplc="0409001B" w:tentative="1">
      <w:start w:val="1"/>
      <w:numFmt w:val="lowerRoman"/>
      <w:lvlText w:val="%3."/>
      <w:lvlJc w:val="right"/>
      <w:pPr>
        <w:ind w:left="2508" w:hanging="180"/>
      </w:pPr>
    </w:lvl>
    <w:lvl w:ilvl="3" w:tplc="0409000F" w:tentative="1">
      <w:start w:val="1"/>
      <w:numFmt w:val="decimal"/>
      <w:lvlText w:val="%4."/>
      <w:lvlJc w:val="left"/>
      <w:pPr>
        <w:ind w:left="3228" w:hanging="360"/>
      </w:pPr>
    </w:lvl>
    <w:lvl w:ilvl="4" w:tplc="04090019" w:tentative="1">
      <w:start w:val="1"/>
      <w:numFmt w:val="lowerLetter"/>
      <w:lvlText w:val="%5."/>
      <w:lvlJc w:val="left"/>
      <w:pPr>
        <w:ind w:left="3948" w:hanging="360"/>
      </w:pPr>
    </w:lvl>
    <w:lvl w:ilvl="5" w:tplc="0409001B" w:tentative="1">
      <w:start w:val="1"/>
      <w:numFmt w:val="lowerRoman"/>
      <w:lvlText w:val="%6."/>
      <w:lvlJc w:val="right"/>
      <w:pPr>
        <w:ind w:left="4668" w:hanging="180"/>
      </w:pPr>
    </w:lvl>
    <w:lvl w:ilvl="6" w:tplc="0409000F" w:tentative="1">
      <w:start w:val="1"/>
      <w:numFmt w:val="decimal"/>
      <w:lvlText w:val="%7."/>
      <w:lvlJc w:val="left"/>
      <w:pPr>
        <w:ind w:left="5388" w:hanging="360"/>
      </w:pPr>
    </w:lvl>
    <w:lvl w:ilvl="7" w:tplc="04090019" w:tentative="1">
      <w:start w:val="1"/>
      <w:numFmt w:val="lowerLetter"/>
      <w:lvlText w:val="%8."/>
      <w:lvlJc w:val="left"/>
      <w:pPr>
        <w:ind w:left="6108" w:hanging="360"/>
      </w:pPr>
    </w:lvl>
    <w:lvl w:ilvl="8" w:tplc="0409001B" w:tentative="1">
      <w:start w:val="1"/>
      <w:numFmt w:val="lowerRoman"/>
      <w:lvlText w:val="%9."/>
      <w:lvlJc w:val="right"/>
      <w:pPr>
        <w:ind w:left="6828" w:hanging="180"/>
      </w:pPr>
    </w:lvl>
  </w:abstractNum>
  <w:abstractNum w:abstractNumId="2" w15:restartNumberingAfterBreak="0">
    <w:nsid w:val="2AF41D01"/>
    <w:multiLevelType w:val="hybridMultilevel"/>
    <w:tmpl w:val="4928F4B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2F3072A9"/>
    <w:multiLevelType w:val="hybridMultilevel"/>
    <w:tmpl w:val="0CE03EFC"/>
    <w:lvl w:ilvl="0" w:tplc="500A0001">
      <w:start w:val="1"/>
      <w:numFmt w:val="bullet"/>
      <w:lvlText w:val=""/>
      <w:lvlJc w:val="left"/>
      <w:pPr>
        <w:ind w:left="1428" w:hanging="360"/>
      </w:pPr>
      <w:rPr>
        <w:rFonts w:ascii="Symbol" w:hAnsi="Symbol" w:hint="default"/>
      </w:rPr>
    </w:lvl>
    <w:lvl w:ilvl="1" w:tplc="500A0003" w:tentative="1">
      <w:start w:val="1"/>
      <w:numFmt w:val="bullet"/>
      <w:lvlText w:val="o"/>
      <w:lvlJc w:val="left"/>
      <w:pPr>
        <w:ind w:left="2148" w:hanging="360"/>
      </w:pPr>
      <w:rPr>
        <w:rFonts w:ascii="Courier New" w:hAnsi="Courier New" w:cs="Courier New" w:hint="default"/>
      </w:rPr>
    </w:lvl>
    <w:lvl w:ilvl="2" w:tplc="500A0005" w:tentative="1">
      <w:start w:val="1"/>
      <w:numFmt w:val="bullet"/>
      <w:lvlText w:val=""/>
      <w:lvlJc w:val="left"/>
      <w:pPr>
        <w:ind w:left="2868" w:hanging="360"/>
      </w:pPr>
      <w:rPr>
        <w:rFonts w:ascii="Wingdings" w:hAnsi="Wingdings" w:hint="default"/>
      </w:rPr>
    </w:lvl>
    <w:lvl w:ilvl="3" w:tplc="500A0001" w:tentative="1">
      <w:start w:val="1"/>
      <w:numFmt w:val="bullet"/>
      <w:lvlText w:val=""/>
      <w:lvlJc w:val="left"/>
      <w:pPr>
        <w:ind w:left="3588" w:hanging="360"/>
      </w:pPr>
      <w:rPr>
        <w:rFonts w:ascii="Symbol" w:hAnsi="Symbol" w:hint="default"/>
      </w:rPr>
    </w:lvl>
    <w:lvl w:ilvl="4" w:tplc="500A0003" w:tentative="1">
      <w:start w:val="1"/>
      <w:numFmt w:val="bullet"/>
      <w:lvlText w:val="o"/>
      <w:lvlJc w:val="left"/>
      <w:pPr>
        <w:ind w:left="4308" w:hanging="360"/>
      </w:pPr>
      <w:rPr>
        <w:rFonts w:ascii="Courier New" w:hAnsi="Courier New" w:cs="Courier New" w:hint="default"/>
      </w:rPr>
    </w:lvl>
    <w:lvl w:ilvl="5" w:tplc="500A0005" w:tentative="1">
      <w:start w:val="1"/>
      <w:numFmt w:val="bullet"/>
      <w:lvlText w:val=""/>
      <w:lvlJc w:val="left"/>
      <w:pPr>
        <w:ind w:left="5028" w:hanging="360"/>
      </w:pPr>
      <w:rPr>
        <w:rFonts w:ascii="Wingdings" w:hAnsi="Wingdings" w:hint="default"/>
      </w:rPr>
    </w:lvl>
    <w:lvl w:ilvl="6" w:tplc="500A0001" w:tentative="1">
      <w:start w:val="1"/>
      <w:numFmt w:val="bullet"/>
      <w:lvlText w:val=""/>
      <w:lvlJc w:val="left"/>
      <w:pPr>
        <w:ind w:left="5748" w:hanging="360"/>
      </w:pPr>
      <w:rPr>
        <w:rFonts w:ascii="Symbol" w:hAnsi="Symbol" w:hint="default"/>
      </w:rPr>
    </w:lvl>
    <w:lvl w:ilvl="7" w:tplc="500A0003" w:tentative="1">
      <w:start w:val="1"/>
      <w:numFmt w:val="bullet"/>
      <w:lvlText w:val="o"/>
      <w:lvlJc w:val="left"/>
      <w:pPr>
        <w:ind w:left="6468" w:hanging="360"/>
      </w:pPr>
      <w:rPr>
        <w:rFonts w:ascii="Courier New" w:hAnsi="Courier New" w:cs="Courier New" w:hint="default"/>
      </w:rPr>
    </w:lvl>
    <w:lvl w:ilvl="8" w:tplc="500A0005" w:tentative="1">
      <w:start w:val="1"/>
      <w:numFmt w:val="bullet"/>
      <w:lvlText w:val=""/>
      <w:lvlJc w:val="left"/>
      <w:pPr>
        <w:ind w:left="7188" w:hanging="360"/>
      </w:pPr>
      <w:rPr>
        <w:rFonts w:ascii="Wingdings" w:hAnsi="Wingdings" w:hint="default"/>
      </w:rPr>
    </w:lvl>
  </w:abstractNum>
  <w:abstractNum w:abstractNumId="4" w15:restartNumberingAfterBreak="0">
    <w:nsid w:val="47E5658C"/>
    <w:multiLevelType w:val="hybridMultilevel"/>
    <w:tmpl w:val="28ACB586"/>
    <w:lvl w:ilvl="0" w:tplc="64D80CFC">
      <w:start w:val="1"/>
      <w:numFmt w:val="decimal"/>
      <w:lvlText w:val="%1."/>
      <w:lvlJc w:val="left"/>
      <w:pPr>
        <w:ind w:left="720" w:hanging="360"/>
      </w:pPr>
      <w:rPr>
        <w:rFonts w:ascii="Book Antiqua" w:hAnsi="Book Antiqua" w:hint="default"/>
        <w:sz w:val="24"/>
        <w:szCs w:val="24"/>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 w15:restartNumberingAfterBreak="0">
    <w:nsid w:val="5E6F2451"/>
    <w:multiLevelType w:val="hybridMultilevel"/>
    <w:tmpl w:val="DF821DB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67491624"/>
    <w:multiLevelType w:val="multilevel"/>
    <w:tmpl w:val="1FD200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7B344AB3"/>
    <w:multiLevelType w:val="hybridMultilevel"/>
    <w:tmpl w:val="D584E67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7D1156F9"/>
    <w:multiLevelType w:val="hybridMultilevel"/>
    <w:tmpl w:val="C0762130"/>
    <w:lvl w:ilvl="0" w:tplc="500A0001">
      <w:start w:val="1"/>
      <w:numFmt w:val="bullet"/>
      <w:lvlText w:val=""/>
      <w:lvlJc w:val="left"/>
      <w:pPr>
        <w:ind w:left="1428" w:hanging="360"/>
      </w:pPr>
      <w:rPr>
        <w:rFonts w:ascii="Symbol" w:hAnsi="Symbol" w:hint="default"/>
      </w:rPr>
    </w:lvl>
    <w:lvl w:ilvl="1" w:tplc="500A0003" w:tentative="1">
      <w:start w:val="1"/>
      <w:numFmt w:val="bullet"/>
      <w:lvlText w:val="o"/>
      <w:lvlJc w:val="left"/>
      <w:pPr>
        <w:ind w:left="2148" w:hanging="360"/>
      </w:pPr>
      <w:rPr>
        <w:rFonts w:ascii="Courier New" w:hAnsi="Courier New" w:cs="Courier New" w:hint="default"/>
      </w:rPr>
    </w:lvl>
    <w:lvl w:ilvl="2" w:tplc="500A0005" w:tentative="1">
      <w:start w:val="1"/>
      <w:numFmt w:val="bullet"/>
      <w:lvlText w:val=""/>
      <w:lvlJc w:val="left"/>
      <w:pPr>
        <w:ind w:left="2868" w:hanging="360"/>
      </w:pPr>
      <w:rPr>
        <w:rFonts w:ascii="Wingdings" w:hAnsi="Wingdings" w:hint="default"/>
      </w:rPr>
    </w:lvl>
    <w:lvl w:ilvl="3" w:tplc="500A0001" w:tentative="1">
      <w:start w:val="1"/>
      <w:numFmt w:val="bullet"/>
      <w:lvlText w:val=""/>
      <w:lvlJc w:val="left"/>
      <w:pPr>
        <w:ind w:left="3588" w:hanging="360"/>
      </w:pPr>
      <w:rPr>
        <w:rFonts w:ascii="Symbol" w:hAnsi="Symbol" w:hint="default"/>
      </w:rPr>
    </w:lvl>
    <w:lvl w:ilvl="4" w:tplc="500A0003" w:tentative="1">
      <w:start w:val="1"/>
      <w:numFmt w:val="bullet"/>
      <w:lvlText w:val="o"/>
      <w:lvlJc w:val="left"/>
      <w:pPr>
        <w:ind w:left="4308" w:hanging="360"/>
      </w:pPr>
      <w:rPr>
        <w:rFonts w:ascii="Courier New" w:hAnsi="Courier New" w:cs="Courier New" w:hint="default"/>
      </w:rPr>
    </w:lvl>
    <w:lvl w:ilvl="5" w:tplc="500A0005" w:tentative="1">
      <w:start w:val="1"/>
      <w:numFmt w:val="bullet"/>
      <w:lvlText w:val=""/>
      <w:lvlJc w:val="left"/>
      <w:pPr>
        <w:ind w:left="5028" w:hanging="360"/>
      </w:pPr>
      <w:rPr>
        <w:rFonts w:ascii="Wingdings" w:hAnsi="Wingdings" w:hint="default"/>
      </w:rPr>
    </w:lvl>
    <w:lvl w:ilvl="6" w:tplc="500A0001" w:tentative="1">
      <w:start w:val="1"/>
      <w:numFmt w:val="bullet"/>
      <w:lvlText w:val=""/>
      <w:lvlJc w:val="left"/>
      <w:pPr>
        <w:ind w:left="5748" w:hanging="360"/>
      </w:pPr>
      <w:rPr>
        <w:rFonts w:ascii="Symbol" w:hAnsi="Symbol" w:hint="default"/>
      </w:rPr>
    </w:lvl>
    <w:lvl w:ilvl="7" w:tplc="500A0003" w:tentative="1">
      <w:start w:val="1"/>
      <w:numFmt w:val="bullet"/>
      <w:lvlText w:val="o"/>
      <w:lvlJc w:val="left"/>
      <w:pPr>
        <w:ind w:left="6468" w:hanging="360"/>
      </w:pPr>
      <w:rPr>
        <w:rFonts w:ascii="Courier New" w:hAnsi="Courier New" w:cs="Courier New" w:hint="default"/>
      </w:rPr>
    </w:lvl>
    <w:lvl w:ilvl="8" w:tplc="500A0005" w:tentative="1">
      <w:start w:val="1"/>
      <w:numFmt w:val="bullet"/>
      <w:lvlText w:val=""/>
      <w:lvlJc w:val="left"/>
      <w:pPr>
        <w:ind w:left="7188" w:hanging="360"/>
      </w:pPr>
      <w:rPr>
        <w:rFonts w:ascii="Wingdings" w:hAnsi="Wingdings" w:hint="default"/>
      </w:rPr>
    </w:lvl>
  </w:abstractNum>
  <w:num w:numId="1" w16cid:durableId="333727895">
    <w:abstractNumId w:val="5"/>
  </w:num>
  <w:num w:numId="2" w16cid:durableId="1720125807">
    <w:abstractNumId w:val="2"/>
  </w:num>
  <w:num w:numId="3" w16cid:durableId="1790273019">
    <w:abstractNumId w:val="0"/>
  </w:num>
  <w:num w:numId="4" w16cid:durableId="1306200604">
    <w:abstractNumId w:val="7"/>
  </w:num>
  <w:num w:numId="5" w16cid:durableId="1245529589">
    <w:abstractNumId w:val="8"/>
  </w:num>
  <w:num w:numId="6" w16cid:durableId="1534997915">
    <w:abstractNumId w:val="3"/>
  </w:num>
  <w:num w:numId="7" w16cid:durableId="2075156884">
    <w:abstractNumId w:val="6"/>
  </w:num>
  <w:num w:numId="8" w16cid:durableId="1744060178">
    <w:abstractNumId w:val="4"/>
  </w:num>
  <w:num w:numId="9" w16cid:durableId="96693034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573CC"/>
    <w:rsid w:val="00001581"/>
    <w:rsid w:val="000041D4"/>
    <w:rsid w:val="0000466E"/>
    <w:rsid w:val="0001121F"/>
    <w:rsid w:val="000138A6"/>
    <w:rsid w:val="00015F9B"/>
    <w:rsid w:val="00024810"/>
    <w:rsid w:val="00027265"/>
    <w:rsid w:val="000304B5"/>
    <w:rsid w:val="00030C48"/>
    <w:rsid w:val="00032057"/>
    <w:rsid w:val="00033062"/>
    <w:rsid w:val="00033FC1"/>
    <w:rsid w:val="00040CD9"/>
    <w:rsid w:val="00043133"/>
    <w:rsid w:val="000440AF"/>
    <w:rsid w:val="00046AD3"/>
    <w:rsid w:val="00047827"/>
    <w:rsid w:val="000501BB"/>
    <w:rsid w:val="00050EA2"/>
    <w:rsid w:val="000528F7"/>
    <w:rsid w:val="00054245"/>
    <w:rsid w:val="000557CE"/>
    <w:rsid w:val="00061727"/>
    <w:rsid w:val="00070369"/>
    <w:rsid w:val="000715FD"/>
    <w:rsid w:val="00072D4D"/>
    <w:rsid w:val="0007625A"/>
    <w:rsid w:val="00077647"/>
    <w:rsid w:val="00077928"/>
    <w:rsid w:val="00077F3C"/>
    <w:rsid w:val="00081C3A"/>
    <w:rsid w:val="0008620F"/>
    <w:rsid w:val="00087891"/>
    <w:rsid w:val="0009177F"/>
    <w:rsid w:val="000951EB"/>
    <w:rsid w:val="00095F53"/>
    <w:rsid w:val="00096594"/>
    <w:rsid w:val="000972B3"/>
    <w:rsid w:val="000979F6"/>
    <w:rsid w:val="000B1223"/>
    <w:rsid w:val="000B36E9"/>
    <w:rsid w:val="000C1605"/>
    <w:rsid w:val="000C3EA7"/>
    <w:rsid w:val="000C7CE0"/>
    <w:rsid w:val="000C7E6D"/>
    <w:rsid w:val="000D2AC7"/>
    <w:rsid w:val="000D3F03"/>
    <w:rsid w:val="000D545A"/>
    <w:rsid w:val="000E0BD2"/>
    <w:rsid w:val="000E482D"/>
    <w:rsid w:val="000F35F9"/>
    <w:rsid w:val="000F4458"/>
    <w:rsid w:val="000F4F58"/>
    <w:rsid w:val="00102AA1"/>
    <w:rsid w:val="00103B0F"/>
    <w:rsid w:val="00104CFC"/>
    <w:rsid w:val="001053AD"/>
    <w:rsid w:val="001063D6"/>
    <w:rsid w:val="00106C0D"/>
    <w:rsid w:val="001077EE"/>
    <w:rsid w:val="00111ED1"/>
    <w:rsid w:val="001137CE"/>
    <w:rsid w:val="00120660"/>
    <w:rsid w:val="001238A4"/>
    <w:rsid w:val="0012509B"/>
    <w:rsid w:val="00125E9E"/>
    <w:rsid w:val="001270C2"/>
    <w:rsid w:val="00130254"/>
    <w:rsid w:val="0013625F"/>
    <w:rsid w:val="00137580"/>
    <w:rsid w:val="001405B2"/>
    <w:rsid w:val="0014330E"/>
    <w:rsid w:val="00143F0F"/>
    <w:rsid w:val="001455BF"/>
    <w:rsid w:val="00146D4D"/>
    <w:rsid w:val="00150082"/>
    <w:rsid w:val="001517EC"/>
    <w:rsid w:val="00155ADA"/>
    <w:rsid w:val="00161BD8"/>
    <w:rsid w:val="00162B7C"/>
    <w:rsid w:val="00162EEE"/>
    <w:rsid w:val="00166898"/>
    <w:rsid w:val="00173786"/>
    <w:rsid w:val="00173789"/>
    <w:rsid w:val="00173C3B"/>
    <w:rsid w:val="0017453A"/>
    <w:rsid w:val="00176029"/>
    <w:rsid w:val="00181CB2"/>
    <w:rsid w:val="0018253F"/>
    <w:rsid w:val="00184CE1"/>
    <w:rsid w:val="00186ECD"/>
    <w:rsid w:val="00190897"/>
    <w:rsid w:val="00190F5A"/>
    <w:rsid w:val="00192CD8"/>
    <w:rsid w:val="00192EC2"/>
    <w:rsid w:val="00193B05"/>
    <w:rsid w:val="00194554"/>
    <w:rsid w:val="00196783"/>
    <w:rsid w:val="001A16E7"/>
    <w:rsid w:val="001A180C"/>
    <w:rsid w:val="001A4412"/>
    <w:rsid w:val="001A69BF"/>
    <w:rsid w:val="001B3DA8"/>
    <w:rsid w:val="001C545F"/>
    <w:rsid w:val="001D14F7"/>
    <w:rsid w:val="001D2F9B"/>
    <w:rsid w:val="001D389A"/>
    <w:rsid w:val="001D4D02"/>
    <w:rsid w:val="001D7207"/>
    <w:rsid w:val="001E0CA1"/>
    <w:rsid w:val="001E470C"/>
    <w:rsid w:val="001F2597"/>
    <w:rsid w:val="001F3658"/>
    <w:rsid w:val="001F4FC8"/>
    <w:rsid w:val="001F5D16"/>
    <w:rsid w:val="001F7FF3"/>
    <w:rsid w:val="00200CB5"/>
    <w:rsid w:val="00202FB4"/>
    <w:rsid w:val="00206E5D"/>
    <w:rsid w:val="0021097F"/>
    <w:rsid w:val="00212E19"/>
    <w:rsid w:val="00212E24"/>
    <w:rsid w:val="00212EA5"/>
    <w:rsid w:val="00213881"/>
    <w:rsid w:val="00214247"/>
    <w:rsid w:val="002145F9"/>
    <w:rsid w:val="00215857"/>
    <w:rsid w:val="00221E9B"/>
    <w:rsid w:val="00224B34"/>
    <w:rsid w:val="002258E0"/>
    <w:rsid w:val="00230B5D"/>
    <w:rsid w:val="00235BAF"/>
    <w:rsid w:val="00235FFD"/>
    <w:rsid w:val="00237525"/>
    <w:rsid w:val="00241400"/>
    <w:rsid w:val="00244846"/>
    <w:rsid w:val="00245797"/>
    <w:rsid w:val="00245DBA"/>
    <w:rsid w:val="002467DA"/>
    <w:rsid w:val="00247116"/>
    <w:rsid w:val="00252895"/>
    <w:rsid w:val="00252EE9"/>
    <w:rsid w:val="00255D6D"/>
    <w:rsid w:val="00256B0A"/>
    <w:rsid w:val="002573CC"/>
    <w:rsid w:val="0026083D"/>
    <w:rsid w:val="00261797"/>
    <w:rsid w:val="002652AA"/>
    <w:rsid w:val="002678A6"/>
    <w:rsid w:val="00270095"/>
    <w:rsid w:val="002717EB"/>
    <w:rsid w:val="00272578"/>
    <w:rsid w:val="00273929"/>
    <w:rsid w:val="0027486C"/>
    <w:rsid w:val="00274930"/>
    <w:rsid w:val="00282759"/>
    <w:rsid w:val="00283E60"/>
    <w:rsid w:val="002870D2"/>
    <w:rsid w:val="00292014"/>
    <w:rsid w:val="0029577C"/>
    <w:rsid w:val="00295BA6"/>
    <w:rsid w:val="00297EA4"/>
    <w:rsid w:val="002A0DB8"/>
    <w:rsid w:val="002A194D"/>
    <w:rsid w:val="002A2950"/>
    <w:rsid w:val="002A3297"/>
    <w:rsid w:val="002A3690"/>
    <w:rsid w:val="002A6306"/>
    <w:rsid w:val="002A6F2C"/>
    <w:rsid w:val="002A78E9"/>
    <w:rsid w:val="002B2BE1"/>
    <w:rsid w:val="002B7370"/>
    <w:rsid w:val="002C22FF"/>
    <w:rsid w:val="002C3015"/>
    <w:rsid w:val="002C42AD"/>
    <w:rsid w:val="002C6B44"/>
    <w:rsid w:val="002C73CA"/>
    <w:rsid w:val="002D0A0E"/>
    <w:rsid w:val="002D6515"/>
    <w:rsid w:val="002D7B2D"/>
    <w:rsid w:val="002E2B75"/>
    <w:rsid w:val="002E62D4"/>
    <w:rsid w:val="002F0927"/>
    <w:rsid w:val="002F157C"/>
    <w:rsid w:val="002F68BB"/>
    <w:rsid w:val="002F6B43"/>
    <w:rsid w:val="00300596"/>
    <w:rsid w:val="00301E80"/>
    <w:rsid w:val="00303634"/>
    <w:rsid w:val="003103B7"/>
    <w:rsid w:val="00310CEA"/>
    <w:rsid w:val="003120C6"/>
    <w:rsid w:val="0031489C"/>
    <w:rsid w:val="003149FF"/>
    <w:rsid w:val="003200E7"/>
    <w:rsid w:val="0032169C"/>
    <w:rsid w:val="003252AF"/>
    <w:rsid w:val="00326917"/>
    <w:rsid w:val="00327B06"/>
    <w:rsid w:val="00337254"/>
    <w:rsid w:val="0034195A"/>
    <w:rsid w:val="003433C6"/>
    <w:rsid w:val="003447F8"/>
    <w:rsid w:val="0034480B"/>
    <w:rsid w:val="00346767"/>
    <w:rsid w:val="003516CE"/>
    <w:rsid w:val="00355A44"/>
    <w:rsid w:val="0036067A"/>
    <w:rsid w:val="0036432A"/>
    <w:rsid w:val="00371123"/>
    <w:rsid w:val="00372995"/>
    <w:rsid w:val="0038019B"/>
    <w:rsid w:val="003812C6"/>
    <w:rsid w:val="003838BC"/>
    <w:rsid w:val="00383B9C"/>
    <w:rsid w:val="00384E1F"/>
    <w:rsid w:val="00385298"/>
    <w:rsid w:val="00396185"/>
    <w:rsid w:val="003A097D"/>
    <w:rsid w:val="003A0C4F"/>
    <w:rsid w:val="003A38EE"/>
    <w:rsid w:val="003A58D9"/>
    <w:rsid w:val="003B23A6"/>
    <w:rsid w:val="003C0DFF"/>
    <w:rsid w:val="003C7251"/>
    <w:rsid w:val="003C7A85"/>
    <w:rsid w:val="003D0317"/>
    <w:rsid w:val="003D073C"/>
    <w:rsid w:val="003D2341"/>
    <w:rsid w:val="003D46CA"/>
    <w:rsid w:val="003E12EB"/>
    <w:rsid w:val="003E5E3C"/>
    <w:rsid w:val="003F2FB5"/>
    <w:rsid w:val="003F5D18"/>
    <w:rsid w:val="00402BF3"/>
    <w:rsid w:val="00407430"/>
    <w:rsid w:val="00410E87"/>
    <w:rsid w:val="004113B1"/>
    <w:rsid w:val="00412348"/>
    <w:rsid w:val="00416DD1"/>
    <w:rsid w:val="00416F11"/>
    <w:rsid w:val="00420BB6"/>
    <w:rsid w:val="00422688"/>
    <w:rsid w:val="00423C4B"/>
    <w:rsid w:val="0042540A"/>
    <w:rsid w:val="00426402"/>
    <w:rsid w:val="004273A1"/>
    <w:rsid w:val="00435685"/>
    <w:rsid w:val="0043681A"/>
    <w:rsid w:val="00436EE3"/>
    <w:rsid w:val="004414AA"/>
    <w:rsid w:val="00443A68"/>
    <w:rsid w:val="004444E0"/>
    <w:rsid w:val="00447CEA"/>
    <w:rsid w:val="00453020"/>
    <w:rsid w:val="00453C29"/>
    <w:rsid w:val="004620B0"/>
    <w:rsid w:val="004629E3"/>
    <w:rsid w:val="00464C89"/>
    <w:rsid w:val="00465917"/>
    <w:rsid w:val="00470B60"/>
    <w:rsid w:val="004719A0"/>
    <w:rsid w:val="00472407"/>
    <w:rsid w:val="00473301"/>
    <w:rsid w:val="00477BA6"/>
    <w:rsid w:val="00483232"/>
    <w:rsid w:val="00484FDB"/>
    <w:rsid w:val="0048501F"/>
    <w:rsid w:val="004907D6"/>
    <w:rsid w:val="00490DD4"/>
    <w:rsid w:val="00494793"/>
    <w:rsid w:val="004957A7"/>
    <w:rsid w:val="00495B19"/>
    <w:rsid w:val="004A20B4"/>
    <w:rsid w:val="004A31A4"/>
    <w:rsid w:val="004B152F"/>
    <w:rsid w:val="004B1A7A"/>
    <w:rsid w:val="004B3E8B"/>
    <w:rsid w:val="004B6FEF"/>
    <w:rsid w:val="004C4B22"/>
    <w:rsid w:val="004D0416"/>
    <w:rsid w:val="004D3E3D"/>
    <w:rsid w:val="004D3EA0"/>
    <w:rsid w:val="004D4508"/>
    <w:rsid w:val="004D78D7"/>
    <w:rsid w:val="004E11F5"/>
    <w:rsid w:val="004F4F61"/>
    <w:rsid w:val="004F7F3D"/>
    <w:rsid w:val="00501D51"/>
    <w:rsid w:val="005021E4"/>
    <w:rsid w:val="00502B33"/>
    <w:rsid w:val="00503E24"/>
    <w:rsid w:val="005040E5"/>
    <w:rsid w:val="00505FAA"/>
    <w:rsid w:val="00511D07"/>
    <w:rsid w:val="00515D42"/>
    <w:rsid w:val="005175D1"/>
    <w:rsid w:val="00517A21"/>
    <w:rsid w:val="005209A8"/>
    <w:rsid w:val="005213F5"/>
    <w:rsid w:val="00533BD0"/>
    <w:rsid w:val="005355E3"/>
    <w:rsid w:val="005375B1"/>
    <w:rsid w:val="00541BB4"/>
    <w:rsid w:val="00543AB8"/>
    <w:rsid w:val="00544934"/>
    <w:rsid w:val="005456AC"/>
    <w:rsid w:val="00547C7B"/>
    <w:rsid w:val="00550A66"/>
    <w:rsid w:val="0055155D"/>
    <w:rsid w:val="0055203D"/>
    <w:rsid w:val="0055318E"/>
    <w:rsid w:val="005531EA"/>
    <w:rsid w:val="005536DA"/>
    <w:rsid w:val="00556393"/>
    <w:rsid w:val="00560A4F"/>
    <w:rsid w:val="005619B6"/>
    <w:rsid w:val="00562611"/>
    <w:rsid w:val="005710A1"/>
    <w:rsid w:val="00572714"/>
    <w:rsid w:val="00574113"/>
    <w:rsid w:val="00581B96"/>
    <w:rsid w:val="00582DD2"/>
    <w:rsid w:val="00584073"/>
    <w:rsid w:val="00590739"/>
    <w:rsid w:val="00592490"/>
    <w:rsid w:val="005A274B"/>
    <w:rsid w:val="005B1B82"/>
    <w:rsid w:val="005B3191"/>
    <w:rsid w:val="005B5550"/>
    <w:rsid w:val="005C3D8C"/>
    <w:rsid w:val="005C4A27"/>
    <w:rsid w:val="005C6530"/>
    <w:rsid w:val="005D2E15"/>
    <w:rsid w:val="005D5249"/>
    <w:rsid w:val="005D75ED"/>
    <w:rsid w:val="005E0BB6"/>
    <w:rsid w:val="005E3483"/>
    <w:rsid w:val="005E3939"/>
    <w:rsid w:val="005E667D"/>
    <w:rsid w:val="005F3AF8"/>
    <w:rsid w:val="005F7EEF"/>
    <w:rsid w:val="006020B9"/>
    <w:rsid w:val="00603D70"/>
    <w:rsid w:val="00604D73"/>
    <w:rsid w:val="00605FC5"/>
    <w:rsid w:val="00606D78"/>
    <w:rsid w:val="00612BDA"/>
    <w:rsid w:val="00616830"/>
    <w:rsid w:val="00616A32"/>
    <w:rsid w:val="00620F0B"/>
    <w:rsid w:val="00622332"/>
    <w:rsid w:val="00622E2B"/>
    <w:rsid w:val="00624403"/>
    <w:rsid w:val="006271A3"/>
    <w:rsid w:val="00632461"/>
    <w:rsid w:val="0063442C"/>
    <w:rsid w:val="006351CD"/>
    <w:rsid w:val="0063693D"/>
    <w:rsid w:val="00640E7A"/>
    <w:rsid w:val="006416BA"/>
    <w:rsid w:val="006471A0"/>
    <w:rsid w:val="00651434"/>
    <w:rsid w:val="00651B48"/>
    <w:rsid w:val="006560AF"/>
    <w:rsid w:val="006574EC"/>
    <w:rsid w:val="0066650A"/>
    <w:rsid w:val="0067067D"/>
    <w:rsid w:val="00680109"/>
    <w:rsid w:val="00680204"/>
    <w:rsid w:val="00686711"/>
    <w:rsid w:val="00686D19"/>
    <w:rsid w:val="00686ED6"/>
    <w:rsid w:val="00690604"/>
    <w:rsid w:val="0069209F"/>
    <w:rsid w:val="00694C3B"/>
    <w:rsid w:val="00695B6A"/>
    <w:rsid w:val="006962FD"/>
    <w:rsid w:val="006A11A7"/>
    <w:rsid w:val="006A152A"/>
    <w:rsid w:val="006A2D6F"/>
    <w:rsid w:val="006A3ACE"/>
    <w:rsid w:val="006A4930"/>
    <w:rsid w:val="006B2162"/>
    <w:rsid w:val="006C575E"/>
    <w:rsid w:val="006D03E5"/>
    <w:rsid w:val="006D24A9"/>
    <w:rsid w:val="006D3CCC"/>
    <w:rsid w:val="006D4A95"/>
    <w:rsid w:val="006D6CEF"/>
    <w:rsid w:val="006E199B"/>
    <w:rsid w:val="006E2FBD"/>
    <w:rsid w:val="006E7322"/>
    <w:rsid w:val="006F0BC0"/>
    <w:rsid w:val="006F2A2C"/>
    <w:rsid w:val="006F2B20"/>
    <w:rsid w:val="00700077"/>
    <w:rsid w:val="007017B6"/>
    <w:rsid w:val="00702995"/>
    <w:rsid w:val="00704DD7"/>
    <w:rsid w:val="0071579E"/>
    <w:rsid w:val="00715F78"/>
    <w:rsid w:val="00722E6B"/>
    <w:rsid w:val="007246DF"/>
    <w:rsid w:val="0072536B"/>
    <w:rsid w:val="00726076"/>
    <w:rsid w:val="007316B7"/>
    <w:rsid w:val="007325BC"/>
    <w:rsid w:val="00732BBF"/>
    <w:rsid w:val="0073449B"/>
    <w:rsid w:val="007367FD"/>
    <w:rsid w:val="00744346"/>
    <w:rsid w:val="0075299B"/>
    <w:rsid w:val="00755031"/>
    <w:rsid w:val="00755AF2"/>
    <w:rsid w:val="00756296"/>
    <w:rsid w:val="0075716F"/>
    <w:rsid w:val="0076019E"/>
    <w:rsid w:val="00761DE8"/>
    <w:rsid w:val="00767FFA"/>
    <w:rsid w:val="00770FC9"/>
    <w:rsid w:val="00774716"/>
    <w:rsid w:val="00774AC3"/>
    <w:rsid w:val="00781839"/>
    <w:rsid w:val="00783BC9"/>
    <w:rsid w:val="007925EF"/>
    <w:rsid w:val="0079267D"/>
    <w:rsid w:val="0079349A"/>
    <w:rsid w:val="007A1A85"/>
    <w:rsid w:val="007A3343"/>
    <w:rsid w:val="007A36A4"/>
    <w:rsid w:val="007B0E5F"/>
    <w:rsid w:val="007B263A"/>
    <w:rsid w:val="007B2CFB"/>
    <w:rsid w:val="007B567E"/>
    <w:rsid w:val="007B6081"/>
    <w:rsid w:val="007C2792"/>
    <w:rsid w:val="007C35EA"/>
    <w:rsid w:val="007C4053"/>
    <w:rsid w:val="007C40A9"/>
    <w:rsid w:val="007C453F"/>
    <w:rsid w:val="007E08FD"/>
    <w:rsid w:val="007F2902"/>
    <w:rsid w:val="007F2BD8"/>
    <w:rsid w:val="007F39AD"/>
    <w:rsid w:val="007F4CA7"/>
    <w:rsid w:val="007F5EA7"/>
    <w:rsid w:val="007F6B77"/>
    <w:rsid w:val="007F6B80"/>
    <w:rsid w:val="00800B5C"/>
    <w:rsid w:val="00804C1C"/>
    <w:rsid w:val="00804DB4"/>
    <w:rsid w:val="008105B8"/>
    <w:rsid w:val="00812CB8"/>
    <w:rsid w:val="00812F18"/>
    <w:rsid w:val="00813E35"/>
    <w:rsid w:val="008178F6"/>
    <w:rsid w:val="00823135"/>
    <w:rsid w:val="00823EDF"/>
    <w:rsid w:val="00825C96"/>
    <w:rsid w:val="00827E0F"/>
    <w:rsid w:val="00830BEA"/>
    <w:rsid w:val="00832C1E"/>
    <w:rsid w:val="0084037F"/>
    <w:rsid w:val="00843A6E"/>
    <w:rsid w:val="00846D83"/>
    <w:rsid w:val="0084732F"/>
    <w:rsid w:val="00847FE7"/>
    <w:rsid w:val="00850D8F"/>
    <w:rsid w:val="00851F4F"/>
    <w:rsid w:val="008540D8"/>
    <w:rsid w:val="008546BA"/>
    <w:rsid w:val="008575A1"/>
    <w:rsid w:val="00857C4D"/>
    <w:rsid w:val="00860144"/>
    <w:rsid w:val="00862984"/>
    <w:rsid w:val="00863F0C"/>
    <w:rsid w:val="00865118"/>
    <w:rsid w:val="00866507"/>
    <w:rsid w:val="0087354E"/>
    <w:rsid w:val="0087581B"/>
    <w:rsid w:val="008825B4"/>
    <w:rsid w:val="008848BE"/>
    <w:rsid w:val="00891DA0"/>
    <w:rsid w:val="008972CA"/>
    <w:rsid w:val="008A01D9"/>
    <w:rsid w:val="008A12F4"/>
    <w:rsid w:val="008A2F81"/>
    <w:rsid w:val="008A7491"/>
    <w:rsid w:val="008B1901"/>
    <w:rsid w:val="008B2C77"/>
    <w:rsid w:val="008B3938"/>
    <w:rsid w:val="008B5842"/>
    <w:rsid w:val="008C03D0"/>
    <w:rsid w:val="008C65C4"/>
    <w:rsid w:val="008C6BBE"/>
    <w:rsid w:val="008D1576"/>
    <w:rsid w:val="008D70AE"/>
    <w:rsid w:val="008D728C"/>
    <w:rsid w:val="008E36F0"/>
    <w:rsid w:val="008E3937"/>
    <w:rsid w:val="008F1D17"/>
    <w:rsid w:val="008F2855"/>
    <w:rsid w:val="008F5240"/>
    <w:rsid w:val="008F7D25"/>
    <w:rsid w:val="00914610"/>
    <w:rsid w:val="00916139"/>
    <w:rsid w:val="009177D6"/>
    <w:rsid w:val="0092190C"/>
    <w:rsid w:val="0092487C"/>
    <w:rsid w:val="009259CF"/>
    <w:rsid w:val="009276C5"/>
    <w:rsid w:val="00930B7E"/>
    <w:rsid w:val="0093150A"/>
    <w:rsid w:val="00931A0D"/>
    <w:rsid w:val="00931ACF"/>
    <w:rsid w:val="009340BE"/>
    <w:rsid w:val="00934450"/>
    <w:rsid w:val="0093574A"/>
    <w:rsid w:val="00936773"/>
    <w:rsid w:val="00945ECA"/>
    <w:rsid w:val="00947318"/>
    <w:rsid w:val="00950C5E"/>
    <w:rsid w:val="009514AC"/>
    <w:rsid w:val="00953D86"/>
    <w:rsid w:val="00955060"/>
    <w:rsid w:val="009555D9"/>
    <w:rsid w:val="00957337"/>
    <w:rsid w:val="00960FEB"/>
    <w:rsid w:val="009618DA"/>
    <w:rsid w:val="00963E72"/>
    <w:rsid w:val="00965BF6"/>
    <w:rsid w:val="00966122"/>
    <w:rsid w:val="009670C5"/>
    <w:rsid w:val="00976EA6"/>
    <w:rsid w:val="009802D0"/>
    <w:rsid w:val="009866E0"/>
    <w:rsid w:val="0099075E"/>
    <w:rsid w:val="009945E1"/>
    <w:rsid w:val="009977DF"/>
    <w:rsid w:val="009A32E0"/>
    <w:rsid w:val="009A7177"/>
    <w:rsid w:val="009B6304"/>
    <w:rsid w:val="009B66BD"/>
    <w:rsid w:val="009C0504"/>
    <w:rsid w:val="009C0FA2"/>
    <w:rsid w:val="009C1DD7"/>
    <w:rsid w:val="009C4A57"/>
    <w:rsid w:val="009D1631"/>
    <w:rsid w:val="009D2776"/>
    <w:rsid w:val="009D6158"/>
    <w:rsid w:val="009D6C16"/>
    <w:rsid w:val="009D708D"/>
    <w:rsid w:val="009D7A5B"/>
    <w:rsid w:val="009E0F9B"/>
    <w:rsid w:val="009E200E"/>
    <w:rsid w:val="009F416D"/>
    <w:rsid w:val="009F646A"/>
    <w:rsid w:val="00A075CE"/>
    <w:rsid w:val="00A1077A"/>
    <w:rsid w:val="00A1281C"/>
    <w:rsid w:val="00A17FCA"/>
    <w:rsid w:val="00A23605"/>
    <w:rsid w:val="00A23AB9"/>
    <w:rsid w:val="00A26E6A"/>
    <w:rsid w:val="00A272AE"/>
    <w:rsid w:val="00A30719"/>
    <w:rsid w:val="00A317F9"/>
    <w:rsid w:val="00A3231D"/>
    <w:rsid w:val="00A32EF0"/>
    <w:rsid w:val="00A34F0B"/>
    <w:rsid w:val="00A3514B"/>
    <w:rsid w:val="00A351A4"/>
    <w:rsid w:val="00A35ADF"/>
    <w:rsid w:val="00A40689"/>
    <w:rsid w:val="00A42790"/>
    <w:rsid w:val="00A442AC"/>
    <w:rsid w:val="00A4507F"/>
    <w:rsid w:val="00A52B84"/>
    <w:rsid w:val="00A55460"/>
    <w:rsid w:val="00A55B04"/>
    <w:rsid w:val="00A57227"/>
    <w:rsid w:val="00A579F3"/>
    <w:rsid w:val="00A62EBB"/>
    <w:rsid w:val="00A70084"/>
    <w:rsid w:val="00A703C6"/>
    <w:rsid w:val="00A77B02"/>
    <w:rsid w:val="00A800C0"/>
    <w:rsid w:val="00A80BFE"/>
    <w:rsid w:val="00A81846"/>
    <w:rsid w:val="00A81F9A"/>
    <w:rsid w:val="00A852C2"/>
    <w:rsid w:val="00A90DF0"/>
    <w:rsid w:val="00A9125B"/>
    <w:rsid w:val="00A91BB4"/>
    <w:rsid w:val="00A94DCF"/>
    <w:rsid w:val="00AA060B"/>
    <w:rsid w:val="00AA10AB"/>
    <w:rsid w:val="00AA249F"/>
    <w:rsid w:val="00AA3F14"/>
    <w:rsid w:val="00AB2704"/>
    <w:rsid w:val="00AB581F"/>
    <w:rsid w:val="00AB697F"/>
    <w:rsid w:val="00AC0B7C"/>
    <w:rsid w:val="00AC5728"/>
    <w:rsid w:val="00AD1973"/>
    <w:rsid w:val="00AD37CB"/>
    <w:rsid w:val="00AD5E81"/>
    <w:rsid w:val="00AE0B88"/>
    <w:rsid w:val="00AE11F6"/>
    <w:rsid w:val="00AE4B96"/>
    <w:rsid w:val="00AE6E12"/>
    <w:rsid w:val="00AE716B"/>
    <w:rsid w:val="00AF174A"/>
    <w:rsid w:val="00AF2F53"/>
    <w:rsid w:val="00AF5CBC"/>
    <w:rsid w:val="00B006FE"/>
    <w:rsid w:val="00B00E90"/>
    <w:rsid w:val="00B014CD"/>
    <w:rsid w:val="00B0261F"/>
    <w:rsid w:val="00B03008"/>
    <w:rsid w:val="00B03370"/>
    <w:rsid w:val="00B0434D"/>
    <w:rsid w:val="00B11111"/>
    <w:rsid w:val="00B127AE"/>
    <w:rsid w:val="00B133A6"/>
    <w:rsid w:val="00B15C03"/>
    <w:rsid w:val="00B16A33"/>
    <w:rsid w:val="00B23660"/>
    <w:rsid w:val="00B25AB5"/>
    <w:rsid w:val="00B2644A"/>
    <w:rsid w:val="00B3738F"/>
    <w:rsid w:val="00B4029A"/>
    <w:rsid w:val="00B4135D"/>
    <w:rsid w:val="00B44D61"/>
    <w:rsid w:val="00B45158"/>
    <w:rsid w:val="00B47E77"/>
    <w:rsid w:val="00B5082F"/>
    <w:rsid w:val="00B50F85"/>
    <w:rsid w:val="00B541DE"/>
    <w:rsid w:val="00B54C95"/>
    <w:rsid w:val="00B61957"/>
    <w:rsid w:val="00B7102C"/>
    <w:rsid w:val="00B74176"/>
    <w:rsid w:val="00B81064"/>
    <w:rsid w:val="00B85906"/>
    <w:rsid w:val="00B85F44"/>
    <w:rsid w:val="00B878BF"/>
    <w:rsid w:val="00B87D26"/>
    <w:rsid w:val="00B90A4F"/>
    <w:rsid w:val="00B91968"/>
    <w:rsid w:val="00B951BC"/>
    <w:rsid w:val="00B955F6"/>
    <w:rsid w:val="00B96EA9"/>
    <w:rsid w:val="00BB3F58"/>
    <w:rsid w:val="00BB6F81"/>
    <w:rsid w:val="00BC3DEB"/>
    <w:rsid w:val="00BC4F7A"/>
    <w:rsid w:val="00BC7261"/>
    <w:rsid w:val="00BD39A5"/>
    <w:rsid w:val="00BE52BB"/>
    <w:rsid w:val="00BE5B3F"/>
    <w:rsid w:val="00BF2010"/>
    <w:rsid w:val="00BF6486"/>
    <w:rsid w:val="00C0206C"/>
    <w:rsid w:val="00C04556"/>
    <w:rsid w:val="00C04648"/>
    <w:rsid w:val="00C10EC0"/>
    <w:rsid w:val="00C13963"/>
    <w:rsid w:val="00C20AA4"/>
    <w:rsid w:val="00C30536"/>
    <w:rsid w:val="00C31A6F"/>
    <w:rsid w:val="00C3243A"/>
    <w:rsid w:val="00C332C0"/>
    <w:rsid w:val="00C3367F"/>
    <w:rsid w:val="00C360DA"/>
    <w:rsid w:val="00C5123B"/>
    <w:rsid w:val="00C61EFF"/>
    <w:rsid w:val="00C654CD"/>
    <w:rsid w:val="00C65AF7"/>
    <w:rsid w:val="00C707B3"/>
    <w:rsid w:val="00C709AE"/>
    <w:rsid w:val="00C72EF4"/>
    <w:rsid w:val="00C82A0C"/>
    <w:rsid w:val="00C83FDF"/>
    <w:rsid w:val="00C8746E"/>
    <w:rsid w:val="00C9033D"/>
    <w:rsid w:val="00C91732"/>
    <w:rsid w:val="00C91F4E"/>
    <w:rsid w:val="00CA2142"/>
    <w:rsid w:val="00CA4E7D"/>
    <w:rsid w:val="00CA4E93"/>
    <w:rsid w:val="00CA6ED2"/>
    <w:rsid w:val="00CA72E1"/>
    <w:rsid w:val="00CC092E"/>
    <w:rsid w:val="00CC0DD8"/>
    <w:rsid w:val="00CC16D0"/>
    <w:rsid w:val="00CC1801"/>
    <w:rsid w:val="00CC509E"/>
    <w:rsid w:val="00CC7CF5"/>
    <w:rsid w:val="00CD2C03"/>
    <w:rsid w:val="00CD32F6"/>
    <w:rsid w:val="00CD337C"/>
    <w:rsid w:val="00CD6A7A"/>
    <w:rsid w:val="00CE293D"/>
    <w:rsid w:val="00CE2F7D"/>
    <w:rsid w:val="00CF4AEC"/>
    <w:rsid w:val="00CF56BF"/>
    <w:rsid w:val="00CF760A"/>
    <w:rsid w:val="00D0306F"/>
    <w:rsid w:val="00D07F57"/>
    <w:rsid w:val="00D12404"/>
    <w:rsid w:val="00D20329"/>
    <w:rsid w:val="00D205C8"/>
    <w:rsid w:val="00D20C28"/>
    <w:rsid w:val="00D23E50"/>
    <w:rsid w:val="00D27220"/>
    <w:rsid w:val="00D27A3D"/>
    <w:rsid w:val="00D31668"/>
    <w:rsid w:val="00D3213B"/>
    <w:rsid w:val="00D32D5A"/>
    <w:rsid w:val="00D34737"/>
    <w:rsid w:val="00D3574C"/>
    <w:rsid w:val="00D35CE9"/>
    <w:rsid w:val="00D367FD"/>
    <w:rsid w:val="00D43147"/>
    <w:rsid w:val="00D4406E"/>
    <w:rsid w:val="00D4472D"/>
    <w:rsid w:val="00D45E10"/>
    <w:rsid w:val="00D47254"/>
    <w:rsid w:val="00D51649"/>
    <w:rsid w:val="00D52394"/>
    <w:rsid w:val="00D5250B"/>
    <w:rsid w:val="00D526C6"/>
    <w:rsid w:val="00D537E1"/>
    <w:rsid w:val="00D54EF8"/>
    <w:rsid w:val="00D5561D"/>
    <w:rsid w:val="00D557AE"/>
    <w:rsid w:val="00D57894"/>
    <w:rsid w:val="00D61116"/>
    <w:rsid w:val="00D61C5C"/>
    <w:rsid w:val="00D6204D"/>
    <w:rsid w:val="00D63488"/>
    <w:rsid w:val="00D66AB8"/>
    <w:rsid w:val="00D75143"/>
    <w:rsid w:val="00D77697"/>
    <w:rsid w:val="00D77AFC"/>
    <w:rsid w:val="00D80F47"/>
    <w:rsid w:val="00D83FB9"/>
    <w:rsid w:val="00D840B7"/>
    <w:rsid w:val="00D8570C"/>
    <w:rsid w:val="00D91262"/>
    <w:rsid w:val="00D92151"/>
    <w:rsid w:val="00D94489"/>
    <w:rsid w:val="00D9630F"/>
    <w:rsid w:val="00D9684F"/>
    <w:rsid w:val="00D96B2E"/>
    <w:rsid w:val="00D97AF4"/>
    <w:rsid w:val="00DA5A44"/>
    <w:rsid w:val="00DB3028"/>
    <w:rsid w:val="00DB3B94"/>
    <w:rsid w:val="00DB3FCC"/>
    <w:rsid w:val="00DC1A0D"/>
    <w:rsid w:val="00DC2613"/>
    <w:rsid w:val="00DC5E3B"/>
    <w:rsid w:val="00DD07F8"/>
    <w:rsid w:val="00DD22EA"/>
    <w:rsid w:val="00DD303D"/>
    <w:rsid w:val="00DE1406"/>
    <w:rsid w:val="00DE2E4C"/>
    <w:rsid w:val="00DE453B"/>
    <w:rsid w:val="00E026E3"/>
    <w:rsid w:val="00E0723E"/>
    <w:rsid w:val="00E07576"/>
    <w:rsid w:val="00E10249"/>
    <w:rsid w:val="00E105E3"/>
    <w:rsid w:val="00E12FA0"/>
    <w:rsid w:val="00E1414C"/>
    <w:rsid w:val="00E1745E"/>
    <w:rsid w:val="00E22018"/>
    <w:rsid w:val="00E22074"/>
    <w:rsid w:val="00E26196"/>
    <w:rsid w:val="00E276E6"/>
    <w:rsid w:val="00E30219"/>
    <w:rsid w:val="00E312A7"/>
    <w:rsid w:val="00E347F5"/>
    <w:rsid w:val="00E35576"/>
    <w:rsid w:val="00E36F2C"/>
    <w:rsid w:val="00E4091F"/>
    <w:rsid w:val="00E43951"/>
    <w:rsid w:val="00E43C17"/>
    <w:rsid w:val="00E457D9"/>
    <w:rsid w:val="00E46685"/>
    <w:rsid w:val="00E47D64"/>
    <w:rsid w:val="00E47F88"/>
    <w:rsid w:val="00E52FE7"/>
    <w:rsid w:val="00E55005"/>
    <w:rsid w:val="00E570AA"/>
    <w:rsid w:val="00E57562"/>
    <w:rsid w:val="00E6112E"/>
    <w:rsid w:val="00E61CD3"/>
    <w:rsid w:val="00E6365A"/>
    <w:rsid w:val="00E6382C"/>
    <w:rsid w:val="00E65C8F"/>
    <w:rsid w:val="00E670CB"/>
    <w:rsid w:val="00E733BE"/>
    <w:rsid w:val="00E75AF4"/>
    <w:rsid w:val="00E82D9A"/>
    <w:rsid w:val="00E830EE"/>
    <w:rsid w:val="00E85494"/>
    <w:rsid w:val="00E861A3"/>
    <w:rsid w:val="00E91313"/>
    <w:rsid w:val="00E9377E"/>
    <w:rsid w:val="00E94965"/>
    <w:rsid w:val="00E95999"/>
    <w:rsid w:val="00EA024D"/>
    <w:rsid w:val="00EA2B8F"/>
    <w:rsid w:val="00EA506F"/>
    <w:rsid w:val="00EB2256"/>
    <w:rsid w:val="00EB2903"/>
    <w:rsid w:val="00EB669B"/>
    <w:rsid w:val="00EB6C8F"/>
    <w:rsid w:val="00EC0397"/>
    <w:rsid w:val="00EC2900"/>
    <w:rsid w:val="00EC659A"/>
    <w:rsid w:val="00ED4AC6"/>
    <w:rsid w:val="00ED4B27"/>
    <w:rsid w:val="00ED6263"/>
    <w:rsid w:val="00EE03A9"/>
    <w:rsid w:val="00EF46AA"/>
    <w:rsid w:val="00EF5171"/>
    <w:rsid w:val="00EF5320"/>
    <w:rsid w:val="00EF6BBD"/>
    <w:rsid w:val="00F024CF"/>
    <w:rsid w:val="00F049A9"/>
    <w:rsid w:val="00F1152E"/>
    <w:rsid w:val="00F13637"/>
    <w:rsid w:val="00F14488"/>
    <w:rsid w:val="00F14BAD"/>
    <w:rsid w:val="00F156FA"/>
    <w:rsid w:val="00F233C4"/>
    <w:rsid w:val="00F330F9"/>
    <w:rsid w:val="00F41A33"/>
    <w:rsid w:val="00F43B57"/>
    <w:rsid w:val="00F44C88"/>
    <w:rsid w:val="00F45F24"/>
    <w:rsid w:val="00F530A0"/>
    <w:rsid w:val="00F56979"/>
    <w:rsid w:val="00F6149E"/>
    <w:rsid w:val="00F619CF"/>
    <w:rsid w:val="00F61DBC"/>
    <w:rsid w:val="00F65F7B"/>
    <w:rsid w:val="00F76C18"/>
    <w:rsid w:val="00F82035"/>
    <w:rsid w:val="00F851FA"/>
    <w:rsid w:val="00F86AF1"/>
    <w:rsid w:val="00F9165C"/>
    <w:rsid w:val="00F928EB"/>
    <w:rsid w:val="00F94168"/>
    <w:rsid w:val="00F94354"/>
    <w:rsid w:val="00F970A6"/>
    <w:rsid w:val="00FA028D"/>
    <w:rsid w:val="00FA3562"/>
    <w:rsid w:val="00FA6373"/>
    <w:rsid w:val="00FA7171"/>
    <w:rsid w:val="00FA79EB"/>
    <w:rsid w:val="00FB4D06"/>
    <w:rsid w:val="00FB5682"/>
    <w:rsid w:val="00FB6D8F"/>
    <w:rsid w:val="00FB79A5"/>
    <w:rsid w:val="00FC3D3A"/>
    <w:rsid w:val="00FC565E"/>
    <w:rsid w:val="00FC637F"/>
    <w:rsid w:val="00FD19C6"/>
    <w:rsid w:val="00FD56FE"/>
    <w:rsid w:val="00FD6BAA"/>
    <w:rsid w:val="00FD7525"/>
    <w:rsid w:val="00FE0D7A"/>
    <w:rsid w:val="00FE220D"/>
    <w:rsid w:val="00FE4778"/>
    <w:rsid w:val="00FE4C21"/>
    <w:rsid w:val="00FE520F"/>
    <w:rsid w:val="00FE61EF"/>
    <w:rsid w:val="00FE6DD7"/>
    <w:rsid w:val="00FE6F7C"/>
    <w:rsid w:val="00FF231A"/>
    <w:rsid w:val="00FF2A00"/>
    <w:rsid w:val="00FF3202"/>
    <w:rsid w:val="00FF51B7"/>
    <w:rsid w:val="00FF54D4"/>
    <w:rsid w:val="00FF5FC1"/>
    <w:rsid w:val="00FF66DB"/>
    <w:rsid w:val="00FF743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0BE3361"/>
  <w15:chartTrackingRefBased/>
  <w15:docId w15:val="{51759BE4-AFFC-4C13-B26F-38350536B0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Arial"/>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160" w:line="259" w:lineRule="auto"/>
    </w:pPr>
    <w:rPr>
      <w:sz w:val="22"/>
      <w:szCs w:val="22"/>
      <w:lang w:val="es-PR"/>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2573CC"/>
    <w:pPr>
      <w:tabs>
        <w:tab w:val="center" w:pos="4680"/>
        <w:tab w:val="right" w:pos="9360"/>
      </w:tabs>
      <w:spacing w:after="0" w:line="240" w:lineRule="auto"/>
    </w:pPr>
    <w:rPr>
      <w:lang w:val="x-none"/>
    </w:rPr>
  </w:style>
  <w:style w:type="character" w:customStyle="1" w:styleId="HeaderChar">
    <w:name w:val="Header Char"/>
    <w:link w:val="Header"/>
    <w:uiPriority w:val="99"/>
    <w:rsid w:val="002573CC"/>
    <w:rPr>
      <w:lang w:val="x-none"/>
    </w:rPr>
  </w:style>
  <w:style w:type="paragraph" w:styleId="FootnoteText">
    <w:name w:val="footnote text"/>
    <w:basedOn w:val="Normal"/>
    <w:link w:val="FootnoteTextChar"/>
    <w:uiPriority w:val="99"/>
    <w:semiHidden/>
    <w:unhideWhenUsed/>
    <w:rsid w:val="00584073"/>
    <w:pPr>
      <w:spacing w:after="0" w:line="240" w:lineRule="auto"/>
    </w:pPr>
    <w:rPr>
      <w:sz w:val="20"/>
      <w:szCs w:val="20"/>
    </w:rPr>
  </w:style>
  <w:style w:type="character" w:customStyle="1" w:styleId="FootnoteTextChar">
    <w:name w:val="Footnote Text Char"/>
    <w:link w:val="FootnoteText"/>
    <w:uiPriority w:val="99"/>
    <w:semiHidden/>
    <w:rsid w:val="00584073"/>
    <w:rPr>
      <w:sz w:val="20"/>
      <w:szCs w:val="20"/>
    </w:rPr>
  </w:style>
  <w:style w:type="character" w:styleId="FootnoteReference">
    <w:name w:val="footnote reference"/>
    <w:uiPriority w:val="99"/>
    <w:semiHidden/>
    <w:unhideWhenUsed/>
    <w:rsid w:val="00584073"/>
    <w:rPr>
      <w:vertAlign w:val="superscript"/>
    </w:rPr>
  </w:style>
  <w:style w:type="character" w:styleId="Hyperlink">
    <w:name w:val="Hyperlink"/>
    <w:uiPriority w:val="99"/>
    <w:unhideWhenUsed/>
    <w:rsid w:val="00061727"/>
    <w:rPr>
      <w:color w:val="0563C1"/>
      <w:u w:val="single"/>
    </w:rPr>
  </w:style>
  <w:style w:type="character" w:styleId="UnresolvedMention">
    <w:name w:val="Unresolved Mention"/>
    <w:uiPriority w:val="99"/>
    <w:semiHidden/>
    <w:unhideWhenUsed/>
    <w:rsid w:val="00061727"/>
    <w:rPr>
      <w:color w:val="605E5C"/>
      <w:shd w:val="clear" w:color="auto" w:fill="E1DFDD"/>
    </w:rPr>
  </w:style>
  <w:style w:type="paragraph" w:styleId="NormalWeb">
    <w:name w:val="Normal (Web)"/>
    <w:basedOn w:val="Normal"/>
    <w:uiPriority w:val="99"/>
    <w:unhideWhenUsed/>
    <w:rsid w:val="00D94489"/>
    <w:pPr>
      <w:spacing w:before="100" w:beforeAutospacing="1" w:after="100" w:afterAutospacing="1" w:line="240" w:lineRule="auto"/>
    </w:pPr>
    <w:rPr>
      <w:rFonts w:ascii="Times New Roman" w:eastAsia="Times New Roman" w:hAnsi="Times New Roman" w:cs="Times New Roman"/>
      <w:sz w:val="24"/>
      <w:szCs w:val="24"/>
      <w:lang w:val="en-US"/>
    </w:rPr>
  </w:style>
  <w:style w:type="paragraph" w:styleId="ListParagraph">
    <w:name w:val="List Paragraph"/>
    <w:basedOn w:val="Normal"/>
    <w:uiPriority w:val="34"/>
    <w:qFormat/>
    <w:rsid w:val="00AE716B"/>
    <w:pPr>
      <w:ind w:left="720"/>
      <w:contextualSpacing/>
    </w:pPr>
  </w:style>
  <w:style w:type="paragraph" w:styleId="Footer">
    <w:name w:val="footer"/>
    <w:basedOn w:val="Normal"/>
    <w:link w:val="FooterChar"/>
    <w:uiPriority w:val="99"/>
    <w:unhideWhenUsed/>
    <w:rsid w:val="006574EC"/>
    <w:pPr>
      <w:tabs>
        <w:tab w:val="center" w:pos="4680"/>
        <w:tab w:val="right" w:pos="9360"/>
      </w:tabs>
      <w:spacing w:after="0" w:line="240" w:lineRule="auto"/>
    </w:pPr>
  </w:style>
  <w:style w:type="character" w:customStyle="1" w:styleId="FooterChar">
    <w:name w:val="Footer Char"/>
    <w:basedOn w:val="DefaultParagraphFont"/>
    <w:link w:val="Footer"/>
    <w:uiPriority w:val="99"/>
    <w:rsid w:val="006574EC"/>
  </w:style>
  <w:style w:type="paragraph" w:styleId="NoSpacing">
    <w:name w:val="No Spacing"/>
    <w:uiPriority w:val="1"/>
    <w:qFormat/>
    <w:rsid w:val="0067067D"/>
    <w:rPr>
      <w:rFonts w:cs="Times New Roman"/>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46216522">
      <w:bodyDiv w:val="1"/>
      <w:marLeft w:val="0"/>
      <w:marRight w:val="0"/>
      <w:marTop w:val="0"/>
      <w:marBottom w:val="0"/>
      <w:divBdr>
        <w:top w:val="none" w:sz="0" w:space="0" w:color="auto"/>
        <w:left w:val="none" w:sz="0" w:space="0" w:color="auto"/>
        <w:bottom w:val="none" w:sz="0" w:space="0" w:color="auto"/>
        <w:right w:val="none" w:sz="0" w:space="0" w:color="auto"/>
      </w:divBdr>
    </w:div>
    <w:div w:id="147094273">
      <w:bodyDiv w:val="1"/>
      <w:marLeft w:val="0"/>
      <w:marRight w:val="0"/>
      <w:marTop w:val="0"/>
      <w:marBottom w:val="0"/>
      <w:divBdr>
        <w:top w:val="none" w:sz="0" w:space="0" w:color="auto"/>
        <w:left w:val="none" w:sz="0" w:space="0" w:color="auto"/>
        <w:bottom w:val="none" w:sz="0" w:space="0" w:color="auto"/>
        <w:right w:val="none" w:sz="0" w:space="0" w:color="auto"/>
      </w:divBdr>
    </w:div>
    <w:div w:id="219831436">
      <w:bodyDiv w:val="1"/>
      <w:marLeft w:val="0"/>
      <w:marRight w:val="0"/>
      <w:marTop w:val="0"/>
      <w:marBottom w:val="0"/>
      <w:divBdr>
        <w:top w:val="none" w:sz="0" w:space="0" w:color="auto"/>
        <w:left w:val="none" w:sz="0" w:space="0" w:color="auto"/>
        <w:bottom w:val="none" w:sz="0" w:space="0" w:color="auto"/>
        <w:right w:val="none" w:sz="0" w:space="0" w:color="auto"/>
      </w:divBdr>
    </w:div>
    <w:div w:id="259215159">
      <w:bodyDiv w:val="1"/>
      <w:marLeft w:val="0"/>
      <w:marRight w:val="0"/>
      <w:marTop w:val="0"/>
      <w:marBottom w:val="0"/>
      <w:divBdr>
        <w:top w:val="none" w:sz="0" w:space="0" w:color="auto"/>
        <w:left w:val="none" w:sz="0" w:space="0" w:color="auto"/>
        <w:bottom w:val="none" w:sz="0" w:space="0" w:color="auto"/>
        <w:right w:val="none" w:sz="0" w:space="0" w:color="auto"/>
      </w:divBdr>
    </w:div>
    <w:div w:id="259528832">
      <w:bodyDiv w:val="1"/>
      <w:marLeft w:val="0"/>
      <w:marRight w:val="0"/>
      <w:marTop w:val="0"/>
      <w:marBottom w:val="0"/>
      <w:divBdr>
        <w:top w:val="none" w:sz="0" w:space="0" w:color="auto"/>
        <w:left w:val="none" w:sz="0" w:space="0" w:color="auto"/>
        <w:bottom w:val="none" w:sz="0" w:space="0" w:color="auto"/>
        <w:right w:val="none" w:sz="0" w:space="0" w:color="auto"/>
      </w:divBdr>
      <w:divsChild>
        <w:div w:id="2108193235">
          <w:blockQuote w:val="1"/>
          <w:marLeft w:val="720"/>
          <w:marRight w:val="720"/>
          <w:marTop w:val="100"/>
          <w:marBottom w:val="100"/>
          <w:divBdr>
            <w:top w:val="none" w:sz="0" w:space="0" w:color="auto"/>
            <w:left w:val="none" w:sz="0" w:space="0" w:color="auto"/>
            <w:bottom w:val="none" w:sz="0" w:space="0" w:color="auto"/>
            <w:right w:val="none" w:sz="0" w:space="0" w:color="auto"/>
          </w:divBdr>
        </w:div>
        <w:div w:id="1112945060">
          <w:blockQuote w:val="1"/>
          <w:marLeft w:val="720"/>
          <w:marRight w:val="720"/>
          <w:marTop w:val="100"/>
          <w:marBottom w:val="100"/>
          <w:divBdr>
            <w:top w:val="none" w:sz="0" w:space="0" w:color="auto"/>
            <w:left w:val="none" w:sz="0" w:space="0" w:color="auto"/>
            <w:bottom w:val="none" w:sz="0" w:space="0" w:color="auto"/>
            <w:right w:val="none" w:sz="0" w:space="0" w:color="auto"/>
          </w:divBdr>
        </w:div>
        <w:div w:id="202940813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342323052">
      <w:bodyDiv w:val="1"/>
      <w:marLeft w:val="0"/>
      <w:marRight w:val="0"/>
      <w:marTop w:val="0"/>
      <w:marBottom w:val="0"/>
      <w:divBdr>
        <w:top w:val="none" w:sz="0" w:space="0" w:color="auto"/>
        <w:left w:val="none" w:sz="0" w:space="0" w:color="auto"/>
        <w:bottom w:val="none" w:sz="0" w:space="0" w:color="auto"/>
        <w:right w:val="none" w:sz="0" w:space="0" w:color="auto"/>
      </w:divBdr>
    </w:div>
    <w:div w:id="400836736">
      <w:bodyDiv w:val="1"/>
      <w:marLeft w:val="0"/>
      <w:marRight w:val="0"/>
      <w:marTop w:val="0"/>
      <w:marBottom w:val="0"/>
      <w:divBdr>
        <w:top w:val="none" w:sz="0" w:space="0" w:color="auto"/>
        <w:left w:val="none" w:sz="0" w:space="0" w:color="auto"/>
        <w:bottom w:val="none" w:sz="0" w:space="0" w:color="auto"/>
        <w:right w:val="none" w:sz="0" w:space="0" w:color="auto"/>
      </w:divBdr>
    </w:div>
    <w:div w:id="505025013">
      <w:bodyDiv w:val="1"/>
      <w:marLeft w:val="0"/>
      <w:marRight w:val="0"/>
      <w:marTop w:val="0"/>
      <w:marBottom w:val="0"/>
      <w:divBdr>
        <w:top w:val="none" w:sz="0" w:space="0" w:color="auto"/>
        <w:left w:val="none" w:sz="0" w:space="0" w:color="auto"/>
        <w:bottom w:val="none" w:sz="0" w:space="0" w:color="auto"/>
        <w:right w:val="none" w:sz="0" w:space="0" w:color="auto"/>
      </w:divBdr>
    </w:div>
    <w:div w:id="571623596">
      <w:bodyDiv w:val="1"/>
      <w:marLeft w:val="0"/>
      <w:marRight w:val="0"/>
      <w:marTop w:val="0"/>
      <w:marBottom w:val="0"/>
      <w:divBdr>
        <w:top w:val="none" w:sz="0" w:space="0" w:color="auto"/>
        <w:left w:val="none" w:sz="0" w:space="0" w:color="auto"/>
        <w:bottom w:val="none" w:sz="0" w:space="0" w:color="auto"/>
        <w:right w:val="none" w:sz="0" w:space="0" w:color="auto"/>
      </w:divBdr>
    </w:div>
    <w:div w:id="620844872">
      <w:bodyDiv w:val="1"/>
      <w:marLeft w:val="0"/>
      <w:marRight w:val="0"/>
      <w:marTop w:val="0"/>
      <w:marBottom w:val="0"/>
      <w:divBdr>
        <w:top w:val="none" w:sz="0" w:space="0" w:color="auto"/>
        <w:left w:val="none" w:sz="0" w:space="0" w:color="auto"/>
        <w:bottom w:val="none" w:sz="0" w:space="0" w:color="auto"/>
        <w:right w:val="none" w:sz="0" w:space="0" w:color="auto"/>
      </w:divBdr>
    </w:div>
    <w:div w:id="681666252">
      <w:bodyDiv w:val="1"/>
      <w:marLeft w:val="0"/>
      <w:marRight w:val="0"/>
      <w:marTop w:val="0"/>
      <w:marBottom w:val="0"/>
      <w:divBdr>
        <w:top w:val="none" w:sz="0" w:space="0" w:color="auto"/>
        <w:left w:val="none" w:sz="0" w:space="0" w:color="auto"/>
        <w:bottom w:val="none" w:sz="0" w:space="0" w:color="auto"/>
        <w:right w:val="none" w:sz="0" w:space="0" w:color="auto"/>
      </w:divBdr>
    </w:div>
    <w:div w:id="748698221">
      <w:bodyDiv w:val="1"/>
      <w:marLeft w:val="0"/>
      <w:marRight w:val="0"/>
      <w:marTop w:val="0"/>
      <w:marBottom w:val="0"/>
      <w:divBdr>
        <w:top w:val="none" w:sz="0" w:space="0" w:color="auto"/>
        <w:left w:val="none" w:sz="0" w:space="0" w:color="auto"/>
        <w:bottom w:val="none" w:sz="0" w:space="0" w:color="auto"/>
        <w:right w:val="none" w:sz="0" w:space="0" w:color="auto"/>
      </w:divBdr>
    </w:div>
    <w:div w:id="771629386">
      <w:bodyDiv w:val="1"/>
      <w:marLeft w:val="0"/>
      <w:marRight w:val="0"/>
      <w:marTop w:val="0"/>
      <w:marBottom w:val="0"/>
      <w:divBdr>
        <w:top w:val="none" w:sz="0" w:space="0" w:color="auto"/>
        <w:left w:val="none" w:sz="0" w:space="0" w:color="auto"/>
        <w:bottom w:val="none" w:sz="0" w:space="0" w:color="auto"/>
        <w:right w:val="none" w:sz="0" w:space="0" w:color="auto"/>
      </w:divBdr>
    </w:div>
    <w:div w:id="911426918">
      <w:bodyDiv w:val="1"/>
      <w:marLeft w:val="0"/>
      <w:marRight w:val="0"/>
      <w:marTop w:val="0"/>
      <w:marBottom w:val="0"/>
      <w:divBdr>
        <w:top w:val="none" w:sz="0" w:space="0" w:color="auto"/>
        <w:left w:val="none" w:sz="0" w:space="0" w:color="auto"/>
        <w:bottom w:val="none" w:sz="0" w:space="0" w:color="auto"/>
        <w:right w:val="none" w:sz="0" w:space="0" w:color="auto"/>
      </w:divBdr>
      <w:divsChild>
        <w:div w:id="92752515">
          <w:blockQuote w:val="1"/>
          <w:marLeft w:val="720"/>
          <w:marRight w:val="720"/>
          <w:marTop w:val="100"/>
          <w:marBottom w:val="100"/>
          <w:divBdr>
            <w:top w:val="none" w:sz="0" w:space="0" w:color="auto"/>
            <w:left w:val="none" w:sz="0" w:space="0" w:color="auto"/>
            <w:bottom w:val="none" w:sz="0" w:space="0" w:color="auto"/>
            <w:right w:val="none" w:sz="0" w:space="0" w:color="auto"/>
          </w:divBdr>
        </w:div>
        <w:div w:id="539516374">
          <w:blockQuote w:val="1"/>
          <w:marLeft w:val="720"/>
          <w:marRight w:val="720"/>
          <w:marTop w:val="100"/>
          <w:marBottom w:val="100"/>
          <w:divBdr>
            <w:top w:val="none" w:sz="0" w:space="0" w:color="auto"/>
            <w:left w:val="none" w:sz="0" w:space="0" w:color="auto"/>
            <w:bottom w:val="none" w:sz="0" w:space="0" w:color="auto"/>
            <w:right w:val="none" w:sz="0" w:space="0" w:color="auto"/>
          </w:divBdr>
        </w:div>
        <w:div w:id="1925069069">
          <w:blockQuote w:val="1"/>
          <w:marLeft w:val="720"/>
          <w:marRight w:val="720"/>
          <w:marTop w:val="100"/>
          <w:marBottom w:val="100"/>
          <w:divBdr>
            <w:top w:val="none" w:sz="0" w:space="0" w:color="auto"/>
            <w:left w:val="none" w:sz="0" w:space="0" w:color="auto"/>
            <w:bottom w:val="none" w:sz="0" w:space="0" w:color="auto"/>
            <w:right w:val="none" w:sz="0" w:space="0" w:color="auto"/>
          </w:divBdr>
        </w:div>
        <w:div w:id="1336960459">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01810231">
      <w:bodyDiv w:val="1"/>
      <w:marLeft w:val="0"/>
      <w:marRight w:val="0"/>
      <w:marTop w:val="0"/>
      <w:marBottom w:val="0"/>
      <w:divBdr>
        <w:top w:val="none" w:sz="0" w:space="0" w:color="auto"/>
        <w:left w:val="none" w:sz="0" w:space="0" w:color="auto"/>
        <w:bottom w:val="none" w:sz="0" w:space="0" w:color="auto"/>
        <w:right w:val="none" w:sz="0" w:space="0" w:color="auto"/>
      </w:divBdr>
    </w:div>
    <w:div w:id="1269973079">
      <w:bodyDiv w:val="1"/>
      <w:marLeft w:val="0"/>
      <w:marRight w:val="0"/>
      <w:marTop w:val="0"/>
      <w:marBottom w:val="0"/>
      <w:divBdr>
        <w:top w:val="none" w:sz="0" w:space="0" w:color="auto"/>
        <w:left w:val="none" w:sz="0" w:space="0" w:color="auto"/>
        <w:bottom w:val="none" w:sz="0" w:space="0" w:color="auto"/>
        <w:right w:val="none" w:sz="0" w:space="0" w:color="auto"/>
      </w:divBdr>
    </w:div>
    <w:div w:id="1497453442">
      <w:bodyDiv w:val="1"/>
      <w:marLeft w:val="0"/>
      <w:marRight w:val="0"/>
      <w:marTop w:val="0"/>
      <w:marBottom w:val="0"/>
      <w:divBdr>
        <w:top w:val="none" w:sz="0" w:space="0" w:color="auto"/>
        <w:left w:val="none" w:sz="0" w:space="0" w:color="auto"/>
        <w:bottom w:val="none" w:sz="0" w:space="0" w:color="auto"/>
        <w:right w:val="none" w:sz="0" w:space="0" w:color="auto"/>
      </w:divBdr>
    </w:div>
    <w:div w:id="1551840970">
      <w:bodyDiv w:val="1"/>
      <w:marLeft w:val="0"/>
      <w:marRight w:val="0"/>
      <w:marTop w:val="0"/>
      <w:marBottom w:val="0"/>
      <w:divBdr>
        <w:top w:val="none" w:sz="0" w:space="0" w:color="auto"/>
        <w:left w:val="none" w:sz="0" w:space="0" w:color="auto"/>
        <w:bottom w:val="none" w:sz="0" w:space="0" w:color="auto"/>
        <w:right w:val="none" w:sz="0" w:space="0" w:color="auto"/>
      </w:divBdr>
    </w:div>
    <w:div w:id="1595823706">
      <w:bodyDiv w:val="1"/>
      <w:marLeft w:val="0"/>
      <w:marRight w:val="0"/>
      <w:marTop w:val="0"/>
      <w:marBottom w:val="0"/>
      <w:divBdr>
        <w:top w:val="none" w:sz="0" w:space="0" w:color="auto"/>
        <w:left w:val="none" w:sz="0" w:space="0" w:color="auto"/>
        <w:bottom w:val="none" w:sz="0" w:space="0" w:color="auto"/>
        <w:right w:val="none" w:sz="0" w:space="0" w:color="auto"/>
      </w:divBdr>
    </w:div>
    <w:div w:id="1649673997">
      <w:bodyDiv w:val="1"/>
      <w:marLeft w:val="0"/>
      <w:marRight w:val="0"/>
      <w:marTop w:val="0"/>
      <w:marBottom w:val="0"/>
      <w:divBdr>
        <w:top w:val="none" w:sz="0" w:space="0" w:color="auto"/>
        <w:left w:val="none" w:sz="0" w:space="0" w:color="auto"/>
        <w:bottom w:val="none" w:sz="0" w:space="0" w:color="auto"/>
        <w:right w:val="none" w:sz="0" w:space="0" w:color="auto"/>
      </w:divBdr>
    </w:div>
    <w:div w:id="1750619803">
      <w:bodyDiv w:val="1"/>
      <w:marLeft w:val="0"/>
      <w:marRight w:val="0"/>
      <w:marTop w:val="0"/>
      <w:marBottom w:val="0"/>
      <w:divBdr>
        <w:top w:val="none" w:sz="0" w:space="0" w:color="auto"/>
        <w:left w:val="none" w:sz="0" w:space="0" w:color="auto"/>
        <w:bottom w:val="none" w:sz="0" w:space="0" w:color="auto"/>
        <w:right w:val="none" w:sz="0" w:space="0" w:color="auto"/>
      </w:divBdr>
    </w:div>
    <w:div w:id="1881237204">
      <w:bodyDiv w:val="1"/>
      <w:marLeft w:val="0"/>
      <w:marRight w:val="0"/>
      <w:marTop w:val="0"/>
      <w:marBottom w:val="0"/>
      <w:divBdr>
        <w:top w:val="none" w:sz="0" w:space="0" w:color="auto"/>
        <w:left w:val="none" w:sz="0" w:space="0" w:color="auto"/>
        <w:bottom w:val="none" w:sz="0" w:space="0" w:color="auto"/>
        <w:right w:val="none" w:sz="0" w:space="0" w:color="auto"/>
      </w:divBdr>
    </w:div>
    <w:div w:id="200601207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header" Target="header1.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ntTable" Target="fontTable.xml"/><Relationship Id="rId10" Type="http://schemas.openxmlformats.org/officeDocument/2006/relationships/webSettings" Target="webSettings.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2.xml><?xml version="1.0" encoding="utf-8"?>
<LongProperties xmlns="http://schemas.microsoft.com/office/2006/metadata/long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8C58FC75B682744FB4A53C756BEDC3A3" ma:contentTypeVersion="10" ma:contentTypeDescription="Create a new document." ma:contentTypeScope="" ma:versionID="a935056bbc6da19d576a73a2b3bb8444">
  <xsd:schema xmlns:xsd="http://www.w3.org/2001/XMLSchema" xmlns:xs="http://www.w3.org/2001/XMLSchema" xmlns:p="http://schemas.microsoft.com/office/2006/metadata/properties" xmlns:ns1="http://schemas.microsoft.com/sharepoint/v3" xmlns:ns2="c890fddd-4e87-4e08-8b51-545f2a3f7b06" xmlns:ns3="f29de0d1-023e-4363-82d3-bb472b30be6a" targetNamespace="http://schemas.microsoft.com/office/2006/metadata/properties" ma:root="true" ma:fieldsID="cfb29100740c25279aad5ece6d334a50" ns1:_="" ns2:_="" ns3:_="">
    <xsd:import namespace="http://schemas.microsoft.com/sharepoint/v3"/>
    <xsd:import namespace="c890fddd-4e87-4e08-8b51-545f2a3f7b06"/>
    <xsd:import namespace="f29de0d1-023e-4363-82d3-bb472b30be6a"/>
    <xsd:element name="properties">
      <xsd:complexType>
        <xsd:sequence>
          <xsd:element name="documentManagement">
            <xsd:complexType>
              <xsd:all>
                <xsd:element ref="ns2:_dlc_DocId" minOccurs="0"/>
                <xsd:element ref="ns2:_dlc_DocIdUrl" minOccurs="0"/>
                <xsd:element ref="ns2:_dlc_DocIdPersistId" minOccurs="0"/>
                <xsd:element ref="ns3:MediaServiceMetadata" minOccurs="0"/>
                <xsd:element ref="ns3:MediaServiceFastMetadata" minOccurs="0"/>
                <xsd:element ref="ns1:_ip_UnifiedCompliancePolicyProperties" minOccurs="0"/>
                <xsd:element ref="ns1:_ip_UnifiedCompliancePolicyUIAction" minOccurs="0"/>
                <xsd:element ref="ns2:SharedWithUsers" minOccurs="0"/>
                <xsd:element ref="ns2:SharedWithDetails" minOccurs="0"/>
                <xsd:element ref="ns3:MediaServiceObjectDetectorVersions" minOccurs="0"/>
                <xsd:element ref="ns3:MediaServiceGenerationTime" minOccurs="0"/>
                <xsd:element ref="ns3:MediaServiceEventHashCode"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13" nillable="true" ma:displayName="Unified Compliance Policy Properties" ma:hidden="true" ma:internalName="_ip_UnifiedCompliancePolicyProperties">
      <xsd:simpleType>
        <xsd:restriction base="dms:Note"/>
      </xsd:simpleType>
    </xsd:element>
    <xsd:element name="_ip_UnifiedCompliancePolicyUIAction" ma:index="14" nillable="true" ma:displayName="Unified Compliance Policy UI Action"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c890fddd-4e87-4e08-8b51-545f2a3f7b06"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dexed="true"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true">
      <xsd:simpleType>
        <xsd:restriction base="dms:Boolean"/>
      </xsd:simpleType>
    </xsd:element>
    <xsd:element name="SharedWithUsers" ma:index="15"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6"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f29de0d1-023e-4363-82d3-bb472b30be6a"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ObjectDetectorVersions" ma:index="17" nillable="true" ma:displayName="MediaServiceObjectDetectorVersions" ma:description="" ma:hidden="true" ma:indexed="true" ma:internalName="MediaServiceObjectDetectorVersions"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b:Sources xmlns:b="http://schemas.openxmlformats.org/officeDocument/2006/bibliography" xmlns="http://schemas.openxmlformats.org/officeDocument/2006/bibliography" SelectedStyle="\APASixthEditionOfficeOnline.xsl" StyleName="APA" Version="6"/>
</file>

<file path=customXml/item6.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_ip_UnifiedCompliancePolicyProperties xmlns="http://schemas.microsoft.com/sharepoint/v3" xsi:nil="true"/>
  </documentManagement>
</p:properties>
</file>

<file path=customXml/itemProps1.xml><?xml version="1.0" encoding="utf-8"?>
<ds:datastoreItem xmlns:ds="http://schemas.openxmlformats.org/officeDocument/2006/customXml" ds:itemID="{6DD1F1BD-46C8-4072-B21D-B609A4DE0081}">
  <ds:schemaRefs>
    <ds:schemaRef ds:uri="http://schemas.microsoft.com/sharepoint/events"/>
  </ds:schemaRefs>
</ds:datastoreItem>
</file>

<file path=customXml/itemProps2.xml><?xml version="1.0" encoding="utf-8"?>
<ds:datastoreItem xmlns:ds="http://schemas.openxmlformats.org/officeDocument/2006/customXml" ds:itemID="{9D8FB9A1-3FEE-438B-8ADF-8672C6ABEBAB}">
  <ds:schemaRefs>
    <ds:schemaRef ds:uri="http://schemas.microsoft.com/office/2006/metadata/longProperties"/>
  </ds:schemaRefs>
</ds:datastoreItem>
</file>

<file path=customXml/itemProps3.xml><?xml version="1.0" encoding="utf-8"?>
<ds:datastoreItem xmlns:ds="http://schemas.openxmlformats.org/officeDocument/2006/customXml" ds:itemID="{2B81C099-B8F1-4DE7-927C-574433167D2E}">
  <ds:schemaRefs>
    <ds:schemaRef ds:uri="http://schemas.microsoft.com/sharepoint/v3/contenttype/forms"/>
  </ds:schemaRefs>
</ds:datastoreItem>
</file>

<file path=customXml/itemProps4.xml><?xml version="1.0" encoding="utf-8"?>
<ds:datastoreItem xmlns:ds="http://schemas.openxmlformats.org/officeDocument/2006/customXml" ds:itemID="{AFB70A95-3BCA-435E-8709-E6FEA734283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c890fddd-4e87-4e08-8b51-545f2a3f7b06"/>
    <ds:schemaRef ds:uri="f29de0d1-023e-4363-82d3-bb472b30be6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5.xml><?xml version="1.0" encoding="utf-8"?>
<ds:datastoreItem xmlns:ds="http://schemas.openxmlformats.org/officeDocument/2006/customXml" ds:itemID="{7AA45624-D00F-4CC9-AA73-8D10F20D3A61}">
  <ds:schemaRefs>
    <ds:schemaRef ds:uri="http://schemas.openxmlformats.org/officeDocument/2006/bibliography"/>
  </ds:schemaRefs>
</ds:datastoreItem>
</file>

<file path=customXml/itemProps6.xml><?xml version="1.0" encoding="utf-8"?>
<ds:datastoreItem xmlns:ds="http://schemas.openxmlformats.org/officeDocument/2006/customXml" ds:itemID="{A5A7E238-6909-4588-99FC-EBEFF7476731}">
  <ds:schemaRefs>
    <ds:schemaRef ds:uri="http://schemas.microsoft.com/office/2006/metadata/properties"/>
    <ds:schemaRef ds:uri="http://schemas.microsoft.com/office/infopath/2007/PartnerControls"/>
    <ds:schemaRef ds:uri="http://schemas.microsoft.com/sharepoint/v3"/>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5</Pages>
  <Words>1850</Words>
  <Characters>10548</Characters>
  <Application>Microsoft Office Word</Application>
  <DocSecurity>4</DocSecurity>
  <Lines>87</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12374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Veronica R. Garay</dc:creator>
  <cp:keywords/>
  <dc:description/>
  <cp:lastModifiedBy>Camyl Moreno Pantojas</cp:lastModifiedBy>
  <cp:revision>2</cp:revision>
  <cp:lastPrinted>2023-10-23T13:58:00Z</cp:lastPrinted>
  <dcterms:created xsi:type="dcterms:W3CDTF">2026-06-04T18:15:00Z</dcterms:created>
  <dcterms:modified xsi:type="dcterms:W3CDTF">2026-06-04T18:15:00Z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dlc_DocId">
    <vt:lpwstr>4SQX5P7U7WPY-958212181-784825</vt:lpwstr>
  </property>
  <property fmtid="{D5CDD505-2E9C-101B-9397-08002B2CF9AE}" pid="3" name="_dlc_DocIdItemGuid">
    <vt:lpwstr>ded5bb92-0012-4e53-82cf-9bdee35b80c2</vt:lpwstr>
  </property>
  <property fmtid="{D5CDD505-2E9C-101B-9397-08002B2CF9AE}" pid="4" name="_dlc_DocIdUrl">
    <vt:lpwstr>https://senpr.sharepoint.com/sites/obralegislativa/_layouts/15/DocIdRedir.aspx?ID=4SQX5P7U7WPY-958212181-784825, 4SQX5P7U7WPY-958212181-784825</vt:lpwstr>
  </property>
</Properties>
</file>