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CF8ED" w14:textId="7DEB3208" w:rsidR="00FD1DE9" w:rsidRPr="00FD1DE9" w:rsidRDefault="00C0648E" w:rsidP="00FD1DE9">
      <w:pPr>
        <w:suppressLineNumbers/>
        <w:suppressAutoHyphens/>
        <w:spacing w:after="0"/>
        <w:jc w:val="center"/>
        <w:rPr>
          <w:rFonts w:ascii="Book Antiqua" w:hAnsi="Book Antiqua"/>
          <w:sz w:val="28"/>
          <w:szCs w:val="28"/>
          <w:lang w:val="es-PR"/>
        </w:rPr>
      </w:pPr>
      <w:r>
        <w:rPr>
          <w:rFonts w:ascii="Book Antiqua" w:hAnsi="Book Antiqua"/>
          <w:sz w:val="28"/>
          <w:szCs w:val="28"/>
          <w:lang w:val="es-PR"/>
        </w:rPr>
        <w:t>GOBIERNO DE</w:t>
      </w:r>
      <w:r w:rsidRPr="00FD1DE9">
        <w:rPr>
          <w:rFonts w:ascii="Book Antiqua" w:hAnsi="Book Antiqua"/>
          <w:sz w:val="28"/>
          <w:szCs w:val="28"/>
          <w:lang w:val="es-PR"/>
        </w:rPr>
        <w:t xml:space="preserve"> DE PUERTO RICO</w:t>
      </w:r>
    </w:p>
    <w:p w14:paraId="5A064395" w14:textId="77777777" w:rsidR="00FD1DE9" w:rsidRPr="00FD1DE9" w:rsidRDefault="00FD1DE9" w:rsidP="00FD1DE9">
      <w:pPr>
        <w:suppressLineNumbers/>
        <w:tabs>
          <w:tab w:val="left" w:pos="-720"/>
        </w:tabs>
        <w:suppressAutoHyphens/>
        <w:spacing w:after="0"/>
        <w:rPr>
          <w:rFonts w:ascii="Book Antiqua" w:hAnsi="Book Antiqua"/>
          <w:lang w:val="es-PR"/>
        </w:rPr>
      </w:pPr>
    </w:p>
    <w:p w14:paraId="3D5BA0C4" w14:textId="04637B8B" w:rsidR="00FD1DE9" w:rsidRPr="00FD1DE9" w:rsidRDefault="002F5A7A" w:rsidP="00FD1DE9">
      <w:pPr>
        <w:suppressLineNumbers/>
        <w:suppressAutoHyphens/>
        <w:spacing w:after="0"/>
        <w:jc w:val="both"/>
        <w:rPr>
          <w:rFonts w:ascii="Book Antiqua" w:hAnsi="Book Antiqua"/>
          <w:spacing w:val="-3"/>
          <w:lang w:val="es-PR"/>
        </w:rPr>
      </w:pPr>
      <w:r>
        <w:rPr>
          <w:rFonts w:ascii="Book Antiqua" w:hAnsi="Book Antiqua"/>
          <w:spacing w:val="-3"/>
          <w:lang w:val="es-PR"/>
        </w:rPr>
        <w:t>20</w:t>
      </w:r>
      <w:r w:rsidR="00FD1DE9" w:rsidRPr="002F5A7A">
        <w:rPr>
          <w:rFonts w:ascii="Book Antiqua" w:hAnsi="Book Antiqua"/>
          <w:spacing w:val="-3"/>
          <w:vertAlign w:val="superscript"/>
          <w:lang w:val="es-PR"/>
        </w:rPr>
        <w:t xml:space="preserve">ma. </w:t>
      </w:r>
      <w:r w:rsidR="00FD1DE9" w:rsidRPr="00FD1DE9">
        <w:rPr>
          <w:rFonts w:ascii="Book Antiqua" w:hAnsi="Book Antiqua"/>
          <w:spacing w:val="-3"/>
          <w:lang w:val="es-PR"/>
        </w:rPr>
        <w:t>Asamblea</w:t>
      </w:r>
      <w:r w:rsidR="00FD1DE9" w:rsidRPr="00FD1DE9">
        <w:rPr>
          <w:rFonts w:ascii="Book Antiqua" w:hAnsi="Book Antiqua"/>
          <w:spacing w:val="-3"/>
          <w:lang w:val="es-PR"/>
        </w:rPr>
        <w:tab/>
      </w:r>
      <w:r w:rsidR="00FD1DE9" w:rsidRPr="00FD1DE9">
        <w:rPr>
          <w:rFonts w:ascii="Book Antiqua" w:hAnsi="Book Antiqua"/>
          <w:spacing w:val="-3"/>
          <w:lang w:val="es-PR"/>
        </w:rPr>
        <w:tab/>
      </w:r>
      <w:r w:rsidR="00FD1DE9" w:rsidRPr="00FD1DE9">
        <w:rPr>
          <w:rFonts w:ascii="Book Antiqua" w:hAnsi="Book Antiqua"/>
          <w:spacing w:val="-3"/>
          <w:lang w:val="es-PR"/>
        </w:rPr>
        <w:tab/>
      </w:r>
      <w:r w:rsidR="00FD1DE9" w:rsidRPr="00FD1DE9">
        <w:rPr>
          <w:rFonts w:ascii="Book Antiqua" w:hAnsi="Book Antiqua"/>
          <w:spacing w:val="-3"/>
          <w:lang w:val="es-PR"/>
        </w:rPr>
        <w:tab/>
      </w:r>
      <w:r w:rsidR="00FD1DE9" w:rsidRPr="00FD1DE9">
        <w:rPr>
          <w:rFonts w:ascii="Book Antiqua" w:hAnsi="Book Antiqua"/>
          <w:spacing w:val="-3"/>
          <w:lang w:val="es-PR"/>
        </w:rPr>
        <w:tab/>
      </w:r>
      <w:r w:rsidR="00FD1DE9" w:rsidRPr="00FD1DE9">
        <w:rPr>
          <w:rFonts w:ascii="Book Antiqua" w:hAnsi="Book Antiqua"/>
          <w:spacing w:val="-3"/>
          <w:lang w:val="es-PR"/>
        </w:rPr>
        <w:tab/>
      </w:r>
      <w:r w:rsidR="00FD1DE9" w:rsidRPr="00FD1DE9">
        <w:rPr>
          <w:rFonts w:ascii="Book Antiqua" w:hAnsi="Book Antiqua"/>
          <w:spacing w:val="-3"/>
          <w:lang w:val="es-PR"/>
        </w:rPr>
        <w:tab/>
      </w:r>
      <w:r w:rsidR="00FD1DE9" w:rsidRPr="00FD1DE9">
        <w:rPr>
          <w:rFonts w:ascii="Book Antiqua" w:hAnsi="Book Antiqua"/>
          <w:spacing w:val="-3"/>
          <w:lang w:val="es-PR"/>
        </w:rPr>
        <w:tab/>
        <w:t xml:space="preserve">            </w:t>
      </w:r>
      <w:r w:rsidR="00FD1DE9">
        <w:rPr>
          <w:rFonts w:ascii="Book Antiqua" w:hAnsi="Book Antiqua"/>
          <w:spacing w:val="-3"/>
          <w:lang w:val="es-PR"/>
        </w:rPr>
        <w:t xml:space="preserve">     </w:t>
      </w:r>
      <w:r w:rsidR="00FD1DE9" w:rsidRPr="00FD1DE9">
        <w:rPr>
          <w:rFonts w:ascii="Book Antiqua" w:hAnsi="Book Antiqua"/>
          <w:spacing w:val="-3"/>
          <w:lang w:val="es-PR"/>
        </w:rPr>
        <w:t>3</w:t>
      </w:r>
      <w:r w:rsidR="00FD1DE9" w:rsidRPr="002F5A7A">
        <w:rPr>
          <w:rFonts w:ascii="Book Antiqua" w:hAnsi="Book Antiqua"/>
          <w:spacing w:val="-3"/>
          <w:vertAlign w:val="superscript"/>
          <w:lang w:val="es-PR"/>
        </w:rPr>
        <w:t xml:space="preserve">ra. </w:t>
      </w:r>
      <w:r w:rsidR="00FD1DE9" w:rsidRPr="00FD1DE9">
        <w:rPr>
          <w:rFonts w:ascii="Book Antiqua" w:hAnsi="Book Antiqua"/>
          <w:spacing w:val="-3"/>
          <w:lang w:val="es-PR"/>
        </w:rPr>
        <w:t>Sesión</w:t>
      </w:r>
    </w:p>
    <w:p w14:paraId="7F335FC8" w14:textId="77777777" w:rsidR="00FD1DE9" w:rsidRPr="00FD1DE9" w:rsidRDefault="00FD1DE9" w:rsidP="00FD1DE9">
      <w:pPr>
        <w:suppressLineNumbers/>
        <w:suppressAutoHyphens/>
        <w:spacing w:after="0"/>
        <w:jc w:val="both"/>
        <w:rPr>
          <w:rFonts w:ascii="Book Antiqua" w:hAnsi="Book Antiqua"/>
          <w:spacing w:val="-3"/>
          <w:lang w:val="es-PR"/>
        </w:rPr>
      </w:pPr>
      <w:r w:rsidRPr="00FD1DE9">
        <w:rPr>
          <w:rFonts w:ascii="Book Antiqua" w:hAnsi="Book Antiqua"/>
          <w:spacing w:val="-3"/>
          <w:lang w:val="es-PR"/>
        </w:rPr>
        <w:t xml:space="preserve">           Legislativa</w:t>
      </w:r>
      <w:r w:rsidRPr="00FD1DE9">
        <w:rPr>
          <w:rFonts w:ascii="Book Antiqua" w:hAnsi="Book Antiqua"/>
          <w:spacing w:val="-3"/>
          <w:lang w:val="es-PR"/>
        </w:rPr>
        <w:tab/>
        <w:t xml:space="preserve">                                                                                                            Ordinaria</w:t>
      </w:r>
    </w:p>
    <w:p w14:paraId="70EE8107" w14:textId="77777777" w:rsidR="00FD1DE9" w:rsidRPr="00FD1DE9" w:rsidRDefault="00FD1DE9" w:rsidP="00FD1DE9">
      <w:pPr>
        <w:suppressLineNumbers/>
        <w:suppressAutoHyphens/>
        <w:spacing w:after="0"/>
        <w:jc w:val="both"/>
        <w:rPr>
          <w:rFonts w:ascii="Book Antiqua" w:hAnsi="Book Antiqua"/>
          <w:spacing w:val="-3"/>
          <w:lang w:val="es-PR"/>
        </w:rPr>
      </w:pPr>
    </w:p>
    <w:p w14:paraId="08D8CFAD" w14:textId="68ECE9C7" w:rsidR="00FD1DE9" w:rsidRPr="00A43069" w:rsidRDefault="00FD1DE9" w:rsidP="00FD1DE9">
      <w:pPr>
        <w:pStyle w:val="Ttulo1"/>
        <w:suppressLineNumbers/>
        <w:spacing w:before="0" w:after="0"/>
        <w:jc w:val="center"/>
        <w:rPr>
          <w:rFonts w:ascii="Book Antiqua" w:hAnsi="Book Antiqua"/>
          <w:b/>
          <w:bCs/>
          <w:color w:val="auto"/>
          <w:sz w:val="36"/>
          <w:szCs w:val="36"/>
          <w:lang w:val="es-PR"/>
        </w:rPr>
      </w:pPr>
      <w:r w:rsidRPr="00A43069">
        <w:rPr>
          <w:rFonts w:ascii="Book Antiqua" w:hAnsi="Book Antiqua"/>
          <w:b/>
          <w:bCs/>
          <w:color w:val="auto"/>
          <w:sz w:val="36"/>
          <w:szCs w:val="36"/>
          <w:lang w:val="es-PR"/>
        </w:rPr>
        <w:t>C</w:t>
      </w:r>
      <w:r w:rsidR="00A43069" w:rsidRPr="00A43069">
        <w:rPr>
          <w:rFonts w:ascii="Book Antiqua" w:hAnsi="Book Antiqua"/>
          <w:b/>
          <w:bCs/>
          <w:color w:val="auto"/>
          <w:sz w:val="36"/>
          <w:szCs w:val="36"/>
          <w:lang w:val="es-PR"/>
        </w:rPr>
        <w:t>Á</w:t>
      </w:r>
      <w:r w:rsidRPr="00A43069">
        <w:rPr>
          <w:rFonts w:ascii="Book Antiqua" w:hAnsi="Book Antiqua"/>
          <w:b/>
          <w:bCs/>
          <w:color w:val="auto"/>
          <w:sz w:val="36"/>
          <w:szCs w:val="36"/>
          <w:lang w:val="es-PR"/>
        </w:rPr>
        <w:t>MARA DE REPRESENTANTES</w:t>
      </w:r>
    </w:p>
    <w:p w14:paraId="00A3C325" w14:textId="77777777" w:rsidR="00FD1DE9" w:rsidRPr="00FD1DE9" w:rsidRDefault="00FD1DE9" w:rsidP="00FD1DE9">
      <w:pPr>
        <w:suppressLineNumbers/>
        <w:tabs>
          <w:tab w:val="left" w:pos="0"/>
        </w:tabs>
        <w:suppressAutoHyphens/>
        <w:spacing w:after="0"/>
        <w:jc w:val="center"/>
        <w:rPr>
          <w:rFonts w:ascii="Book Antiqua" w:hAnsi="Book Antiqua"/>
          <w:b/>
          <w:lang w:val="es-PR"/>
        </w:rPr>
      </w:pPr>
    </w:p>
    <w:p w14:paraId="258204C3" w14:textId="6E283CAB" w:rsidR="00FD1DE9" w:rsidRPr="00FD1DE9" w:rsidRDefault="00FD1DE9" w:rsidP="00FD1DE9">
      <w:pPr>
        <w:suppressLineNumbers/>
        <w:tabs>
          <w:tab w:val="left" w:pos="0"/>
        </w:tabs>
        <w:suppressAutoHyphens/>
        <w:spacing w:after="0"/>
        <w:jc w:val="center"/>
        <w:rPr>
          <w:rFonts w:ascii="Book Antiqua" w:hAnsi="Book Antiqua"/>
          <w:b/>
          <w:sz w:val="52"/>
          <w:szCs w:val="52"/>
          <w:lang w:val="es-PR"/>
        </w:rPr>
      </w:pPr>
      <w:r w:rsidRPr="00FD1DE9">
        <w:rPr>
          <w:rFonts w:ascii="Book Antiqua" w:hAnsi="Book Antiqua"/>
          <w:b/>
          <w:sz w:val="52"/>
          <w:szCs w:val="52"/>
          <w:lang w:val="es-PR"/>
        </w:rPr>
        <w:t>P. de la C.</w:t>
      </w:r>
      <w:r w:rsidR="00B242E2">
        <w:rPr>
          <w:rFonts w:ascii="Book Antiqua" w:hAnsi="Book Antiqua"/>
          <w:b/>
          <w:sz w:val="52"/>
          <w:szCs w:val="52"/>
          <w:lang w:val="es-PR"/>
        </w:rPr>
        <w:t xml:space="preserve"> 1132</w:t>
      </w:r>
    </w:p>
    <w:p w14:paraId="07FD67AA" w14:textId="77777777" w:rsidR="00FD1DE9" w:rsidRPr="00FD1DE9" w:rsidRDefault="00FD1DE9" w:rsidP="00FD1DE9">
      <w:pPr>
        <w:suppressLineNumbers/>
        <w:tabs>
          <w:tab w:val="left" w:pos="0"/>
        </w:tabs>
        <w:suppressAutoHyphens/>
        <w:spacing w:after="0"/>
        <w:jc w:val="center"/>
        <w:rPr>
          <w:rFonts w:ascii="Book Antiqua" w:hAnsi="Book Antiqua"/>
          <w:lang w:val="es-PR"/>
        </w:rPr>
      </w:pPr>
    </w:p>
    <w:p w14:paraId="1F7E93ED" w14:textId="6FD939F4" w:rsidR="00FD1DE9" w:rsidRPr="00FD1DE9" w:rsidRDefault="00B242E2" w:rsidP="00FD1DE9">
      <w:pPr>
        <w:suppressLineNumbers/>
        <w:tabs>
          <w:tab w:val="left" w:pos="0"/>
        </w:tabs>
        <w:suppressAutoHyphens/>
        <w:spacing w:after="0"/>
        <w:jc w:val="center"/>
        <w:rPr>
          <w:rFonts w:ascii="Book Antiqua" w:hAnsi="Book Antiqua"/>
          <w:lang w:val="es-PR"/>
        </w:rPr>
      </w:pPr>
      <w:r>
        <w:rPr>
          <w:rFonts w:ascii="Book Antiqua" w:hAnsi="Book Antiqua"/>
          <w:lang w:val="es-PR"/>
        </w:rPr>
        <w:t>13</w:t>
      </w:r>
      <w:r w:rsidR="002F5A7A">
        <w:rPr>
          <w:rFonts w:ascii="Book Antiqua" w:hAnsi="Book Antiqua"/>
          <w:lang w:val="es-PR"/>
        </w:rPr>
        <w:t xml:space="preserve"> </w:t>
      </w:r>
      <w:r w:rsidR="00FD1DE9" w:rsidRPr="00FD1DE9">
        <w:rPr>
          <w:rFonts w:ascii="Book Antiqua" w:hAnsi="Book Antiqua"/>
          <w:lang w:val="es-PR"/>
        </w:rPr>
        <w:t>DE FEBRERO DE 2026</w:t>
      </w:r>
    </w:p>
    <w:p w14:paraId="55FDBEE7" w14:textId="77777777" w:rsidR="00FD1DE9" w:rsidRPr="00FD1DE9" w:rsidRDefault="00FD1DE9" w:rsidP="00FD1DE9">
      <w:pPr>
        <w:suppressLineNumbers/>
        <w:tabs>
          <w:tab w:val="left" w:pos="0"/>
        </w:tabs>
        <w:suppressAutoHyphens/>
        <w:spacing w:after="0"/>
        <w:jc w:val="center"/>
        <w:rPr>
          <w:rFonts w:ascii="Book Antiqua" w:hAnsi="Book Antiqua"/>
          <w:lang w:val="es-PR"/>
        </w:rPr>
      </w:pPr>
    </w:p>
    <w:p w14:paraId="02919746" w14:textId="62AA8965" w:rsidR="00FD1DE9" w:rsidRPr="00FD1DE9" w:rsidRDefault="00FD1DE9" w:rsidP="00FD1DE9">
      <w:pPr>
        <w:suppressLineNumbers/>
        <w:tabs>
          <w:tab w:val="left" w:pos="0"/>
        </w:tabs>
        <w:suppressAutoHyphens/>
        <w:spacing w:after="0"/>
        <w:jc w:val="center"/>
        <w:rPr>
          <w:rFonts w:ascii="Book Antiqua" w:hAnsi="Book Antiqua"/>
          <w:i/>
          <w:lang w:val="es-PR"/>
        </w:rPr>
      </w:pPr>
      <w:r w:rsidRPr="00FD1DE9">
        <w:rPr>
          <w:rFonts w:ascii="Book Antiqua" w:hAnsi="Book Antiqua"/>
          <w:lang w:val="es-PR"/>
        </w:rPr>
        <w:t xml:space="preserve">Presentado por </w:t>
      </w:r>
      <w:r w:rsidR="001700C9">
        <w:rPr>
          <w:rFonts w:ascii="Book Antiqua" w:hAnsi="Book Antiqua"/>
          <w:lang w:val="es-PR"/>
        </w:rPr>
        <w:t>e</w:t>
      </w:r>
      <w:r w:rsidRPr="00FD1DE9">
        <w:rPr>
          <w:rFonts w:ascii="Book Antiqua" w:hAnsi="Book Antiqua"/>
          <w:lang w:val="es-PR"/>
        </w:rPr>
        <w:t>l representante</w:t>
      </w:r>
      <w:r w:rsidRPr="00FD1DE9">
        <w:rPr>
          <w:rFonts w:ascii="Book Antiqua" w:hAnsi="Book Antiqua"/>
          <w:i/>
          <w:lang w:val="es-PR"/>
        </w:rPr>
        <w:t xml:space="preserve"> </w:t>
      </w:r>
      <w:r>
        <w:rPr>
          <w:rFonts w:ascii="Book Antiqua" w:hAnsi="Book Antiqua"/>
          <w:i/>
          <w:lang w:val="es-PR"/>
        </w:rPr>
        <w:t>Morey Noble</w:t>
      </w:r>
    </w:p>
    <w:p w14:paraId="0E4CEC09" w14:textId="68007808" w:rsidR="00FD1DE9" w:rsidRPr="00FD1DE9" w:rsidRDefault="00FD1DE9" w:rsidP="00FD1DE9">
      <w:pPr>
        <w:suppressLineNumbers/>
        <w:tabs>
          <w:tab w:val="left" w:pos="0"/>
        </w:tabs>
        <w:suppressAutoHyphens/>
        <w:spacing w:after="0"/>
        <w:jc w:val="center"/>
        <w:rPr>
          <w:rFonts w:ascii="Book Antiqua" w:hAnsi="Book Antiqua"/>
          <w:lang w:val="es-PR"/>
        </w:rPr>
      </w:pPr>
    </w:p>
    <w:p w14:paraId="3AB1992B" w14:textId="289385E4" w:rsidR="00FD1DE9" w:rsidRPr="00A43069" w:rsidRDefault="00FD1DE9" w:rsidP="00A43069">
      <w:pPr>
        <w:suppressLineNumbers/>
        <w:tabs>
          <w:tab w:val="left" w:pos="0"/>
        </w:tabs>
        <w:suppressAutoHyphens/>
        <w:spacing w:after="0"/>
        <w:jc w:val="center"/>
        <w:rPr>
          <w:rFonts w:ascii="Book Antiqua" w:hAnsi="Book Antiqua"/>
          <w:lang w:val="es-PR"/>
        </w:rPr>
      </w:pPr>
      <w:r w:rsidRPr="00FD1DE9">
        <w:rPr>
          <w:rFonts w:ascii="Book Antiqua" w:hAnsi="Book Antiqua"/>
          <w:lang w:val="es-PR"/>
        </w:rPr>
        <w:t xml:space="preserve">Referido a </w:t>
      </w:r>
      <w:r w:rsidR="009C2136">
        <w:rPr>
          <w:rFonts w:ascii="Book Antiqua" w:hAnsi="Book Antiqua"/>
          <w:lang w:val="es-PR"/>
        </w:rPr>
        <w:t xml:space="preserve">la Comisión de </w:t>
      </w:r>
      <w:r w:rsidR="00A43069">
        <w:rPr>
          <w:rFonts w:ascii="Book Antiqua" w:hAnsi="Book Antiqua"/>
          <w:lang w:val="es-PR"/>
        </w:rPr>
        <w:t>Hacienda</w:t>
      </w:r>
      <w:r w:rsidRPr="00FD1DE9">
        <w:rPr>
          <w:rFonts w:ascii="Book Antiqua" w:hAnsi="Book Antiqua"/>
          <w:lang w:val="es-PR"/>
        </w:rPr>
        <w:t xml:space="preserve"> </w:t>
      </w:r>
    </w:p>
    <w:p w14:paraId="49C771C3" w14:textId="3805343B" w:rsidR="00FD1DE9" w:rsidRPr="00FD1DE9" w:rsidRDefault="00FD1DE9" w:rsidP="00FD1DE9">
      <w:pPr>
        <w:suppressLineNumbers/>
        <w:tabs>
          <w:tab w:val="left" w:pos="5252"/>
        </w:tabs>
        <w:spacing w:after="0"/>
        <w:jc w:val="both"/>
        <w:rPr>
          <w:rFonts w:ascii="Book Antiqua" w:hAnsi="Book Antiqua"/>
          <w:lang w:val="es-PR"/>
        </w:rPr>
      </w:pPr>
      <w:r w:rsidRPr="00FD1DE9">
        <w:rPr>
          <w:rFonts w:ascii="Book Antiqua" w:hAnsi="Book Antiqua"/>
          <w:lang w:val="es-PR"/>
        </w:rPr>
        <w:tab/>
      </w:r>
    </w:p>
    <w:p w14:paraId="036428D3" w14:textId="77777777" w:rsidR="00FD1DE9" w:rsidRPr="00A43069" w:rsidRDefault="00FD1DE9" w:rsidP="00FD1DE9">
      <w:pPr>
        <w:suppressLineNumbers/>
        <w:spacing w:after="0"/>
        <w:jc w:val="center"/>
        <w:rPr>
          <w:rFonts w:ascii="Book Antiqua" w:hAnsi="Book Antiqua"/>
          <w:b/>
          <w:sz w:val="28"/>
          <w:szCs w:val="28"/>
          <w:lang w:val="es-PR"/>
        </w:rPr>
      </w:pPr>
      <w:r w:rsidRPr="00A43069">
        <w:rPr>
          <w:rFonts w:ascii="Book Antiqua" w:hAnsi="Book Antiqua"/>
          <w:b/>
          <w:sz w:val="28"/>
          <w:szCs w:val="28"/>
          <w:lang w:val="es-PR"/>
        </w:rPr>
        <w:t>LEY</w:t>
      </w:r>
    </w:p>
    <w:p w14:paraId="51C03317" w14:textId="77777777" w:rsidR="00A43069" w:rsidRPr="00FD1DE9" w:rsidRDefault="00A43069" w:rsidP="00FD1DE9">
      <w:pPr>
        <w:suppressLineNumbers/>
        <w:spacing w:after="0"/>
        <w:jc w:val="center"/>
        <w:rPr>
          <w:rFonts w:ascii="Book Antiqua" w:hAnsi="Book Antiqua"/>
          <w:b/>
          <w:lang w:val="es-PR"/>
        </w:rPr>
      </w:pPr>
    </w:p>
    <w:p w14:paraId="74BF88AA" w14:textId="5D5E0814" w:rsidR="00FD1DE9" w:rsidRPr="00703D1D" w:rsidRDefault="00FD1DE9" w:rsidP="00A43069">
      <w:pPr>
        <w:suppressLineNumbers/>
        <w:spacing w:after="0" w:line="240" w:lineRule="auto"/>
        <w:ind w:left="446" w:hanging="446"/>
        <w:jc w:val="both"/>
        <w:rPr>
          <w:rFonts w:ascii="Book Antiqua" w:hAnsi="Book Antiqua"/>
          <w:lang w:val="es-PR"/>
        </w:rPr>
      </w:pPr>
      <w:r w:rsidRPr="00703D1D">
        <w:rPr>
          <w:rFonts w:ascii="Book Antiqua" w:hAnsi="Book Antiqua"/>
          <w:lang w:val="es-PR"/>
        </w:rPr>
        <w:t>Para enmendar el Artículo 84 de la Ley Núm. 210 de 8 de diciembre de 2015, según enmendada, conocida como "Ley del Registro de la Propiedad Inmobiliaria del Estado Libre Asociado de Puerto Rico", a los fines de aclarar las exenciones al requisito de certificación de radicación de la planilla informativa sobre Declaración Afirmativa de Cuantías Transaccionales para hipotecas que no sean emitidas por negocios financieros; y para otros fines relacionados.</w:t>
      </w:r>
    </w:p>
    <w:p w14:paraId="7B9B2E31" w14:textId="77777777" w:rsidR="00FD1DE9" w:rsidRPr="00FD1DE9" w:rsidRDefault="00FD1DE9" w:rsidP="00FD1DE9">
      <w:pPr>
        <w:suppressLineNumbers/>
        <w:spacing w:after="0"/>
        <w:jc w:val="both"/>
        <w:rPr>
          <w:rFonts w:ascii="Book Antiqua" w:hAnsi="Book Antiqua"/>
          <w:b/>
          <w:bCs/>
          <w:lang w:val="es-PR"/>
        </w:rPr>
      </w:pPr>
    </w:p>
    <w:p w14:paraId="3E79A849" w14:textId="56DD1C80" w:rsidR="00FD1DE9" w:rsidRPr="00FD1DE9" w:rsidRDefault="00FD1DE9" w:rsidP="00E27A40">
      <w:pPr>
        <w:suppressLineNumbers/>
        <w:jc w:val="center"/>
        <w:rPr>
          <w:rFonts w:ascii="Book Antiqua" w:hAnsi="Book Antiqua"/>
          <w:lang w:val="es-PR"/>
        </w:rPr>
      </w:pPr>
      <w:r w:rsidRPr="00FD1DE9">
        <w:rPr>
          <w:rFonts w:ascii="Book Antiqua" w:hAnsi="Book Antiqua"/>
          <w:lang w:val="es-PR"/>
        </w:rPr>
        <w:t>EXPOSICIÓN DE MOTIVOS</w:t>
      </w:r>
    </w:p>
    <w:p w14:paraId="5C39D548" w14:textId="13FEF1E6" w:rsidR="00FD1DE9" w:rsidRDefault="00FD1DE9" w:rsidP="00A43069">
      <w:pPr>
        <w:suppressLineNumbers/>
        <w:spacing w:after="0" w:line="240" w:lineRule="auto"/>
        <w:ind w:firstLine="720"/>
        <w:jc w:val="both"/>
        <w:rPr>
          <w:rFonts w:ascii="Book Antiqua" w:hAnsi="Book Antiqua"/>
          <w:lang w:val="es-PR"/>
        </w:rPr>
      </w:pPr>
      <w:r w:rsidRPr="00FD1DE9">
        <w:rPr>
          <w:rFonts w:ascii="Book Antiqua" w:hAnsi="Book Antiqua"/>
          <w:lang w:val="es-PR"/>
        </w:rPr>
        <w:t>La Ley Núm. 210-2015, según enmendada, conocida como la “Ley del Registro de la Propiedad Inmobiliaria del Estado Libre Asociado de Puerto Rico”</w:t>
      </w:r>
      <w:r w:rsidR="002F5A7A">
        <w:rPr>
          <w:rStyle w:val="Refdenotaalpie"/>
          <w:rFonts w:ascii="Book Antiqua" w:hAnsi="Book Antiqua"/>
          <w:lang w:val="es-PR"/>
        </w:rPr>
        <w:footnoteReference w:id="1"/>
      </w:r>
      <w:r w:rsidRPr="00FD1DE9">
        <w:rPr>
          <w:rFonts w:ascii="Book Antiqua" w:hAnsi="Book Antiqua"/>
          <w:lang w:val="es-PR"/>
        </w:rPr>
        <w:t>, en su Artículo 84, establece un requisito de presentación de certificación oficial del Departamento de Hacienda acreditativa de la radicación de la planilla informativa sobre Declaración Afirmativa de Cuantías Transaccionales para aquellas hipotecas por una cuantía de quinientos mil dólares ($500,000.00) o más, cuando sea de aplicación la Sección 1063.07 del Código de Rentas Internas de Puerto Rico de 2011, según enmendado.</w:t>
      </w:r>
    </w:p>
    <w:p w14:paraId="4A64CCCB" w14:textId="77777777" w:rsidR="00A43069" w:rsidRPr="00FD1DE9" w:rsidRDefault="00A43069" w:rsidP="00A43069">
      <w:pPr>
        <w:suppressLineNumbers/>
        <w:spacing w:after="0" w:line="240" w:lineRule="auto"/>
        <w:ind w:firstLine="720"/>
        <w:jc w:val="both"/>
        <w:rPr>
          <w:rFonts w:ascii="Book Antiqua" w:hAnsi="Book Antiqua"/>
          <w:lang w:val="es-PR"/>
        </w:rPr>
      </w:pPr>
    </w:p>
    <w:p w14:paraId="31B8000D" w14:textId="72C2672A" w:rsidR="00FD1DE9" w:rsidRDefault="00FD1DE9" w:rsidP="00A43069">
      <w:pPr>
        <w:suppressLineNumbers/>
        <w:spacing w:after="0" w:line="240" w:lineRule="auto"/>
        <w:ind w:firstLine="720"/>
        <w:jc w:val="both"/>
        <w:rPr>
          <w:rFonts w:ascii="Book Antiqua" w:hAnsi="Book Antiqua"/>
          <w:lang w:val="es-PR"/>
        </w:rPr>
      </w:pPr>
      <w:r w:rsidRPr="00FD1DE9">
        <w:rPr>
          <w:rFonts w:ascii="Book Antiqua" w:hAnsi="Book Antiqua"/>
          <w:lang w:val="es-PR"/>
        </w:rPr>
        <w:t xml:space="preserve">No obstante, la redacción vigente </w:t>
      </w:r>
      <w:r w:rsidR="002F5A7A">
        <w:rPr>
          <w:rFonts w:ascii="Book Antiqua" w:hAnsi="Book Antiqua"/>
          <w:lang w:val="es-PR"/>
        </w:rPr>
        <w:t>genera</w:t>
      </w:r>
      <w:r w:rsidRPr="00FD1DE9">
        <w:rPr>
          <w:rFonts w:ascii="Book Antiqua" w:hAnsi="Book Antiqua"/>
          <w:lang w:val="es-PR"/>
        </w:rPr>
        <w:t xml:space="preserve"> serios problemas prácticos en la ejecución e inscripción de documentos hipotecarios, particularmente en aquellos casos en los que </w:t>
      </w:r>
      <w:r w:rsidRPr="00FD1DE9">
        <w:rPr>
          <w:rFonts w:ascii="Book Antiqua" w:hAnsi="Book Antiqua"/>
          <w:lang w:val="es-PR"/>
        </w:rPr>
        <w:lastRenderedPageBreak/>
        <w:t>la extensión de crédito no es otorgada por un negocio financiero, según dicho término se define en el apartado (d) de la Sección 1063.07 del Código de Rentas Internas para un Nuevo Puerto Rico</w:t>
      </w:r>
      <w:r w:rsidR="002F5A7A">
        <w:rPr>
          <w:rStyle w:val="Refdenotaalpie"/>
          <w:rFonts w:ascii="Book Antiqua" w:hAnsi="Book Antiqua"/>
          <w:lang w:val="es-PR"/>
        </w:rPr>
        <w:footnoteReference w:id="2"/>
      </w:r>
      <w:r w:rsidRPr="00FD1DE9">
        <w:rPr>
          <w:rFonts w:ascii="Book Antiqua" w:hAnsi="Book Antiqua"/>
          <w:lang w:val="es-PR"/>
        </w:rPr>
        <w:t>.</w:t>
      </w:r>
    </w:p>
    <w:p w14:paraId="0AAB31F8" w14:textId="77777777" w:rsidR="00A43069" w:rsidRPr="00FD1DE9" w:rsidRDefault="00A43069" w:rsidP="00A43069">
      <w:pPr>
        <w:suppressLineNumbers/>
        <w:spacing w:after="0" w:line="240" w:lineRule="auto"/>
        <w:ind w:firstLine="720"/>
        <w:jc w:val="both"/>
        <w:rPr>
          <w:rFonts w:ascii="Book Antiqua" w:hAnsi="Book Antiqua"/>
          <w:lang w:val="es-PR"/>
        </w:rPr>
      </w:pPr>
    </w:p>
    <w:p w14:paraId="7AE6C4D7" w14:textId="48A8B7EE" w:rsidR="00FD1DE9" w:rsidRDefault="00FD1DE9" w:rsidP="00A43069">
      <w:pPr>
        <w:suppressLineNumbers/>
        <w:spacing w:after="0" w:line="240" w:lineRule="auto"/>
        <w:ind w:firstLine="720"/>
        <w:jc w:val="both"/>
        <w:rPr>
          <w:rFonts w:ascii="Book Antiqua" w:hAnsi="Book Antiqua"/>
          <w:lang w:val="es-PR"/>
        </w:rPr>
      </w:pPr>
      <w:r w:rsidRPr="00FD1DE9">
        <w:rPr>
          <w:rFonts w:ascii="Book Antiqua" w:hAnsi="Book Antiqua"/>
          <w:lang w:val="es-PR"/>
        </w:rPr>
        <w:t xml:space="preserve">En tales casos, la ley contributiva no exige la radicación de la planilla informativa sobre Declaración Afirmativa de Cuantías Transaccionales. Sin embargo, en la práctica, el Registro de la Propiedad </w:t>
      </w:r>
      <w:r w:rsidR="002F5A7A">
        <w:rPr>
          <w:rFonts w:ascii="Book Antiqua" w:hAnsi="Book Antiqua"/>
          <w:lang w:val="es-PR"/>
        </w:rPr>
        <w:t>requiere</w:t>
      </w:r>
      <w:r w:rsidRPr="00FD1DE9">
        <w:rPr>
          <w:rFonts w:ascii="Book Antiqua" w:hAnsi="Book Antiqua"/>
          <w:lang w:val="es-PR"/>
        </w:rPr>
        <w:t xml:space="preserve"> una certificación del Departamento de Hacienda que acredite la radicación de la planilla o,</w:t>
      </w:r>
      <w:r w:rsidR="002F5A7A">
        <w:rPr>
          <w:rFonts w:ascii="Book Antiqua" w:hAnsi="Book Antiqua"/>
          <w:lang w:val="es-PR"/>
        </w:rPr>
        <w:t xml:space="preserve"> en la alternativa,</w:t>
      </w:r>
      <w:r w:rsidRPr="00FD1DE9">
        <w:rPr>
          <w:rFonts w:ascii="Book Antiqua" w:hAnsi="Book Antiqua"/>
          <w:lang w:val="es-PR"/>
        </w:rPr>
        <w:t xml:space="preserve"> una certificación negativa indicando que la disposición contributiva no aplica.</w:t>
      </w:r>
    </w:p>
    <w:p w14:paraId="0EA2D53B" w14:textId="77777777" w:rsidR="00A43069" w:rsidRPr="00FD1DE9" w:rsidRDefault="00A43069" w:rsidP="00A43069">
      <w:pPr>
        <w:suppressLineNumbers/>
        <w:spacing w:after="0" w:line="240" w:lineRule="auto"/>
        <w:ind w:firstLine="720"/>
        <w:jc w:val="both"/>
        <w:rPr>
          <w:rFonts w:ascii="Book Antiqua" w:hAnsi="Book Antiqua"/>
          <w:lang w:val="es-PR"/>
        </w:rPr>
      </w:pPr>
    </w:p>
    <w:p w14:paraId="021A6F4F" w14:textId="77777777" w:rsidR="00FD1DE9" w:rsidRDefault="00FD1DE9" w:rsidP="00A43069">
      <w:pPr>
        <w:suppressLineNumbers/>
        <w:spacing w:after="0" w:line="240" w:lineRule="auto"/>
        <w:ind w:firstLine="720"/>
        <w:jc w:val="both"/>
        <w:rPr>
          <w:rFonts w:ascii="Book Antiqua" w:hAnsi="Book Antiqua"/>
          <w:lang w:val="es-PR"/>
        </w:rPr>
      </w:pPr>
      <w:r w:rsidRPr="00FD1DE9">
        <w:rPr>
          <w:rFonts w:ascii="Book Antiqua" w:hAnsi="Book Antiqua"/>
          <w:lang w:val="es-PR"/>
        </w:rPr>
        <w:t>El Departamento de Hacienda no emite este tipo de certificaciones negativas, no cuenta con un protocolo establecido para ello y enfrenta limitaciones significativas de personal, lo que provoca atrasos, cargas burocráticas innecesarias y la paralización indebida de la inscripción de hipotecas válidamente otorgadas conforme a derecho.</w:t>
      </w:r>
    </w:p>
    <w:p w14:paraId="35B9402C" w14:textId="77777777" w:rsidR="00A43069" w:rsidRPr="00FD1DE9" w:rsidRDefault="00A43069" w:rsidP="00A43069">
      <w:pPr>
        <w:suppressLineNumbers/>
        <w:spacing w:after="0" w:line="240" w:lineRule="auto"/>
        <w:ind w:firstLine="720"/>
        <w:jc w:val="both"/>
        <w:rPr>
          <w:rFonts w:ascii="Book Antiqua" w:hAnsi="Book Antiqua"/>
          <w:lang w:val="es-PR"/>
        </w:rPr>
      </w:pPr>
    </w:p>
    <w:p w14:paraId="4B2CDF46" w14:textId="77777777" w:rsidR="00FD1DE9" w:rsidRDefault="00FD1DE9" w:rsidP="00A43069">
      <w:pPr>
        <w:suppressLineNumbers/>
        <w:spacing w:after="0" w:line="240" w:lineRule="auto"/>
        <w:ind w:firstLine="720"/>
        <w:jc w:val="both"/>
        <w:rPr>
          <w:rFonts w:ascii="Book Antiqua" w:hAnsi="Book Antiqua"/>
          <w:lang w:val="es-PR"/>
        </w:rPr>
      </w:pPr>
      <w:r w:rsidRPr="00FD1DE9">
        <w:rPr>
          <w:rFonts w:ascii="Book Antiqua" w:hAnsi="Book Antiqua"/>
          <w:lang w:val="es-PR"/>
        </w:rPr>
        <w:t>Esta situación afecta de manera directa la función notarial, el tráfico jurídico inmobiliario y el acceso al crédito privado legítimo, sin adelantar propósito fiscal alguno. Resulta necesario aclarar expresamente la intención legislativa y establecer un mecanismo alterno, eficiente y jurídicamente válido que permita acreditar que una transacción hipotecaria no está sujeta a dicho requisito contributivo.</w:t>
      </w:r>
    </w:p>
    <w:p w14:paraId="05B5E8D7" w14:textId="77777777" w:rsidR="00A43069" w:rsidRPr="00FD1DE9" w:rsidRDefault="00A43069" w:rsidP="00A43069">
      <w:pPr>
        <w:suppressLineNumbers/>
        <w:spacing w:after="0" w:line="240" w:lineRule="auto"/>
        <w:ind w:firstLine="720"/>
        <w:jc w:val="both"/>
        <w:rPr>
          <w:rFonts w:ascii="Book Antiqua" w:hAnsi="Book Antiqua"/>
          <w:lang w:val="es-PR"/>
        </w:rPr>
      </w:pPr>
    </w:p>
    <w:p w14:paraId="137E5567" w14:textId="577292E3" w:rsidR="00FD1DE9" w:rsidRDefault="00FD1DE9" w:rsidP="00A43069">
      <w:pPr>
        <w:suppressLineNumbers/>
        <w:spacing w:after="0" w:line="240" w:lineRule="auto"/>
        <w:ind w:firstLine="720"/>
        <w:jc w:val="both"/>
        <w:rPr>
          <w:rFonts w:ascii="Book Antiqua" w:hAnsi="Book Antiqua"/>
          <w:lang w:val="es-PR"/>
        </w:rPr>
      </w:pPr>
      <w:r w:rsidRPr="00FD1DE9">
        <w:rPr>
          <w:rFonts w:ascii="Book Antiqua" w:hAnsi="Book Antiqua"/>
          <w:lang w:val="es-PR"/>
        </w:rPr>
        <w:t>Por ello, esta Asamblea Legislativa entiende meritorio enmendar el Artículo 84 de la Ley Núm. 210-2015</w:t>
      </w:r>
      <w:r w:rsidR="00C0648E">
        <w:rPr>
          <w:rStyle w:val="Refdenotaalpie"/>
          <w:rFonts w:ascii="Book Antiqua" w:hAnsi="Book Antiqua"/>
          <w:lang w:val="es-PR"/>
        </w:rPr>
        <w:footnoteReference w:id="3"/>
      </w:r>
      <w:r w:rsidRPr="00FD1DE9">
        <w:rPr>
          <w:rFonts w:ascii="Book Antiqua" w:hAnsi="Book Antiqua"/>
          <w:lang w:val="es-PR"/>
        </w:rPr>
        <w:t xml:space="preserve"> para aclarar que el requisito de certificación del Departamento de Hacienda no será exigible cuando el prestatario o quien emite la extensión de crédito no sea ni cualifique como un negocio financiero, y permitir que dicha condición sea acreditada mediante declaración jurada o certificación consignada ante notario en la escritura de hipoteca correspondiente.</w:t>
      </w:r>
    </w:p>
    <w:p w14:paraId="2B50DC25" w14:textId="77777777" w:rsidR="00FD1DE9" w:rsidRPr="00FD1DE9" w:rsidRDefault="00FD1DE9" w:rsidP="00FD1DE9">
      <w:pPr>
        <w:suppressLineNumbers/>
        <w:spacing w:after="0"/>
        <w:ind w:firstLine="720"/>
        <w:jc w:val="both"/>
        <w:rPr>
          <w:rFonts w:ascii="Book Antiqua" w:hAnsi="Book Antiqua"/>
          <w:lang w:val="es-PR"/>
        </w:rPr>
      </w:pPr>
    </w:p>
    <w:p w14:paraId="541BFCA3" w14:textId="77777777" w:rsidR="00FD1DE9" w:rsidRPr="00FD1DE9" w:rsidRDefault="00FD1DE9" w:rsidP="00FD1DE9">
      <w:pPr>
        <w:suppressLineNumbers/>
        <w:spacing w:after="0" w:line="480" w:lineRule="auto"/>
        <w:jc w:val="both"/>
        <w:rPr>
          <w:rFonts w:ascii="Book Antiqua" w:hAnsi="Book Antiqua"/>
          <w:i/>
          <w:lang w:val="es-PR"/>
        </w:rPr>
      </w:pPr>
      <w:r w:rsidRPr="00FD1DE9">
        <w:rPr>
          <w:rFonts w:ascii="Book Antiqua" w:hAnsi="Book Antiqua"/>
          <w:i/>
          <w:lang w:val="es-PR"/>
        </w:rPr>
        <w:t>DECRÉTASE POR LA ASAMBLEA LEGISLATIVA DE PUERTO RICO:</w:t>
      </w:r>
    </w:p>
    <w:p w14:paraId="39EBFBE5" w14:textId="77D16B10" w:rsidR="00FD1DE9" w:rsidRPr="00FD1DE9" w:rsidRDefault="00FD1DE9" w:rsidP="001700C9">
      <w:pPr>
        <w:spacing w:after="0" w:line="480" w:lineRule="auto"/>
        <w:ind w:firstLine="720"/>
        <w:jc w:val="both"/>
        <w:rPr>
          <w:rFonts w:ascii="Book Antiqua" w:hAnsi="Book Antiqua"/>
          <w:lang w:val="es-PR"/>
        </w:rPr>
      </w:pPr>
      <w:r w:rsidRPr="00FD1DE9">
        <w:rPr>
          <w:rFonts w:ascii="Book Antiqua" w:hAnsi="Book Antiqua"/>
          <w:lang w:val="es-PR"/>
        </w:rPr>
        <w:t>Sección 1.– Se enmienda el Artículo 84 de la Ley Núm. 210-2015, según enmendada, para que lea como sigue:</w:t>
      </w:r>
    </w:p>
    <w:p w14:paraId="2D2B5AB5" w14:textId="0A47D585" w:rsidR="00FD1DE9" w:rsidRPr="00FD1DE9" w:rsidRDefault="00FD1DE9" w:rsidP="001700C9">
      <w:pPr>
        <w:spacing w:after="0" w:line="480" w:lineRule="auto"/>
        <w:jc w:val="both"/>
        <w:rPr>
          <w:rFonts w:ascii="Book Antiqua" w:hAnsi="Book Antiqua"/>
          <w:lang w:val="es-PR"/>
        </w:rPr>
      </w:pPr>
      <w:r w:rsidRPr="00FD1DE9">
        <w:rPr>
          <w:rFonts w:ascii="Book Antiqua" w:hAnsi="Book Antiqua"/>
          <w:lang w:val="es-PR"/>
        </w:rPr>
        <w:t>Artículo 84.– Hipotecas de quinientos mil dólares ($500,000.00) o más.</w:t>
      </w:r>
    </w:p>
    <w:p w14:paraId="02C7DE2D" w14:textId="696309AF" w:rsidR="00FD1DE9" w:rsidRPr="00FD1DE9" w:rsidRDefault="00FD1DE9" w:rsidP="001700C9">
      <w:pPr>
        <w:spacing w:after="0" w:line="480" w:lineRule="auto"/>
        <w:ind w:firstLine="720"/>
        <w:jc w:val="both"/>
        <w:rPr>
          <w:rFonts w:ascii="Book Antiqua" w:hAnsi="Book Antiqua"/>
          <w:lang w:val="es-PR"/>
        </w:rPr>
      </w:pPr>
      <w:r w:rsidRPr="00FD1DE9">
        <w:rPr>
          <w:rFonts w:ascii="Book Antiqua" w:hAnsi="Book Antiqua"/>
          <w:lang w:val="es-PR"/>
        </w:rPr>
        <w:t>…</w:t>
      </w:r>
    </w:p>
    <w:p w14:paraId="48A30FBB" w14:textId="1CD1789A" w:rsidR="00FD1DE9" w:rsidRPr="00FD1DE9" w:rsidRDefault="00FD1DE9" w:rsidP="001700C9">
      <w:pPr>
        <w:spacing w:after="0" w:line="480" w:lineRule="auto"/>
        <w:ind w:firstLine="720"/>
        <w:jc w:val="both"/>
        <w:rPr>
          <w:rFonts w:ascii="Book Antiqua" w:hAnsi="Book Antiqua"/>
          <w:lang w:val="es-PR"/>
        </w:rPr>
      </w:pPr>
      <w:r w:rsidRPr="00FD1DE9">
        <w:rPr>
          <w:rFonts w:ascii="Book Antiqua" w:hAnsi="Book Antiqua"/>
          <w:lang w:val="es-PR"/>
        </w:rPr>
        <w:lastRenderedPageBreak/>
        <w:t>Se exime de este requisito a los casos en que el prestatario o quien emite la extensión de crédito no sea ni cualifique como un negocio financiero, según dicho término se define en el apartado (d) de la Sección 1063.07 de</w:t>
      </w:r>
      <w:r w:rsidR="00C0648E">
        <w:rPr>
          <w:rFonts w:ascii="Book Antiqua" w:hAnsi="Book Antiqua"/>
          <w:lang w:val="es-PR"/>
        </w:rPr>
        <w:t xml:space="preserve"> la Ley Núm. 1-2011, según enmendada, conocida como</w:t>
      </w:r>
      <w:r w:rsidRPr="00FD1DE9">
        <w:rPr>
          <w:rFonts w:ascii="Book Antiqua" w:hAnsi="Book Antiqua"/>
          <w:lang w:val="es-PR"/>
        </w:rPr>
        <w:t xml:space="preserve"> </w:t>
      </w:r>
      <w:r w:rsidR="00C0648E">
        <w:rPr>
          <w:rFonts w:ascii="Book Antiqua" w:hAnsi="Book Antiqua"/>
          <w:lang w:val="es-PR"/>
        </w:rPr>
        <w:t>“</w:t>
      </w:r>
      <w:r w:rsidRPr="00FD1DE9">
        <w:rPr>
          <w:rFonts w:ascii="Book Antiqua" w:hAnsi="Book Antiqua"/>
          <w:lang w:val="es-PR"/>
        </w:rPr>
        <w:t>Código de Rentas Internas para un Nuevo Puerto Rico</w:t>
      </w:r>
      <w:r w:rsidR="00C0648E">
        <w:rPr>
          <w:rFonts w:ascii="Book Antiqua" w:hAnsi="Book Antiqua"/>
          <w:lang w:val="es-PR"/>
        </w:rPr>
        <w:t>”.</w:t>
      </w:r>
    </w:p>
    <w:p w14:paraId="329F594B" w14:textId="1495D2BC" w:rsidR="00FD1DE9" w:rsidRPr="00FD1DE9" w:rsidRDefault="00FD1DE9" w:rsidP="001700C9">
      <w:pPr>
        <w:spacing w:after="0" w:line="480" w:lineRule="auto"/>
        <w:ind w:firstLine="720"/>
        <w:jc w:val="both"/>
        <w:rPr>
          <w:rFonts w:ascii="Book Antiqua" w:hAnsi="Book Antiqua"/>
          <w:lang w:val="es-PR"/>
        </w:rPr>
      </w:pPr>
      <w:r w:rsidRPr="00FD1DE9">
        <w:rPr>
          <w:rFonts w:ascii="Book Antiqua" w:hAnsi="Book Antiqua"/>
          <w:lang w:val="es-PR"/>
        </w:rPr>
        <w:t xml:space="preserve">Para estos efectos, el prestatario o quien emite la extensión de crédito deberá certificar mediante declaración jurada o mediante manifestación expresa consignada ante notario en la escritura de hipoteca correspondiente que no es agencia, sucursal, oficina o establecimiento de cualquier persona dedicada a hacer negocios como negocio financiero, conforme a la definición establecida en dicho </w:t>
      </w:r>
      <w:r w:rsidR="00C0648E">
        <w:rPr>
          <w:rFonts w:ascii="Book Antiqua" w:hAnsi="Book Antiqua"/>
          <w:lang w:val="es-PR"/>
        </w:rPr>
        <w:t>“</w:t>
      </w:r>
      <w:r w:rsidRPr="00FD1DE9">
        <w:rPr>
          <w:rFonts w:ascii="Book Antiqua" w:hAnsi="Book Antiqua"/>
          <w:lang w:val="es-PR"/>
        </w:rPr>
        <w:t>Código de Rentas Internas para un Nuevo Puerto Rico</w:t>
      </w:r>
      <w:r w:rsidR="00C0648E">
        <w:rPr>
          <w:rFonts w:ascii="Book Antiqua" w:hAnsi="Book Antiqua"/>
          <w:lang w:val="es-PR"/>
        </w:rPr>
        <w:t>”</w:t>
      </w:r>
      <w:r w:rsidRPr="00FD1DE9">
        <w:rPr>
          <w:rFonts w:ascii="Book Antiqua" w:hAnsi="Book Antiqua"/>
          <w:lang w:val="es-PR"/>
        </w:rPr>
        <w:t>.</w:t>
      </w:r>
    </w:p>
    <w:p w14:paraId="2631735B" w14:textId="77777777" w:rsidR="00FD1DE9" w:rsidRPr="00FD1DE9" w:rsidRDefault="00FD1DE9" w:rsidP="001700C9">
      <w:pPr>
        <w:spacing w:after="0" w:line="480" w:lineRule="auto"/>
        <w:ind w:firstLine="360"/>
        <w:jc w:val="both"/>
        <w:rPr>
          <w:rFonts w:ascii="Book Antiqua" w:hAnsi="Book Antiqua"/>
          <w:lang w:val="es-PR"/>
        </w:rPr>
      </w:pPr>
      <w:r w:rsidRPr="00FD1DE9">
        <w:rPr>
          <w:rFonts w:ascii="Book Antiqua" w:hAnsi="Book Antiqua"/>
          <w:lang w:val="es-PR"/>
        </w:rPr>
        <w:t>Dicha certificación será suficiente para fines de inscripción y el Registro de la Propiedad no podrá exigir certificación adicional del Departamento de Hacienda ni denegar o suspender la inscripción por la ausencia de la planilla informativa o de certificación negativa alguna.</w:t>
      </w:r>
    </w:p>
    <w:p w14:paraId="25D37670" w14:textId="4582AC90" w:rsidR="00FD1DE9" w:rsidRPr="00FD1DE9" w:rsidRDefault="001700C9" w:rsidP="001700C9">
      <w:pPr>
        <w:spacing w:after="0" w:line="480" w:lineRule="auto"/>
        <w:ind w:firstLine="360"/>
        <w:jc w:val="both"/>
        <w:rPr>
          <w:rFonts w:ascii="Book Antiqua" w:hAnsi="Book Antiqua"/>
          <w:lang w:val="es-PR" w:eastAsia="es-PR"/>
        </w:rPr>
      </w:pPr>
      <w:r w:rsidRPr="00FD1DE9">
        <w:rPr>
          <w:rFonts w:ascii="Book Antiqua" w:hAnsi="Book Antiqua"/>
          <w:lang w:val="es-PR"/>
        </w:rPr>
        <w:t>Sección</w:t>
      </w:r>
      <w:r w:rsidR="00FD1DE9" w:rsidRPr="00703D1D">
        <w:rPr>
          <w:rFonts w:ascii="Book Antiqua" w:hAnsi="Book Antiqua"/>
          <w:lang w:val="es-PR"/>
        </w:rPr>
        <w:t xml:space="preserve"> 2.- </w:t>
      </w:r>
      <w:r w:rsidR="00FD1DE9" w:rsidRPr="00FD1DE9">
        <w:rPr>
          <w:rFonts w:ascii="Book Antiqua" w:hAnsi="Book Antiqua"/>
          <w:lang w:val="es-PR" w:eastAsia="es-PR"/>
        </w:rPr>
        <w:t>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w:t>
      </w:r>
    </w:p>
    <w:p w14:paraId="7AC9AB2A" w14:textId="6C4852DE" w:rsidR="00A777A0" w:rsidRPr="001700C9" w:rsidRDefault="00FD1DE9" w:rsidP="001700C9">
      <w:pPr>
        <w:spacing w:after="0" w:line="480" w:lineRule="auto"/>
        <w:ind w:firstLine="360"/>
        <w:jc w:val="both"/>
        <w:rPr>
          <w:rFonts w:ascii="Book Antiqua" w:hAnsi="Book Antiqua"/>
          <w:i/>
          <w:lang w:val="es-PR" w:eastAsia="es-PR"/>
        </w:rPr>
      </w:pPr>
      <w:r w:rsidRPr="00FD1DE9">
        <w:rPr>
          <w:rFonts w:ascii="Book Antiqua" w:hAnsi="Book Antiqua"/>
          <w:lang w:val="es-PR" w:eastAsia="es-PR"/>
        </w:rPr>
        <w:t>Sección 3.-Esta Ley entrará en vigor inmediatamente después de su aprobación.</w:t>
      </w:r>
    </w:p>
    <w:sectPr w:rsidR="00A777A0" w:rsidRPr="001700C9" w:rsidSect="00CC7201">
      <w:headerReference w:type="even" r:id="rId7"/>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33FAE" w14:textId="77777777" w:rsidR="00E3140B" w:rsidRDefault="00E3140B" w:rsidP="002F5A7A">
      <w:pPr>
        <w:spacing w:after="0" w:line="240" w:lineRule="auto"/>
      </w:pPr>
      <w:r>
        <w:separator/>
      </w:r>
    </w:p>
  </w:endnote>
  <w:endnote w:type="continuationSeparator" w:id="0">
    <w:p w14:paraId="4789D60F" w14:textId="77777777" w:rsidR="00E3140B" w:rsidRDefault="00E3140B" w:rsidP="002F5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11B52" w14:textId="77777777" w:rsidR="00E3140B" w:rsidRDefault="00E3140B" w:rsidP="002F5A7A">
      <w:pPr>
        <w:spacing w:after="0" w:line="240" w:lineRule="auto"/>
      </w:pPr>
      <w:r>
        <w:separator/>
      </w:r>
    </w:p>
  </w:footnote>
  <w:footnote w:type="continuationSeparator" w:id="0">
    <w:p w14:paraId="15785035" w14:textId="77777777" w:rsidR="00E3140B" w:rsidRDefault="00E3140B" w:rsidP="002F5A7A">
      <w:pPr>
        <w:spacing w:after="0" w:line="240" w:lineRule="auto"/>
      </w:pPr>
      <w:r>
        <w:continuationSeparator/>
      </w:r>
    </w:p>
  </w:footnote>
  <w:footnote w:id="1">
    <w:p w14:paraId="3692D268" w14:textId="23646C80" w:rsidR="002F5A7A" w:rsidRPr="00FB19B2" w:rsidRDefault="002F5A7A" w:rsidP="00CC7201">
      <w:pPr>
        <w:pStyle w:val="Textonotapie"/>
        <w:ind w:left="720" w:hanging="720"/>
        <w:jc w:val="both"/>
        <w:rPr>
          <w:rFonts w:ascii="Book Antiqua" w:hAnsi="Book Antiqua" w:cs="Times New Roman"/>
          <w:lang w:val="es-ES"/>
        </w:rPr>
      </w:pPr>
      <w:r w:rsidRPr="00FB19B2">
        <w:rPr>
          <w:rStyle w:val="Refdenotaalpie"/>
          <w:rFonts w:ascii="Book Antiqua" w:hAnsi="Book Antiqua" w:cs="Times New Roman"/>
          <w:lang w:val="es-ES"/>
        </w:rPr>
        <w:footnoteRef/>
      </w:r>
      <w:r w:rsidRPr="00FB19B2">
        <w:rPr>
          <w:rFonts w:ascii="Book Antiqua" w:hAnsi="Book Antiqua" w:cs="Times New Roman"/>
          <w:lang w:val="es-ES"/>
        </w:rPr>
        <w:t xml:space="preserve"> </w:t>
      </w:r>
      <w:r w:rsidRPr="00FB19B2">
        <w:rPr>
          <w:rFonts w:ascii="Book Antiqua" w:hAnsi="Book Antiqua" w:cs="Times New Roman"/>
          <w:lang w:val="es-ES"/>
        </w:rPr>
        <w:tab/>
      </w:r>
      <w:r w:rsidR="00FB19B2" w:rsidRPr="00FB19B2">
        <w:rPr>
          <w:rFonts w:ascii="Book Antiqua" w:hAnsi="Book Antiqua" w:cs="Times New Roman"/>
          <w:lang w:val="es-ES"/>
        </w:rPr>
        <w:t xml:space="preserve">Ley Núm. 210-2015, según enmendada, conocida como “Ley del Registro de la Propiedad Inmobiliaria”, 30 LPRA sec. 6001 </w:t>
      </w:r>
      <w:r w:rsidR="00FB19B2" w:rsidRPr="00FB19B2">
        <w:rPr>
          <w:rFonts w:ascii="Book Antiqua" w:hAnsi="Book Antiqua" w:cs="Times New Roman"/>
          <w:i/>
          <w:iCs/>
          <w:lang w:val="es-ES"/>
        </w:rPr>
        <w:t xml:space="preserve">et </w:t>
      </w:r>
      <w:proofErr w:type="spellStart"/>
      <w:r w:rsidR="00FB19B2" w:rsidRPr="00FB19B2">
        <w:rPr>
          <w:rFonts w:ascii="Book Antiqua" w:hAnsi="Book Antiqua" w:cs="Times New Roman"/>
          <w:i/>
          <w:iCs/>
          <w:lang w:val="es-ES"/>
        </w:rPr>
        <w:t>seq</w:t>
      </w:r>
      <w:proofErr w:type="spellEnd"/>
      <w:r w:rsidR="00FB19B2" w:rsidRPr="00FB19B2">
        <w:rPr>
          <w:rFonts w:ascii="Book Antiqua" w:hAnsi="Book Antiqua" w:cs="Times New Roman"/>
          <w:lang w:val="es-ES"/>
        </w:rPr>
        <w:t>.</w:t>
      </w:r>
    </w:p>
  </w:footnote>
  <w:footnote w:id="2">
    <w:p w14:paraId="26FCB5A3" w14:textId="3AE075B3" w:rsidR="002F5A7A" w:rsidRPr="00343D3E" w:rsidRDefault="002F5A7A" w:rsidP="00CC7201">
      <w:pPr>
        <w:pStyle w:val="Textonotapie"/>
        <w:ind w:left="360" w:hanging="360"/>
        <w:jc w:val="both"/>
        <w:rPr>
          <w:rFonts w:ascii="Book Antiqua" w:hAnsi="Book Antiqua" w:cs="Times New Roman"/>
          <w:lang w:val="es-PR"/>
        </w:rPr>
      </w:pPr>
      <w:r w:rsidRPr="00CC7201">
        <w:rPr>
          <w:rStyle w:val="Refdenotaalpie"/>
          <w:rFonts w:ascii="Book Antiqua" w:hAnsi="Book Antiqua" w:cs="Times New Roman"/>
        </w:rPr>
        <w:footnoteRef/>
      </w:r>
      <w:r w:rsidRPr="00343D3E">
        <w:rPr>
          <w:rFonts w:ascii="Book Antiqua" w:hAnsi="Book Antiqua" w:cs="Times New Roman"/>
          <w:lang w:val="es-PR"/>
        </w:rPr>
        <w:t xml:space="preserve"> </w:t>
      </w:r>
      <w:r w:rsidR="00FB19B2" w:rsidRPr="00343D3E">
        <w:rPr>
          <w:rFonts w:ascii="Book Antiqua" w:hAnsi="Book Antiqua" w:cs="Times New Roman"/>
          <w:lang w:val="es-PR"/>
        </w:rPr>
        <w:tab/>
      </w:r>
      <w:r w:rsidR="00CC7201" w:rsidRPr="00343D3E">
        <w:rPr>
          <w:rFonts w:ascii="Book Antiqua" w:hAnsi="Book Antiqua" w:cs="Times New Roman"/>
          <w:lang w:val="es-PR"/>
        </w:rPr>
        <w:t xml:space="preserve">Sección 1063.07(d) de la Ley Núm. 1-2011, según enmendada, conocida como Código de Rentas Internas de Puerto Rico” o “Código de Rentas Internas para un Nuevo Puerto Rico”, 13 LPRA sec. 30297. </w:t>
      </w:r>
    </w:p>
  </w:footnote>
  <w:footnote w:id="3">
    <w:p w14:paraId="6179FCE8" w14:textId="197D1104" w:rsidR="00C0648E" w:rsidRPr="00B65FF6" w:rsidRDefault="00C0648E" w:rsidP="00CC7201">
      <w:pPr>
        <w:pStyle w:val="Textonotapie"/>
        <w:ind w:left="360" w:hanging="360"/>
        <w:rPr>
          <w:lang w:val="es-PR"/>
        </w:rPr>
      </w:pPr>
      <w:r w:rsidRPr="00CC7201">
        <w:rPr>
          <w:rStyle w:val="Refdenotaalpie"/>
          <w:rFonts w:ascii="Book Antiqua" w:hAnsi="Book Antiqua"/>
        </w:rPr>
        <w:footnoteRef/>
      </w:r>
      <w:r w:rsidRPr="00B65FF6">
        <w:rPr>
          <w:rFonts w:ascii="Book Antiqua" w:hAnsi="Book Antiqua"/>
          <w:lang w:val="es-PR"/>
        </w:rPr>
        <w:t xml:space="preserve"> </w:t>
      </w:r>
      <w:r w:rsidR="00CC7201" w:rsidRPr="00B65FF6">
        <w:rPr>
          <w:rFonts w:ascii="Book Antiqua" w:hAnsi="Book Antiqua"/>
          <w:lang w:val="es-PR"/>
        </w:rPr>
        <w:t xml:space="preserve">    Art. 84 de la Ley 210-2015, supra, sec. 6111.</w:t>
      </w:r>
      <w:r w:rsidR="00CC7201" w:rsidRPr="00B65FF6">
        <w:rPr>
          <w:lang w:val="es-P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636370959"/>
      <w:docPartObj>
        <w:docPartGallery w:val="Page Numbers (Top of Page)"/>
        <w:docPartUnique/>
      </w:docPartObj>
    </w:sdtPr>
    <w:sdtEndPr>
      <w:rPr>
        <w:rStyle w:val="Nmerodepgina"/>
      </w:rPr>
    </w:sdtEndPr>
    <w:sdtContent>
      <w:p w14:paraId="0B3D45D5" w14:textId="21B58F52" w:rsidR="00CC7201" w:rsidRDefault="00CC7201" w:rsidP="000E0EEB">
        <w:pPr>
          <w:pStyle w:val="Encabezado"/>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fldChar w:fldCharType="end"/>
        </w:r>
      </w:p>
    </w:sdtContent>
  </w:sdt>
  <w:p w14:paraId="6F00C2C7" w14:textId="77777777" w:rsidR="00CC7201" w:rsidRDefault="00CC720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561516668"/>
      <w:docPartObj>
        <w:docPartGallery w:val="Page Numbers (Top of Page)"/>
        <w:docPartUnique/>
      </w:docPartObj>
    </w:sdtPr>
    <w:sdtEndPr>
      <w:rPr>
        <w:rStyle w:val="Nmerodepgina"/>
      </w:rPr>
    </w:sdtEndPr>
    <w:sdtContent>
      <w:p w14:paraId="1EBF7191" w14:textId="17AE7AD5" w:rsidR="00CC7201" w:rsidRDefault="00CC7201" w:rsidP="000E0EEB">
        <w:pPr>
          <w:pStyle w:val="Encabezado"/>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sdtContent>
  </w:sdt>
  <w:p w14:paraId="1C205090" w14:textId="77777777" w:rsidR="00CC7201" w:rsidRDefault="00CC720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DE9"/>
    <w:rsid w:val="001700C9"/>
    <w:rsid w:val="00212341"/>
    <w:rsid w:val="002F5A7A"/>
    <w:rsid w:val="00343D3E"/>
    <w:rsid w:val="00355C5A"/>
    <w:rsid w:val="003E5602"/>
    <w:rsid w:val="005A13FD"/>
    <w:rsid w:val="0064313D"/>
    <w:rsid w:val="00735106"/>
    <w:rsid w:val="008A0DAA"/>
    <w:rsid w:val="0096119A"/>
    <w:rsid w:val="009A0D9E"/>
    <w:rsid w:val="009C2136"/>
    <w:rsid w:val="00A43069"/>
    <w:rsid w:val="00A61872"/>
    <w:rsid w:val="00A777A0"/>
    <w:rsid w:val="00A9486E"/>
    <w:rsid w:val="00AA7731"/>
    <w:rsid w:val="00B242E2"/>
    <w:rsid w:val="00B65FF6"/>
    <w:rsid w:val="00C0648E"/>
    <w:rsid w:val="00C21A3E"/>
    <w:rsid w:val="00C81806"/>
    <w:rsid w:val="00CC7201"/>
    <w:rsid w:val="00E27A40"/>
    <w:rsid w:val="00E3140B"/>
    <w:rsid w:val="00FB19B2"/>
    <w:rsid w:val="00FD0256"/>
    <w:rsid w:val="00FD1D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3CFD8"/>
  <w15:chartTrackingRefBased/>
  <w15:docId w15:val="{BEEA1898-DB99-40E7-8689-3FE827F92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D1D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D1D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D1DE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D1DE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D1DE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D1DE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D1DE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D1DE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D1DE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D1DE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D1DE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D1DE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D1DE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D1DE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D1DE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D1DE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D1DE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D1DE9"/>
    <w:rPr>
      <w:rFonts w:eastAsiaTheme="majorEastAsia" w:cstheme="majorBidi"/>
      <w:color w:val="272727" w:themeColor="text1" w:themeTint="D8"/>
    </w:rPr>
  </w:style>
  <w:style w:type="paragraph" w:styleId="Ttulo">
    <w:name w:val="Title"/>
    <w:basedOn w:val="Normal"/>
    <w:next w:val="Normal"/>
    <w:link w:val="TtuloCar"/>
    <w:uiPriority w:val="10"/>
    <w:qFormat/>
    <w:rsid w:val="00FD1D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D1DE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D1DE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D1DE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D1DE9"/>
    <w:pPr>
      <w:spacing w:before="160"/>
      <w:jc w:val="center"/>
    </w:pPr>
    <w:rPr>
      <w:i/>
      <w:iCs/>
      <w:color w:val="404040" w:themeColor="text1" w:themeTint="BF"/>
    </w:rPr>
  </w:style>
  <w:style w:type="character" w:customStyle="1" w:styleId="CitaCar">
    <w:name w:val="Cita Car"/>
    <w:basedOn w:val="Fuentedeprrafopredeter"/>
    <w:link w:val="Cita"/>
    <w:uiPriority w:val="29"/>
    <w:rsid w:val="00FD1DE9"/>
    <w:rPr>
      <w:i/>
      <w:iCs/>
      <w:color w:val="404040" w:themeColor="text1" w:themeTint="BF"/>
    </w:rPr>
  </w:style>
  <w:style w:type="paragraph" w:styleId="Prrafodelista">
    <w:name w:val="List Paragraph"/>
    <w:basedOn w:val="Normal"/>
    <w:uiPriority w:val="34"/>
    <w:qFormat/>
    <w:rsid w:val="00FD1DE9"/>
    <w:pPr>
      <w:ind w:left="720"/>
      <w:contextualSpacing/>
    </w:pPr>
  </w:style>
  <w:style w:type="character" w:styleId="nfasisintenso">
    <w:name w:val="Intense Emphasis"/>
    <w:basedOn w:val="Fuentedeprrafopredeter"/>
    <w:uiPriority w:val="21"/>
    <w:qFormat/>
    <w:rsid w:val="00FD1DE9"/>
    <w:rPr>
      <w:i/>
      <w:iCs/>
      <w:color w:val="0F4761" w:themeColor="accent1" w:themeShade="BF"/>
    </w:rPr>
  </w:style>
  <w:style w:type="paragraph" w:styleId="Citadestacada">
    <w:name w:val="Intense Quote"/>
    <w:basedOn w:val="Normal"/>
    <w:next w:val="Normal"/>
    <w:link w:val="CitadestacadaCar"/>
    <w:uiPriority w:val="30"/>
    <w:qFormat/>
    <w:rsid w:val="00FD1D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D1DE9"/>
    <w:rPr>
      <w:i/>
      <w:iCs/>
      <w:color w:val="0F4761" w:themeColor="accent1" w:themeShade="BF"/>
    </w:rPr>
  </w:style>
  <w:style w:type="character" w:styleId="Referenciaintensa">
    <w:name w:val="Intense Reference"/>
    <w:basedOn w:val="Fuentedeprrafopredeter"/>
    <w:uiPriority w:val="32"/>
    <w:qFormat/>
    <w:rsid w:val="00FD1DE9"/>
    <w:rPr>
      <w:b/>
      <w:bCs/>
      <w:smallCaps/>
      <w:color w:val="0F4761" w:themeColor="accent1" w:themeShade="BF"/>
      <w:spacing w:val="5"/>
    </w:rPr>
  </w:style>
  <w:style w:type="character" w:styleId="Nmerodelnea">
    <w:name w:val="line number"/>
    <w:basedOn w:val="Fuentedeprrafopredeter"/>
    <w:uiPriority w:val="99"/>
    <w:semiHidden/>
    <w:unhideWhenUsed/>
    <w:rsid w:val="00FD1DE9"/>
  </w:style>
  <w:style w:type="paragraph" w:styleId="Textonotapie">
    <w:name w:val="footnote text"/>
    <w:basedOn w:val="Normal"/>
    <w:link w:val="TextonotapieCar"/>
    <w:uiPriority w:val="99"/>
    <w:semiHidden/>
    <w:unhideWhenUsed/>
    <w:rsid w:val="002F5A7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F5A7A"/>
    <w:rPr>
      <w:sz w:val="20"/>
      <w:szCs w:val="20"/>
    </w:rPr>
  </w:style>
  <w:style w:type="character" w:styleId="Refdenotaalpie">
    <w:name w:val="footnote reference"/>
    <w:basedOn w:val="Fuentedeprrafopredeter"/>
    <w:uiPriority w:val="99"/>
    <w:semiHidden/>
    <w:unhideWhenUsed/>
    <w:rsid w:val="002F5A7A"/>
    <w:rPr>
      <w:vertAlign w:val="superscript"/>
    </w:rPr>
  </w:style>
  <w:style w:type="paragraph" w:styleId="Encabezado">
    <w:name w:val="header"/>
    <w:basedOn w:val="Normal"/>
    <w:link w:val="EncabezadoCar"/>
    <w:uiPriority w:val="99"/>
    <w:unhideWhenUsed/>
    <w:rsid w:val="00CC7201"/>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CC7201"/>
  </w:style>
  <w:style w:type="character" w:styleId="Nmerodepgina">
    <w:name w:val="page number"/>
    <w:basedOn w:val="Fuentedeprrafopredeter"/>
    <w:uiPriority w:val="99"/>
    <w:semiHidden/>
    <w:unhideWhenUsed/>
    <w:rsid w:val="00CC72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05A365-1B9B-F245-A893-3390D5333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749</Words>
  <Characters>4343</Characters>
  <Application>Microsoft Office Word</Application>
  <DocSecurity>0</DocSecurity>
  <Lines>310</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Oppenheimer</dc:creator>
  <cp:keywords>Morey</cp:keywords>
  <dc:description/>
  <cp:lastModifiedBy>Rocío Alayón Morell</cp:lastModifiedBy>
  <cp:revision>4</cp:revision>
  <dcterms:created xsi:type="dcterms:W3CDTF">2026-02-13T19:28:00Z</dcterms:created>
  <dcterms:modified xsi:type="dcterms:W3CDTF">2026-02-17T15:20:00Z</dcterms:modified>
</cp:coreProperties>
</file>