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jc w:val="center"/>
        <w:rPr>
          <w:rFonts w:ascii="Book Antiqua" w:hAnsi="Book Antiqua"/>
          <w:sz w:val="36"/>
          <w:szCs w:val="20"/>
          <w:lang w:val="es-ES_tradnl"/>
        </w:rPr>
      </w:pPr>
      <w:r>
        <w:rPr>
          <w:rFonts w:ascii="Book Antiqua" w:hAnsi="Book Antiqua"/>
          <w:sz w:val="36"/>
          <w:szCs w:val="20"/>
          <w:lang w:val="es-ES_tradnl"/>
        </w:rPr>
        <w:t xml:space="preserve">GOBIERNO </w:t>
      </w:r>
      <w:r w:rsidR="002573CC" w:rsidRPr="002573CC">
        <w:rPr>
          <w:rFonts w:ascii="Book Antiqua" w:hAnsi="Book Antiqua"/>
          <w:sz w:val="36"/>
          <w:szCs w:val="20"/>
          <w:lang w:val="es-ES_tradnl"/>
        </w:rPr>
        <w:t>DE PUERTO RICO</w:t>
      </w:r>
    </w:p>
    <w:p w14:paraId="14DCF277" w14:textId="77777777" w:rsidR="002573CC" w:rsidRPr="002573CC" w:rsidRDefault="002573CC" w:rsidP="002573CC">
      <w:pPr>
        <w:suppressLineNumbers/>
        <w:jc w:val="center"/>
        <w:rPr>
          <w:rFonts w:ascii="Book Antiqua" w:hAnsi="Book Antiqua"/>
          <w:szCs w:val="20"/>
          <w:lang w:val="es-ES_tradnl"/>
        </w:rPr>
      </w:pPr>
    </w:p>
    <w:p w14:paraId="7B4E789F" w14:textId="10D32648" w:rsidR="002573CC" w:rsidRPr="002573CC" w:rsidRDefault="009D6C16" w:rsidP="002573CC">
      <w:pPr>
        <w:suppressLineNumbers/>
        <w:tabs>
          <w:tab w:val="left" w:pos="648"/>
          <w:tab w:val="right" w:pos="7776"/>
          <w:tab w:val="left" w:pos="7848"/>
        </w:tabs>
        <w:rPr>
          <w:rFonts w:ascii="Book Antiqua" w:hAnsi="Book Antiqua"/>
          <w:szCs w:val="20"/>
          <w:lang w:val="es-ES_tradnl"/>
        </w:rPr>
      </w:pPr>
      <w:r>
        <w:rPr>
          <w:rFonts w:ascii="Book Antiqua" w:hAnsi="Book Antiqua"/>
          <w:szCs w:val="20"/>
          <w:lang w:val="es-ES_tradnl"/>
        </w:rPr>
        <w:t>20</w:t>
      </w:r>
      <w:r>
        <w:rPr>
          <w:rFonts w:ascii="Book Antiqua" w:hAnsi="Book Antiqua"/>
          <w:szCs w:val="20"/>
          <w:vertAlign w:val="superscript"/>
          <w:lang w:val="es-ES_tradnl"/>
        </w:rPr>
        <w:t>m</w:t>
      </w:r>
      <w:r w:rsidR="002573CC" w:rsidRPr="002573CC">
        <w:rPr>
          <w:rFonts w:ascii="Book Antiqua" w:hAnsi="Book Antiqua"/>
          <w:szCs w:val="20"/>
          <w:vertAlign w:val="superscript"/>
          <w:lang w:val="es-ES_tradnl"/>
        </w:rPr>
        <w:t>a.</w:t>
      </w:r>
      <w:r w:rsidR="002573CC" w:rsidRPr="002573CC">
        <w:rPr>
          <w:rFonts w:ascii="Book Antiqua" w:hAnsi="Book Antiqua"/>
          <w:szCs w:val="20"/>
          <w:lang w:val="es-ES_tradnl"/>
        </w:rPr>
        <w:tab/>
        <w:t>Asamblea</w:t>
      </w:r>
      <w:r w:rsidR="002573CC" w:rsidRPr="002573CC">
        <w:rPr>
          <w:rFonts w:ascii="Book Antiqua" w:hAnsi="Book Antiqua"/>
          <w:szCs w:val="20"/>
          <w:lang w:val="es-ES_tradnl"/>
        </w:rPr>
        <w:tab/>
      </w:r>
      <w:r w:rsidR="00B86028">
        <w:rPr>
          <w:rFonts w:ascii="Book Antiqua" w:hAnsi="Book Antiqua"/>
          <w:szCs w:val="20"/>
          <w:lang w:val="es-ES_tradnl"/>
        </w:rPr>
        <w:t>3</w:t>
      </w:r>
      <w:r>
        <w:rPr>
          <w:rFonts w:ascii="Book Antiqua" w:hAnsi="Book Antiqua"/>
          <w:szCs w:val="20"/>
          <w:vertAlign w:val="superscript"/>
          <w:lang w:val="es-ES_tradnl"/>
        </w:rPr>
        <w:t>r</w:t>
      </w:r>
      <w:r w:rsidR="002573CC" w:rsidRPr="002573CC">
        <w:rPr>
          <w:rFonts w:ascii="Book Antiqua" w:hAnsi="Book Antiqua"/>
          <w:szCs w:val="20"/>
          <w:vertAlign w:val="superscript"/>
          <w:lang w:val="es-ES_tradnl"/>
        </w:rPr>
        <w:t>a.</w:t>
      </w:r>
      <w:r w:rsidR="002573CC" w:rsidRPr="002573CC">
        <w:rPr>
          <w:rFonts w:ascii="Book Antiqua" w:hAnsi="Book Antiqua"/>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rPr>
          <w:rFonts w:ascii="Book Antiqua" w:hAnsi="Book Antiqua"/>
          <w:szCs w:val="20"/>
          <w:lang w:val="es-ES_tradnl"/>
        </w:rPr>
      </w:pPr>
      <w:r w:rsidRPr="002573CC">
        <w:rPr>
          <w:rFonts w:ascii="Book Antiqua" w:hAnsi="Book Antiqua"/>
          <w:szCs w:val="20"/>
          <w:lang w:val="es-ES_tradnl"/>
        </w:rPr>
        <w:tab/>
        <w:t>Legislativa</w:t>
      </w:r>
      <w:r w:rsidRPr="002573CC">
        <w:rPr>
          <w:rFonts w:ascii="Book Antiqua" w:hAnsi="Book Antiqua"/>
          <w:szCs w:val="20"/>
          <w:lang w:val="es-ES_tradnl"/>
        </w:rPr>
        <w:tab/>
      </w:r>
      <w:r w:rsidRPr="002573CC">
        <w:rPr>
          <w:rFonts w:ascii="Book Antiqua" w:hAnsi="Book Antiqua"/>
          <w:szCs w:val="20"/>
          <w:lang w:val="es-ES_tradnl"/>
        </w:rPr>
        <w:tab/>
        <w:t>Ordinaria</w:t>
      </w:r>
    </w:p>
    <w:p w14:paraId="36E1EB6D" w14:textId="77777777" w:rsidR="002573CC" w:rsidRPr="002573CC" w:rsidRDefault="002573CC" w:rsidP="002573CC">
      <w:pPr>
        <w:rPr>
          <w:rFonts w:ascii="Book Antiqua" w:hAnsi="Book Antiqua"/>
          <w:szCs w:val="20"/>
          <w:lang w:val="es-ES_tradnl"/>
        </w:rPr>
      </w:pPr>
    </w:p>
    <w:p w14:paraId="14118107" w14:textId="1988B730" w:rsidR="002573CC" w:rsidRPr="002573CC" w:rsidRDefault="009D6C16" w:rsidP="002573CC">
      <w:pPr>
        <w:jc w:val="center"/>
        <w:rPr>
          <w:rFonts w:ascii="Book Antiqua" w:hAnsi="Book Antiqua"/>
          <w:b/>
          <w:sz w:val="36"/>
          <w:szCs w:val="36"/>
          <w:lang w:val="es-ES_tradnl"/>
        </w:rPr>
      </w:pPr>
      <w:r>
        <w:rPr>
          <w:rFonts w:ascii="Book Antiqua" w:hAnsi="Book Antiqua"/>
          <w:b/>
          <w:sz w:val="36"/>
          <w:szCs w:val="36"/>
          <w:lang w:val="es-ES_tradnl"/>
        </w:rPr>
        <w:t>C</w:t>
      </w:r>
      <w:r w:rsidR="00680204">
        <w:rPr>
          <w:rFonts w:ascii="Book Antiqua" w:hAnsi="Book Antiqua"/>
          <w:b/>
          <w:sz w:val="36"/>
          <w:szCs w:val="36"/>
          <w:lang w:val="es-ES_tradnl"/>
        </w:rPr>
        <w:t>Á</w:t>
      </w:r>
      <w:r>
        <w:rPr>
          <w:rFonts w:ascii="Book Antiqua" w:hAnsi="Book Antiqua"/>
          <w:b/>
          <w:sz w:val="36"/>
          <w:szCs w:val="36"/>
          <w:lang w:val="es-ES_tradnl"/>
        </w:rPr>
        <w:t>MARA DE REPRESENTANTES</w:t>
      </w:r>
    </w:p>
    <w:p w14:paraId="7E8FA781" w14:textId="77777777" w:rsidR="002573CC" w:rsidRPr="002573CC" w:rsidRDefault="002573CC" w:rsidP="002573CC">
      <w:pPr>
        <w:jc w:val="center"/>
        <w:rPr>
          <w:rFonts w:ascii="Book Antiqua" w:hAnsi="Book Antiqua"/>
          <w:b/>
          <w:szCs w:val="36"/>
          <w:lang w:val="es-ES_tradnl"/>
        </w:rPr>
      </w:pPr>
    </w:p>
    <w:p w14:paraId="681A0861" w14:textId="160A644E" w:rsidR="002573CC" w:rsidRPr="002573CC" w:rsidRDefault="00AC7637" w:rsidP="002573CC">
      <w:pPr>
        <w:jc w:val="center"/>
        <w:rPr>
          <w:rFonts w:ascii="Book Antiqua" w:hAnsi="Book Antiqua"/>
          <w:b/>
          <w:sz w:val="52"/>
          <w:szCs w:val="52"/>
          <w:lang w:val="es-ES_tradnl"/>
        </w:rPr>
      </w:pPr>
      <w:r>
        <w:rPr>
          <w:rFonts w:ascii="Book Antiqua" w:hAnsi="Book Antiqua"/>
          <w:b/>
          <w:sz w:val="52"/>
          <w:szCs w:val="52"/>
          <w:lang w:val="es-ES_tradnl"/>
        </w:rPr>
        <w:t>P</w:t>
      </w:r>
      <w:r w:rsidR="002573CC" w:rsidRPr="002573CC">
        <w:rPr>
          <w:rFonts w:ascii="Book Antiqua" w:hAnsi="Book Antiqua"/>
          <w:b/>
          <w:sz w:val="52"/>
          <w:szCs w:val="52"/>
          <w:lang w:val="es-ES_tradnl"/>
        </w:rPr>
        <w:t>. de</w:t>
      </w:r>
      <w:r w:rsidR="007B3187">
        <w:rPr>
          <w:rFonts w:ascii="Book Antiqua" w:hAnsi="Book Antiqua"/>
          <w:b/>
          <w:sz w:val="52"/>
          <w:szCs w:val="52"/>
          <w:lang w:val="es-ES_tradnl"/>
        </w:rPr>
        <w:t>l</w:t>
      </w:r>
      <w:r>
        <w:rPr>
          <w:rFonts w:ascii="Book Antiqua" w:hAnsi="Book Antiqua"/>
          <w:b/>
          <w:sz w:val="52"/>
          <w:szCs w:val="52"/>
          <w:lang w:val="es-ES_tradnl"/>
        </w:rPr>
        <w:t xml:space="preserve"> S</w:t>
      </w:r>
      <w:r w:rsidR="00B03370">
        <w:rPr>
          <w:rFonts w:ascii="Book Antiqua" w:hAnsi="Book Antiqua"/>
          <w:b/>
          <w:sz w:val="52"/>
          <w:szCs w:val="52"/>
          <w:lang w:val="es-ES_tradnl"/>
        </w:rPr>
        <w:t xml:space="preserve">. </w:t>
      </w:r>
      <w:r>
        <w:rPr>
          <w:rFonts w:ascii="Book Antiqua" w:hAnsi="Book Antiqua"/>
          <w:b/>
          <w:sz w:val="52"/>
          <w:szCs w:val="52"/>
          <w:lang w:val="es-ES_tradnl"/>
        </w:rPr>
        <w:t>1086</w:t>
      </w:r>
    </w:p>
    <w:p w14:paraId="49C06FA4" w14:textId="77777777" w:rsidR="002573CC" w:rsidRPr="002573CC" w:rsidRDefault="002573CC" w:rsidP="002573CC">
      <w:pPr>
        <w:jc w:val="center"/>
        <w:rPr>
          <w:rFonts w:ascii="Book Antiqua" w:hAnsi="Book Antiqua"/>
          <w:b/>
          <w:szCs w:val="36"/>
          <w:lang w:val="es-ES_tradnl"/>
        </w:rPr>
      </w:pPr>
    </w:p>
    <w:p w14:paraId="7687D0D3" w14:textId="38A750ED" w:rsidR="002573CC" w:rsidRPr="002573CC" w:rsidRDefault="002573CC" w:rsidP="002573CC">
      <w:pPr>
        <w:jc w:val="center"/>
        <w:rPr>
          <w:rFonts w:ascii="Book Antiqua" w:hAnsi="Book Antiqua"/>
          <w:b/>
          <w:lang w:val="es-ES_tradnl"/>
        </w:rPr>
      </w:pPr>
      <w:r w:rsidRPr="002573CC">
        <w:rPr>
          <w:rFonts w:ascii="Book Antiqua" w:hAnsi="Book Antiqua"/>
          <w:b/>
          <w:lang w:val="es-ES_tradnl"/>
        </w:rPr>
        <w:t xml:space="preserve">INFORME </w:t>
      </w:r>
      <w:r w:rsidR="00D94489">
        <w:rPr>
          <w:rFonts w:ascii="Book Antiqua" w:hAnsi="Book Antiqua"/>
          <w:b/>
          <w:lang w:val="es-ES_tradnl"/>
        </w:rPr>
        <w:t>POSITIVO</w:t>
      </w:r>
      <w:r w:rsidR="00885A17">
        <w:rPr>
          <w:rFonts w:ascii="Book Antiqua" w:hAnsi="Book Antiqua"/>
          <w:b/>
          <w:lang w:val="es-ES_tradnl"/>
        </w:rPr>
        <w:t xml:space="preserve"> </w:t>
      </w:r>
    </w:p>
    <w:p w14:paraId="53631E38" w14:textId="77777777" w:rsidR="002573CC" w:rsidRPr="002573CC" w:rsidRDefault="002573CC" w:rsidP="002573CC">
      <w:pPr>
        <w:jc w:val="center"/>
        <w:rPr>
          <w:rFonts w:ascii="Book Antiqua" w:hAnsi="Book Antiqua"/>
          <w:b/>
          <w:lang w:val="es-ES_tradnl"/>
        </w:rPr>
      </w:pPr>
    </w:p>
    <w:p w14:paraId="1C8B3605" w14:textId="459A4640" w:rsidR="002573CC" w:rsidRPr="002573CC" w:rsidRDefault="00D94489" w:rsidP="002573CC">
      <w:pPr>
        <w:jc w:val="center"/>
        <w:rPr>
          <w:rFonts w:ascii="Book Antiqua" w:hAnsi="Book Antiqua"/>
          <w:lang w:val="es-ES_tradnl"/>
        </w:rPr>
      </w:pPr>
      <w:r>
        <w:rPr>
          <w:rFonts w:ascii="Book Antiqua" w:hAnsi="Book Antiqua"/>
          <w:lang w:val="es-ES_tradnl"/>
        </w:rPr>
        <w:t xml:space="preserve"> </w:t>
      </w:r>
      <w:r w:rsidR="005F7135">
        <w:rPr>
          <w:rFonts w:ascii="Book Antiqua" w:hAnsi="Book Antiqua"/>
          <w:lang w:val="es-ES_tradnl"/>
        </w:rPr>
        <w:t>22</w:t>
      </w:r>
      <w:r w:rsidR="00AC7637">
        <w:rPr>
          <w:rFonts w:ascii="Book Antiqua" w:hAnsi="Book Antiqua"/>
          <w:lang w:val="es-ES_tradnl"/>
        </w:rPr>
        <w:t xml:space="preserve"> </w:t>
      </w:r>
      <w:r w:rsidR="007B3187">
        <w:rPr>
          <w:rFonts w:ascii="Book Antiqua" w:hAnsi="Book Antiqua"/>
          <w:lang w:val="es-ES_tradnl"/>
        </w:rPr>
        <w:t xml:space="preserve">de </w:t>
      </w:r>
      <w:r w:rsidR="00AC7637">
        <w:rPr>
          <w:rFonts w:ascii="Book Antiqua" w:hAnsi="Book Antiqua"/>
          <w:lang w:val="es-ES_tradnl"/>
        </w:rPr>
        <w:t>junio</w:t>
      </w:r>
      <w:r w:rsidR="009C1DD7">
        <w:rPr>
          <w:rFonts w:ascii="Book Antiqua" w:hAnsi="Book Antiqua"/>
          <w:lang w:val="es-ES_tradnl"/>
        </w:rPr>
        <w:t xml:space="preserve"> de 202</w:t>
      </w:r>
      <w:r w:rsidR="00F44107">
        <w:rPr>
          <w:rFonts w:ascii="Book Antiqua" w:hAnsi="Book Antiqua"/>
          <w:lang w:val="es-ES_tradnl"/>
        </w:rPr>
        <w:t>6</w:t>
      </w:r>
    </w:p>
    <w:p w14:paraId="68521AC0" w14:textId="77777777" w:rsidR="002573CC" w:rsidRPr="002573CC" w:rsidRDefault="002573CC" w:rsidP="002573CC">
      <w:pPr>
        <w:jc w:val="both"/>
        <w:rPr>
          <w:rFonts w:ascii="Book Antiqua" w:hAnsi="Book Antiqua"/>
          <w:b/>
          <w:szCs w:val="20"/>
          <w:lang w:val="es-ES_tradnl"/>
        </w:rPr>
      </w:pPr>
    </w:p>
    <w:p w14:paraId="30D938C7" w14:textId="04BE8C61" w:rsidR="002573CC" w:rsidRPr="002573CC" w:rsidRDefault="002573CC" w:rsidP="00E55005">
      <w:pPr>
        <w:contextualSpacing/>
        <w:jc w:val="both"/>
        <w:rPr>
          <w:rFonts w:ascii="Book Antiqua" w:hAnsi="Book Antiqua"/>
          <w:b/>
          <w:szCs w:val="20"/>
          <w:lang w:val="es-ES_tradnl"/>
        </w:rPr>
      </w:pPr>
      <w:r w:rsidRPr="002573CC">
        <w:rPr>
          <w:rFonts w:ascii="Book Antiqua" w:hAnsi="Book Antiqua"/>
          <w:b/>
          <w:szCs w:val="20"/>
          <w:lang w:val="es-ES_tradnl"/>
        </w:rPr>
        <w:t>A</w:t>
      </w:r>
      <w:r w:rsidR="009C1DD7">
        <w:rPr>
          <w:rFonts w:ascii="Book Antiqua" w:hAnsi="Book Antiqua"/>
          <w:b/>
          <w:szCs w:val="20"/>
          <w:lang w:val="es-ES_tradnl"/>
        </w:rPr>
        <w:t xml:space="preserve"> </w:t>
      </w:r>
      <w:r w:rsidRPr="002573CC">
        <w:rPr>
          <w:rFonts w:ascii="Book Antiqua" w:hAnsi="Book Antiqua"/>
          <w:b/>
          <w:szCs w:val="20"/>
          <w:lang w:val="es-ES_tradnl"/>
        </w:rPr>
        <w:t>L</w:t>
      </w:r>
      <w:r w:rsidR="009C1DD7">
        <w:rPr>
          <w:rFonts w:ascii="Book Antiqua" w:hAnsi="Book Antiqua"/>
          <w:b/>
          <w:szCs w:val="20"/>
          <w:lang w:val="es-ES_tradnl"/>
        </w:rPr>
        <w:t>A C</w:t>
      </w:r>
      <w:r w:rsidR="00680204">
        <w:rPr>
          <w:rFonts w:ascii="Book Antiqua" w:hAnsi="Book Antiqua"/>
          <w:b/>
          <w:szCs w:val="20"/>
          <w:lang w:val="es-ES_tradnl"/>
        </w:rPr>
        <w:t>Á</w:t>
      </w:r>
      <w:r w:rsidR="009C1DD7">
        <w:rPr>
          <w:rFonts w:ascii="Book Antiqua" w:hAnsi="Book Antiqua"/>
          <w:b/>
          <w:szCs w:val="20"/>
          <w:lang w:val="es-ES_tradnl"/>
        </w:rPr>
        <w:t>MARA DE REPRESENTANTES</w:t>
      </w:r>
      <w:r w:rsidR="00450AA9">
        <w:rPr>
          <w:rFonts w:ascii="Book Antiqua" w:hAnsi="Book Antiqua"/>
          <w:b/>
          <w:szCs w:val="20"/>
          <w:lang w:val="es-ES_tradnl"/>
        </w:rPr>
        <w:t xml:space="preserve"> DE PUERTO RICO</w:t>
      </w:r>
      <w:r w:rsidRPr="002573CC">
        <w:rPr>
          <w:rFonts w:ascii="Book Antiqua" w:hAnsi="Book Antiqua"/>
          <w:b/>
          <w:szCs w:val="20"/>
          <w:lang w:val="es-ES_tradnl"/>
        </w:rPr>
        <w:t>:</w:t>
      </w:r>
    </w:p>
    <w:p w14:paraId="1863FBE5" w14:textId="77777777" w:rsidR="002573CC" w:rsidRPr="002573CC" w:rsidRDefault="002573CC" w:rsidP="00E55005">
      <w:pPr>
        <w:contextualSpacing/>
        <w:jc w:val="both"/>
        <w:rPr>
          <w:rFonts w:ascii="Book Antiqua" w:hAnsi="Book Antiqua"/>
          <w:b/>
          <w:szCs w:val="20"/>
          <w:lang w:val="es-ES_tradnl"/>
        </w:rPr>
      </w:pPr>
    </w:p>
    <w:p w14:paraId="6D190832" w14:textId="44BCE1BE" w:rsidR="00A442AC" w:rsidRPr="00331A74" w:rsidRDefault="002573CC" w:rsidP="00C10EC0">
      <w:pPr>
        <w:ind w:firstLine="708"/>
        <w:contextualSpacing/>
        <w:jc w:val="both"/>
        <w:rPr>
          <w:rFonts w:ascii="Book Antiqua" w:hAnsi="Book Antiqua"/>
          <w:bCs/>
          <w:lang w:val="es-ES_tradnl"/>
        </w:rPr>
      </w:pPr>
      <w:r w:rsidRPr="0023263A">
        <w:rPr>
          <w:rFonts w:ascii="Book Antiqua" w:hAnsi="Book Antiqua"/>
          <w:lang w:val="es-ES_tradnl"/>
        </w:rPr>
        <w:t>La Comisión de</w:t>
      </w:r>
      <w:r w:rsidR="00EE2682">
        <w:rPr>
          <w:rFonts w:ascii="Book Antiqua" w:hAnsi="Book Antiqua"/>
          <w:lang w:val="es-ES_tradnl"/>
        </w:rPr>
        <w:t xml:space="preserve"> Asuntos del Consumidor</w:t>
      </w:r>
      <w:r w:rsidR="004620B0" w:rsidRPr="0023263A">
        <w:rPr>
          <w:rFonts w:ascii="Book Antiqua" w:hAnsi="Book Antiqua"/>
          <w:lang w:val="es-ES_tradnl"/>
        </w:rPr>
        <w:t xml:space="preserve"> de la Cámara de Representantes </w:t>
      </w:r>
      <w:r w:rsidR="00850D8F" w:rsidRPr="0023263A">
        <w:rPr>
          <w:rFonts w:ascii="Book Antiqua" w:hAnsi="Book Antiqua"/>
          <w:lang w:val="es-ES_tradnl"/>
        </w:rPr>
        <w:t>de Puerto Rico</w:t>
      </w:r>
      <w:r w:rsidRPr="0023263A">
        <w:rPr>
          <w:rFonts w:ascii="Book Antiqua" w:hAnsi="Book Antiqua"/>
          <w:lang w:val="es-ES_tradnl"/>
        </w:rPr>
        <w:t xml:space="preserve">, previo estudio y </w:t>
      </w:r>
      <w:r w:rsidR="00BF05C9">
        <w:rPr>
          <w:rFonts w:ascii="Book Antiqua" w:hAnsi="Book Antiqua"/>
          <w:lang w:val="es-ES_tradnl"/>
        </w:rPr>
        <w:t>consideración</w:t>
      </w:r>
      <w:r w:rsidRPr="0023263A">
        <w:rPr>
          <w:rFonts w:ascii="Book Antiqua" w:hAnsi="Book Antiqua"/>
          <w:lang w:val="es-ES_tradnl"/>
        </w:rPr>
        <w:t xml:space="preserve"> de</w:t>
      </w:r>
      <w:r w:rsidR="00AC7637">
        <w:rPr>
          <w:rFonts w:ascii="Book Antiqua" w:hAnsi="Book Antiqua"/>
          <w:lang w:val="es-ES_tradnl"/>
        </w:rPr>
        <w:t>l</w:t>
      </w:r>
      <w:r w:rsidR="00470B60" w:rsidRPr="0023263A">
        <w:rPr>
          <w:rFonts w:ascii="Book Antiqua" w:hAnsi="Book Antiqua"/>
          <w:lang w:val="es-ES_tradnl"/>
        </w:rPr>
        <w:t xml:space="preserve"> </w:t>
      </w:r>
      <w:r w:rsidR="00AC7637">
        <w:rPr>
          <w:rFonts w:ascii="Book Antiqua" w:hAnsi="Book Antiqua"/>
          <w:b/>
          <w:bCs/>
          <w:lang w:val="es-ES_tradnl"/>
        </w:rPr>
        <w:t>Proyecto</w:t>
      </w:r>
      <w:r w:rsidR="00470B60" w:rsidRPr="0023263A">
        <w:rPr>
          <w:rFonts w:ascii="Book Antiqua" w:hAnsi="Book Antiqua"/>
          <w:b/>
          <w:bCs/>
          <w:lang w:val="es-ES_tradnl"/>
        </w:rPr>
        <w:t xml:space="preserve"> </w:t>
      </w:r>
      <w:r w:rsidR="007B3187" w:rsidRPr="0023263A">
        <w:rPr>
          <w:rFonts w:ascii="Book Antiqua" w:hAnsi="Book Antiqua"/>
          <w:b/>
          <w:bCs/>
          <w:lang w:val="es-ES_tradnl"/>
        </w:rPr>
        <w:t>de</w:t>
      </w:r>
      <w:r w:rsidR="00AC7637">
        <w:rPr>
          <w:rFonts w:ascii="Book Antiqua" w:hAnsi="Book Antiqua"/>
          <w:b/>
          <w:bCs/>
          <w:lang w:val="es-ES_tradnl"/>
        </w:rPr>
        <w:t>l</w:t>
      </w:r>
      <w:r w:rsidR="007B3187" w:rsidRPr="0023263A">
        <w:rPr>
          <w:rFonts w:ascii="Book Antiqua" w:hAnsi="Book Antiqua"/>
          <w:b/>
          <w:bCs/>
          <w:lang w:val="es-ES_tradnl"/>
        </w:rPr>
        <w:t xml:space="preserve"> </w:t>
      </w:r>
      <w:r w:rsidR="00AC7637">
        <w:rPr>
          <w:rFonts w:ascii="Book Antiqua" w:hAnsi="Book Antiqua"/>
          <w:b/>
          <w:bCs/>
          <w:lang w:val="es-ES_tradnl"/>
        </w:rPr>
        <w:t>Senado 1086</w:t>
      </w:r>
      <w:r w:rsidRPr="0023263A">
        <w:rPr>
          <w:rFonts w:ascii="Book Antiqua" w:hAnsi="Book Antiqua"/>
          <w:lang w:val="es-ES_tradnl"/>
        </w:rPr>
        <w:t>,</w:t>
      </w:r>
      <w:r w:rsidR="00C10EC0" w:rsidRPr="0023263A">
        <w:rPr>
          <w:rFonts w:ascii="Book Antiqua" w:hAnsi="Book Antiqua"/>
          <w:lang w:val="es-ES_tradnl"/>
        </w:rPr>
        <w:t xml:space="preserve"> </w:t>
      </w:r>
      <w:r w:rsidR="00331A74">
        <w:rPr>
          <w:rFonts w:ascii="Book Antiqua" w:hAnsi="Book Antiqua"/>
          <w:lang w:val="es-ES_tradnl"/>
        </w:rPr>
        <w:t xml:space="preserve">tiene a bien </w:t>
      </w:r>
      <w:r w:rsidR="00CD6F07">
        <w:rPr>
          <w:rFonts w:ascii="Book Antiqua" w:hAnsi="Book Antiqua"/>
          <w:lang w:val="es-ES_tradnl"/>
        </w:rPr>
        <w:t>recomendar</w:t>
      </w:r>
      <w:r w:rsidR="00331A74">
        <w:rPr>
          <w:rFonts w:ascii="Book Antiqua" w:hAnsi="Book Antiqua"/>
          <w:lang w:val="es-ES_tradnl"/>
        </w:rPr>
        <w:t xml:space="preserve"> </w:t>
      </w:r>
      <w:r w:rsidR="00B2513D">
        <w:rPr>
          <w:rFonts w:ascii="Book Antiqua" w:hAnsi="Book Antiqua"/>
          <w:lang w:val="es-ES_tradnl"/>
        </w:rPr>
        <w:t xml:space="preserve">a este Cuerpo </w:t>
      </w:r>
      <w:r w:rsidR="00CD6F07">
        <w:rPr>
          <w:rFonts w:ascii="Book Antiqua" w:hAnsi="Book Antiqua"/>
          <w:lang w:val="es-ES_tradnl"/>
        </w:rPr>
        <w:t>la</w:t>
      </w:r>
      <w:r w:rsidR="00331A74" w:rsidRPr="003E3E26">
        <w:rPr>
          <w:rFonts w:ascii="Book Antiqua" w:hAnsi="Book Antiqua"/>
          <w:lang w:val="es-ES"/>
        </w:rPr>
        <w:t xml:space="preserve"> </w:t>
      </w:r>
      <w:r w:rsidR="00331A74" w:rsidRPr="003E3E26">
        <w:rPr>
          <w:rFonts w:ascii="Book Antiqua" w:hAnsi="Book Antiqua"/>
          <w:b/>
          <w:bCs/>
          <w:lang w:val="es-ES"/>
        </w:rPr>
        <w:t>aprobación</w:t>
      </w:r>
      <w:r w:rsidR="0093531F" w:rsidRPr="003E3E26">
        <w:rPr>
          <w:rFonts w:ascii="Book Antiqua" w:hAnsi="Book Antiqua"/>
          <w:lang w:val="es-ES"/>
        </w:rPr>
        <w:t xml:space="preserve"> de esta pieza legislativa, </w:t>
      </w:r>
      <w:r w:rsidR="00331A74" w:rsidRPr="003E3E26">
        <w:rPr>
          <w:rFonts w:ascii="Book Antiqua" w:hAnsi="Book Antiqua"/>
          <w:lang w:val="es-ES"/>
        </w:rPr>
        <w:t xml:space="preserve">con las enmiendas introducidas en el </w:t>
      </w:r>
      <w:proofErr w:type="spellStart"/>
      <w:r w:rsidR="0093531F" w:rsidRPr="003E3E26">
        <w:rPr>
          <w:rFonts w:ascii="Book Antiqua" w:hAnsi="Book Antiqua"/>
          <w:lang w:val="es-ES"/>
        </w:rPr>
        <w:t>E</w:t>
      </w:r>
      <w:r w:rsidR="00331A74" w:rsidRPr="003E3E26">
        <w:rPr>
          <w:rFonts w:ascii="Book Antiqua" w:hAnsi="Book Antiqua"/>
          <w:lang w:val="es-ES"/>
        </w:rPr>
        <w:t>ntirillado</w:t>
      </w:r>
      <w:proofErr w:type="spellEnd"/>
      <w:r w:rsidR="00331A74" w:rsidRPr="003E3E26">
        <w:rPr>
          <w:rFonts w:ascii="Book Antiqua" w:hAnsi="Book Antiqua"/>
          <w:lang w:val="es-ES"/>
        </w:rPr>
        <w:t xml:space="preserve"> Electrónico que acompaña en este Informe</w:t>
      </w:r>
      <w:r w:rsidR="007B3187" w:rsidRPr="00331A74">
        <w:rPr>
          <w:rFonts w:ascii="Book Antiqua" w:hAnsi="Book Antiqua"/>
          <w:bCs/>
          <w:lang w:val="es-ES_tradnl"/>
        </w:rPr>
        <w:t>.</w:t>
      </w:r>
    </w:p>
    <w:p w14:paraId="30856599" w14:textId="77777777" w:rsidR="002D6515" w:rsidRPr="0023263A" w:rsidRDefault="002D6515" w:rsidP="00E55005">
      <w:pPr>
        <w:ind w:firstLine="708"/>
        <w:contextualSpacing/>
        <w:jc w:val="both"/>
        <w:rPr>
          <w:rFonts w:ascii="Book Antiqua" w:hAnsi="Book Antiqua"/>
          <w:lang w:val="es-ES_tradnl"/>
        </w:rPr>
      </w:pPr>
    </w:p>
    <w:p w14:paraId="430917BA" w14:textId="39EBF8BE" w:rsidR="00421D9C" w:rsidRPr="003E3E26" w:rsidRDefault="00164FDF" w:rsidP="00421D9C">
      <w:pPr>
        <w:pStyle w:val="Heading2"/>
        <w:spacing w:after="120"/>
        <w:ind w:left="2160" w:firstLine="720"/>
        <w:jc w:val="both"/>
        <w:rPr>
          <w:rFonts w:ascii="Book Antiqua" w:hAnsi="Book Antiqua"/>
          <w:lang w:val="es-ES"/>
        </w:rPr>
      </w:pPr>
      <w:bookmarkStart w:id="0" w:name="_Hlk191985732"/>
      <w:r w:rsidRPr="003E3E26">
        <w:rPr>
          <w:rFonts w:ascii="Book Antiqua" w:hAnsi="Book Antiqua"/>
          <w:lang w:val="es-ES"/>
        </w:rPr>
        <w:t xml:space="preserve">   </w:t>
      </w:r>
      <w:r w:rsidR="00421D9C" w:rsidRPr="003E3E26">
        <w:rPr>
          <w:rFonts w:ascii="Book Antiqua" w:hAnsi="Book Antiqua"/>
          <w:lang w:val="es-ES"/>
        </w:rPr>
        <w:t>ALCANCE DE LA MEDIDA</w:t>
      </w:r>
    </w:p>
    <w:p w14:paraId="5A47FAFC" w14:textId="4C2F5263" w:rsidR="007B3187" w:rsidRPr="00450AA9" w:rsidRDefault="00B86028" w:rsidP="00450AA9">
      <w:pPr>
        <w:ind w:firstLine="708"/>
        <w:jc w:val="both"/>
        <w:rPr>
          <w:rFonts w:ascii="Book Antiqua" w:hAnsi="Book Antiqua"/>
          <w:lang w:val="es-PR"/>
        </w:rPr>
      </w:pPr>
      <w:r w:rsidRPr="00E928C8">
        <w:rPr>
          <w:rFonts w:ascii="Book Antiqua" w:hAnsi="Book Antiqua"/>
          <w:bCs/>
          <w:lang w:val="es-ES"/>
        </w:rPr>
        <w:t xml:space="preserve">El </w:t>
      </w:r>
      <w:r w:rsidRPr="00E928C8">
        <w:rPr>
          <w:rFonts w:ascii="Book Antiqua" w:hAnsi="Book Antiqua"/>
          <w:b/>
          <w:bCs/>
          <w:lang w:val="es-ES_tradnl"/>
        </w:rPr>
        <w:t>Proyecto del Senado 1086</w:t>
      </w:r>
      <w:r w:rsidRPr="00E928C8">
        <w:rPr>
          <w:rFonts w:ascii="Book Antiqua" w:hAnsi="Book Antiqua"/>
          <w:bCs/>
          <w:lang w:val="es-ES"/>
        </w:rPr>
        <w:t xml:space="preserve"> </w:t>
      </w:r>
      <w:r w:rsidR="00DC7AB9" w:rsidRPr="00E928C8">
        <w:rPr>
          <w:rFonts w:ascii="Book Antiqua" w:hAnsi="Book Antiqua"/>
          <w:bCs/>
          <w:lang w:val="es-ES"/>
        </w:rPr>
        <w:t>fue presentad</w:t>
      </w:r>
      <w:r w:rsidRPr="00E928C8">
        <w:rPr>
          <w:rFonts w:ascii="Book Antiqua" w:hAnsi="Book Antiqua"/>
          <w:bCs/>
          <w:lang w:val="es-ES"/>
        </w:rPr>
        <w:t>o</w:t>
      </w:r>
      <w:r w:rsidR="00DC7AB9" w:rsidRPr="00E928C8">
        <w:rPr>
          <w:rFonts w:ascii="Book Antiqua" w:hAnsi="Book Antiqua"/>
          <w:bCs/>
          <w:lang w:val="es-ES"/>
        </w:rPr>
        <w:t xml:space="preserve"> por </w:t>
      </w:r>
      <w:r w:rsidR="00B32713" w:rsidRPr="00E928C8">
        <w:rPr>
          <w:rFonts w:ascii="Book Antiqua" w:hAnsi="Book Antiqua"/>
          <w:bCs/>
          <w:lang w:val="es-ES"/>
        </w:rPr>
        <w:t>los</w:t>
      </w:r>
      <w:r w:rsidR="00DC7AB9" w:rsidRPr="00E928C8">
        <w:rPr>
          <w:rFonts w:ascii="Book Antiqua" w:hAnsi="Book Antiqua"/>
          <w:bCs/>
          <w:lang w:val="es-ES"/>
        </w:rPr>
        <w:t xml:space="preserve"> </w:t>
      </w:r>
      <w:r w:rsidRPr="00E928C8">
        <w:rPr>
          <w:rFonts w:ascii="Book Antiqua" w:hAnsi="Book Antiqua"/>
          <w:bCs/>
          <w:lang w:val="es-ES"/>
        </w:rPr>
        <w:t>senador</w:t>
      </w:r>
      <w:r w:rsidR="00B32713" w:rsidRPr="00E928C8">
        <w:rPr>
          <w:rFonts w:ascii="Book Antiqua" w:hAnsi="Book Antiqua"/>
          <w:bCs/>
          <w:lang w:val="es-ES"/>
        </w:rPr>
        <w:t>es</w:t>
      </w:r>
      <w:r w:rsidR="00DC7AB9" w:rsidRPr="00E928C8">
        <w:rPr>
          <w:rFonts w:ascii="Book Antiqua" w:hAnsi="Book Antiqua"/>
          <w:bCs/>
          <w:lang w:val="es-ES"/>
        </w:rPr>
        <w:t xml:space="preserve"> </w:t>
      </w:r>
      <w:r w:rsidR="00B32713" w:rsidRPr="00E928C8">
        <w:rPr>
          <w:rFonts w:ascii="Book Antiqua" w:hAnsi="Book Antiqua"/>
          <w:bCs/>
          <w:i/>
          <w:iCs/>
          <w:lang w:val="es-ES"/>
        </w:rPr>
        <w:t>Sánchez Álvarez y Rivera</w:t>
      </w:r>
      <w:r w:rsidR="00B32713" w:rsidRPr="003677BB">
        <w:rPr>
          <w:rFonts w:ascii="Book Antiqua" w:hAnsi="Book Antiqua"/>
          <w:bCs/>
          <w:i/>
          <w:iCs/>
          <w:lang w:val="es-ES"/>
        </w:rPr>
        <w:t xml:space="preserve"> Schatz</w:t>
      </w:r>
      <w:r w:rsidR="00B32713" w:rsidRPr="00E928C8">
        <w:rPr>
          <w:rFonts w:ascii="Book Antiqua" w:hAnsi="Book Antiqua"/>
          <w:bCs/>
          <w:lang w:val="es-ES"/>
        </w:rPr>
        <w:t xml:space="preserve">, </w:t>
      </w:r>
      <w:r w:rsidR="003677BB">
        <w:rPr>
          <w:rFonts w:ascii="Book Antiqua" w:hAnsi="Book Antiqua"/>
          <w:bCs/>
          <w:lang w:val="es-ES"/>
        </w:rPr>
        <w:t>y</w:t>
      </w:r>
      <w:r w:rsidR="00FB7C77">
        <w:rPr>
          <w:rFonts w:ascii="Book Antiqua" w:hAnsi="Book Antiqua"/>
          <w:bCs/>
          <w:lang w:val="es-ES"/>
        </w:rPr>
        <w:t xml:space="preserve"> con la </w:t>
      </w:r>
      <w:proofErr w:type="spellStart"/>
      <w:r w:rsidR="00FB7C77">
        <w:rPr>
          <w:rFonts w:ascii="Book Antiqua" w:hAnsi="Book Antiqua"/>
          <w:bCs/>
          <w:lang w:val="es-ES"/>
        </w:rPr>
        <w:t>co-autoría</w:t>
      </w:r>
      <w:proofErr w:type="spellEnd"/>
      <w:r w:rsidR="00FB7C77">
        <w:rPr>
          <w:rFonts w:ascii="Book Antiqua" w:hAnsi="Book Antiqua"/>
          <w:bCs/>
          <w:lang w:val="es-ES"/>
        </w:rPr>
        <w:t xml:space="preserve"> de la </w:t>
      </w:r>
      <w:r w:rsidR="00FB7C77">
        <w:rPr>
          <w:rFonts w:ascii="Book Antiqua" w:hAnsi="Book Antiqua"/>
          <w:iCs/>
          <w:lang w:val="es-ES"/>
        </w:rPr>
        <w:t>senadora</w:t>
      </w:r>
      <w:r w:rsidR="00FB7C77">
        <w:rPr>
          <w:rFonts w:ascii="Book Antiqua" w:hAnsi="Book Antiqua"/>
          <w:i/>
          <w:lang w:val="es-ES_tradnl"/>
        </w:rPr>
        <w:t xml:space="preserve"> </w:t>
      </w:r>
      <w:proofErr w:type="spellStart"/>
      <w:r w:rsidR="00FB7C77">
        <w:rPr>
          <w:rFonts w:ascii="Book Antiqua" w:hAnsi="Book Antiqua"/>
          <w:i/>
          <w:lang w:val="es-ES_tradnl"/>
        </w:rPr>
        <w:t>Barlucea</w:t>
      </w:r>
      <w:proofErr w:type="spellEnd"/>
      <w:r w:rsidR="00FB7C77">
        <w:rPr>
          <w:rFonts w:ascii="Book Antiqua" w:hAnsi="Book Antiqua"/>
          <w:i/>
          <w:lang w:val="es-ES_tradnl"/>
        </w:rPr>
        <w:t xml:space="preserve"> Rodríguez;</w:t>
      </w:r>
      <w:r w:rsidR="00FB7C77">
        <w:rPr>
          <w:rFonts w:ascii="Book Antiqua" w:eastAsia="Book Antiqua" w:hAnsi="Book Antiqua" w:cs="Book Antiqua"/>
          <w:i/>
          <w:iCs/>
          <w:color w:val="000000"/>
          <w:lang w:val="es-ES_tradnl"/>
        </w:rPr>
        <w:t xml:space="preserve"> </w:t>
      </w:r>
      <w:r w:rsidR="00FB7C77">
        <w:rPr>
          <w:rFonts w:ascii="Book Antiqua" w:eastAsia="Book Antiqua" w:hAnsi="Book Antiqua" w:cs="Book Antiqua"/>
          <w:color w:val="000000"/>
          <w:lang w:val="es-ES_tradnl"/>
        </w:rPr>
        <w:t>y los senadores</w:t>
      </w:r>
      <w:r w:rsidR="00FB7C77" w:rsidRPr="00250EF3">
        <w:rPr>
          <w:rFonts w:ascii="Book Antiqua" w:eastAsia="Book Antiqua" w:hAnsi="Book Antiqua" w:cs="Book Antiqua"/>
          <w:i/>
          <w:iCs/>
          <w:color w:val="000000"/>
          <w:lang w:val="es-PR"/>
        </w:rPr>
        <w:t xml:space="preserve"> Colón La Santa, González López, Reyes Berríos y Rosa Ramos</w:t>
      </w:r>
      <w:r w:rsidR="00FB7C77" w:rsidRPr="003E3E26">
        <w:rPr>
          <w:rFonts w:ascii="Book Antiqua" w:eastAsia="Book Antiqua" w:hAnsi="Book Antiqua" w:cs="Book Antiqua"/>
          <w:i/>
          <w:iCs/>
          <w:color w:val="000000"/>
          <w:lang w:val="es-ES"/>
        </w:rPr>
        <w:t>.</w:t>
      </w:r>
      <w:r w:rsidR="003677BB">
        <w:rPr>
          <w:rFonts w:ascii="Book Antiqua" w:hAnsi="Book Antiqua"/>
          <w:bCs/>
          <w:lang w:val="es-ES"/>
        </w:rPr>
        <w:t xml:space="preserve"> </w:t>
      </w:r>
      <w:r w:rsidR="00FB7C77" w:rsidRPr="00E47727">
        <w:rPr>
          <w:rFonts w:ascii="Book Antiqua" w:hAnsi="Book Antiqua"/>
          <w:bCs/>
          <w:lang w:val="es-ES"/>
        </w:rPr>
        <w:t>L</w:t>
      </w:r>
      <w:r w:rsidR="00450AA9" w:rsidRPr="00E47727">
        <w:rPr>
          <w:rFonts w:ascii="Book Antiqua" w:hAnsi="Book Antiqua"/>
          <w:bCs/>
          <w:lang w:val="es-ES"/>
        </w:rPr>
        <w:t xml:space="preserve">a </w:t>
      </w:r>
      <w:r w:rsidR="00DC7AB9" w:rsidRPr="00E47727">
        <w:rPr>
          <w:rFonts w:ascii="Book Antiqua" w:hAnsi="Book Antiqua"/>
          <w:bCs/>
          <w:lang w:val="es-ES"/>
        </w:rPr>
        <w:t xml:space="preserve">misma tiene como propósito </w:t>
      </w:r>
      <w:r w:rsidR="003677BB" w:rsidRPr="00E47727">
        <w:rPr>
          <w:rFonts w:ascii="Book Antiqua" w:hAnsi="Book Antiqua"/>
          <w:lang w:val="es-PR"/>
        </w:rPr>
        <w:t>enmendar los Artículos 17, 47, 49, 52, 57, 65, 66, suprimir el actual Artículo 67 y sustituirlo por uno nuevo, derogar los Artículos 68 y 69, reenumerar el Artículo 70, como Artículo 68, y a su vez enmendarlo, reenumerar el Artículo 73, como Artículo 71, y a su vez enmendarlo, y reenumerar los Artículos 71, 72, 74, 75 y 76, como los Artículos 69, 70, 72, 73 y 74, respectivamente, en la Ley 129-2020, según enmendada</w:t>
      </w:r>
      <w:r w:rsidR="003677BB" w:rsidRPr="00B77E8F">
        <w:rPr>
          <w:rFonts w:ascii="Book Antiqua" w:hAnsi="Book Antiqua"/>
          <w:lang w:val="es-PR"/>
        </w:rPr>
        <w:t>, conocida como “Ley de Condominios de Puerto Rico”, con el propósito de establecer que corresponderá al Tribunal de Primera Instancia tener la jurisdicción primaria exclusiva para dirimir controversias que surjan en inmuebles sometidos al régimen de propiedad horizontal en Puerto Rico; para establecer que el Consejo de Titulares tendrá la obligación, mediante el voto mayoritario, de establecer los requisitos mínimos de educación o el cumplimiento con cualquier curso relacionad</w:t>
      </w:r>
      <w:r w:rsidR="003677BB">
        <w:rPr>
          <w:rFonts w:ascii="Book Antiqua" w:hAnsi="Book Antiqua"/>
          <w:lang w:val="es-PR"/>
        </w:rPr>
        <w:t>o</w:t>
      </w:r>
      <w:r w:rsidR="003677BB" w:rsidRPr="00B77E8F">
        <w:rPr>
          <w:rFonts w:ascii="Book Antiqua" w:hAnsi="Book Antiqua"/>
          <w:lang w:val="es-PR"/>
        </w:rPr>
        <w:t xml:space="preserve"> con las disposiciones de la </w:t>
      </w:r>
      <w:r w:rsidR="003677BB">
        <w:rPr>
          <w:rFonts w:ascii="Book Antiqua" w:hAnsi="Book Antiqua"/>
          <w:lang w:val="es-PR"/>
        </w:rPr>
        <w:t>“</w:t>
      </w:r>
      <w:r w:rsidR="003677BB" w:rsidRPr="00B77E8F">
        <w:rPr>
          <w:rFonts w:ascii="Book Antiqua" w:hAnsi="Book Antiqua"/>
          <w:lang w:val="es-PR"/>
        </w:rPr>
        <w:t>Ley de Condominios de Puerto Rico</w:t>
      </w:r>
      <w:r w:rsidR="003677BB">
        <w:rPr>
          <w:rFonts w:ascii="Book Antiqua" w:hAnsi="Book Antiqua"/>
          <w:lang w:val="es-PR"/>
        </w:rPr>
        <w:t>”</w:t>
      </w:r>
      <w:r w:rsidR="003677BB" w:rsidRPr="00B77E8F">
        <w:rPr>
          <w:rFonts w:ascii="Book Antiqua" w:hAnsi="Book Antiqua"/>
          <w:lang w:val="es-PR"/>
        </w:rPr>
        <w:t xml:space="preserve"> para la contratación de su Agente Administrador; para transferir a los municipios determinadas funciones administrativas relacionadas con el manejo de áreas de reciclaje en los condominios; para crear una Sala Especializada de Adjudicación de Controversias de Condominios en cada región judicial; para incorporar una cláusula transitoria a los fines de reglamentar la transferencia de las querellas activas ante el </w:t>
      </w:r>
      <w:r w:rsidR="003677BB" w:rsidRPr="00B77E8F">
        <w:rPr>
          <w:rFonts w:ascii="Book Antiqua" w:hAnsi="Book Antiqua"/>
          <w:lang w:val="es-PR"/>
        </w:rPr>
        <w:lastRenderedPageBreak/>
        <w:t>Departamento de Asuntos del Consumidor que versen sobre Ley 129-2020, según enmendada, conocida como “Ley de Condominios de Puerto Rico”; realizar enmiendas técnicas; y para otros fines relacionados.</w:t>
      </w:r>
      <w:r w:rsidR="003677BB" w:rsidRPr="00B77E8F">
        <w:rPr>
          <w:rFonts w:ascii="Book Antiqua" w:hAnsi="Book Antiqua" w:cs="Arial"/>
          <w:lang w:val="es-PR"/>
        </w:rPr>
        <w:t xml:space="preserve"> </w:t>
      </w:r>
    </w:p>
    <w:p w14:paraId="20D5FFBF" w14:textId="77777777" w:rsidR="00515D22" w:rsidRDefault="00515D22" w:rsidP="007B3187">
      <w:pPr>
        <w:jc w:val="center"/>
        <w:rPr>
          <w:rFonts w:ascii="Book Antiqua" w:hAnsi="Book Antiqua"/>
          <w:b/>
          <w:lang w:val="es-ES"/>
        </w:rPr>
      </w:pPr>
    </w:p>
    <w:p w14:paraId="2EF835E6" w14:textId="2A0870A4" w:rsidR="007B3187" w:rsidRPr="0023263A" w:rsidRDefault="007B3187" w:rsidP="007B3187">
      <w:pPr>
        <w:jc w:val="center"/>
        <w:rPr>
          <w:rFonts w:ascii="Book Antiqua" w:hAnsi="Book Antiqua"/>
          <w:b/>
          <w:lang w:val="es-ES"/>
        </w:rPr>
      </w:pPr>
      <w:r w:rsidRPr="0023263A">
        <w:rPr>
          <w:rFonts w:ascii="Book Antiqua" w:hAnsi="Book Antiqua"/>
          <w:b/>
          <w:lang w:val="es-ES"/>
        </w:rPr>
        <w:t>ANÁLISIS DE LA MEDIDA</w:t>
      </w:r>
    </w:p>
    <w:p w14:paraId="0338935F" w14:textId="77777777" w:rsidR="007B3187" w:rsidRPr="0023263A" w:rsidRDefault="007B3187" w:rsidP="007B3187">
      <w:pPr>
        <w:jc w:val="center"/>
        <w:rPr>
          <w:rFonts w:ascii="Book Antiqua" w:hAnsi="Book Antiqua"/>
          <w:b/>
          <w:lang w:val="es-ES"/>
        </w:rPr>
      </w:pPr>
    </w:p>
    <w:p w14:paraId="30D2754B" w14:textId="5684B3EF" w:rsidR="001F60C9" w:rsidRPr="00FA499E" w:rsidRDefault="006545C1" w:rsidP="00FA499E">
      <w:pPr>
        <w:ind w:firstLine="708"/>
        <w:jc w:val="both"/>
        <w:rPr>
          <w:rFonts w:ascii="Book Antiqua" w:hAnsi="Book Antiqua"/>
          <w:lang w:val="es-PR"/>
        </w:rPr>
      </w:pPr>
      <w:r w:rsidRPr="003E3E26">
        <w:rPr>
          <w:rFonts w:ascii="Book Antiqua" w:hAnsi="Book Antiqua"/>
          <w:lang w:val="es-ES"/>
        </w:rPr>
        <w:t>Para la evaluación de la medida</w:t>
      </w:r>
      <w:r w:rsidR="00F8269B" w:rsidRPr="003E3E26">
        <w:rPr>
          <w:rFonts w:ascii="Book Antiqua" w:hAnsi="Book Antiqua"/>
          <w:lang w:val="es-ES"/>
        </w:rPr>
        <w:t>,</w:t>
      </w:r>
      <w:r w:rsidRPr="003E3E26">
        <w:rPr>
          <w:rFonts w:ascii="Book Antiqua" w:hAnsi="Book Antiqua"/>
          <w:lang w:val="es-ES"/>
        </w:rPr>
        <w:t xml:space="preserve"> la Comisión de Asuntos del Consumidor </w:t>
      </w:r>
      <w:r w:rsidR="00A01236" w:rsidRPr="003E3E26">
        <w:rPr>
          <w:rFonts w:ascii="Book Antiqua" w:hAnsi="Book Antiqua"/>
          <w:lang w:val="es-ES"/>
        </w:rPr>
        <w:t>de la Cámara de Representantes tuvo a bien recibir</w:t>
      </w:r>
      <w:r w:rsidR="00464323" w:rsidRPr="003E3E26">
        <w:rPr>
          <w:rFonts w:ascii="Book Antiqua" w:hAnsi="Book Antiqua"/>
          <w:lang w:val="es-ES"/>
        </w:rPr>
        <w:t xml:space="preserve"> </w:t>
      </w:r>
      <w:r w:rsidR="009C2F50" w:rsidRPr="003E3E26">
        <w:rPr>
          <w:rFonts w:ascii="Book Antiqua" w:hAnsi="Book Antiqua"/>
          <w:lang w:val="es-ES"/>
        </w:rPr>
        <w:t xml:space="preserve">los </w:t>
      </w:r>
      <w:r w:rsidR="00464323" w:rsidRPr="003E3E26">
        <w:rPr>
          <w:rFonts w:ascii="Book Antiqua" w:hAnsi="Book Antiqua"/>
          <w:lang w:val="es-ES"/>
        </w:rPr>
        <w:t xml:space="preserve">memoriales explicativos </w:t>
      </w:r>
      <w:r w:rsidR="00B46263" w:rsidRPr="003E3E26">
        <w:rPr>
          <w:rFonts w:ascii="Book Antiqua" w:hAnsi="Book Antiqua"/>
          <w:lang w:val="es-ES"/>
        </w:rPr>
        <w:t>emitidos por</w:t>
      </w:r>
      <w:r w:rsidR="00F8269B" w:rsidRPr="003E3E26">
        <w:rPr>
          <w:rFonts w:ascii="Book Antiqua" w:hAnsi="Book Antiqua"/>
          <w:lang w:val="es-ES"/>
        </w:rPr>
        <w:t xml:space="preserve"> </w:t>
      </w:r>
      <w:r w:rsidR="00C70D32" w:rsidRPr="003E3E26">
        <w:rPr>
          <w:rFonts w:ascii="Book Antiqua" w:hAnsi="Book Antiqua"/>
          <w:lang w:val="es-ES"/>
        </w:rPr>
        <w:t>e</w:t>
      </w:r>
      <w:r w:rsidR="006B125A" w:rsidRPr="003E3E26">
        <w:rPr>
          <w:rFonts w:ascii="Book Antiqua" w:hAnsi="Book Antiqua"/>
          <w:lang w:val="es-ES"/>
        </w:rPr>
        <w:t>l Colegio de Abogados y Abogadas de Puerto Rico,</w:t>
      </w:r>
      <w:r w:rsidR="00152C0B" w:rsidRPr="003E3E26">
        <w:rPr>
          <w:rFonts w:ascii="Book Antiqua" w:hAnsi="Book Antiqua"/>
          <w:lang w:val="es-ES"/>
        </w:rPr>
        <w:t xml:space="preserve"> </w:t>
      </w:r>
      <w:r w:rsidR="00C70D32" w:rsidRPr="003E3E26">
        <w:rPr>
          <w:rFonts w:ascii="Book Antiqua" w:hAnsi="Book Antiqua"/>
          <w:lang w:val="es-ES"/>
        </w:rPr>
        <w:t>e</w:t>
      </w:r>
      <w:r w:rsidR="00F8269B" w:rsidRPr="003E3E26">
        <w:rPr>
          <w:rFonts w:ascii="Book Antiqua" w:hAnsi="Book Antiqua"/>
          <w:lang w:val="es-ES"/>
        </w:rPr>
        <w:t>l Departamento de Asuntos del Consumidor (DACO)</w:t>
      </w:r>
      <w:r w:rsidR="00152C0B" w:rsidRPr="003E3E26">
        <w:rPr>
          <w:rFonts w:ascii="Book Antiqua" w:hAnsi="Book Antiqua"/>
          <w:lang w:val="es-ES"/>
        </w:rPr>
        <w:t xml:space="preserve">, </w:t>
      </w:r>
      <w:r w:rsidR="00C70D32" w:rsidRPr="003E3E26">
        <w:rPr>
          <w:rFonts w:ascii="Book Antiqua" w:hAnsi="Book Antiqua"/>
          <w:lang w:val="es-ES"/>
        </w:rPr>
        <w:t xml:space="preserve">la </w:t>
      </w:r>
      <w:r w:rsidR="00152C0B" w:rsidRPr="003E3E26">
        <w:rPr>
          <w:rFonts w:ascii="Book Antiqua" w:hAnsi="Book Antiqua"/>
          <w:lang w:val="es-ES"/>
        </w:rPr>
        <w:t xml:space="preserve">Asociación de Titulares de Condominios </w:t>
      </w:r>
      <w:r w:rsidR="00515BA6" w:rsidRPr="003E3E26">
        <w:rPr>
          <w:rFonts w:ascii="Book Antiqua" w:hAnsi="Book Antiqua"/>
          <w:lang w:val="es-ES"/>
        </w:rPr>
        <w:t xml:space="preserve">Inc., </w:t>
      </w:r>
      <w:r w:rsidR="00C70D32" w:rsidRPr="003E3E26">
        <w:rPr>
          <w:rFonts w:ascii="Book Antiqua" w:hAnsi="Book Antiqua"/>
          <w:lang w:val="es-ES"/>
        </w:rPr>
        <w:t xml:space="preserve">la </w:t>
      </w:r>
      <w:r w:rsidR="00152C0B" w:rsidRPr="003E3E26">
        <w:rPr>
          <w:rFonts w:ascii="Book Antiqua" w:hAnsi="Book Antiqua"/>
          <w:lang w:val="es-ES"/>
        </w:rPr>
        <w:t>Asociación de Condominios y Controles de Acceso de Puerto Rico,</w:t>
      </w:r>
      <w:r w:rsidR="00C70D32" w:rsidRPr="003E3E26">
        <w:rPr>
          <w:rFonts w:ascii="Book Antiqua" w:hAnsi="Book Antiqua"/>
          <w:lang w:val="es-ES"/>
        </w:rPr>
        <w:t xml:space="preserve"> </w:t>
      </w:r>
      <w:r w:rsidR="006031F2" w:rsidRPr="003E3E26">
        <w:rPr>
          <w:rFonts w:ascii="Book Antiqua" w:hAnsi="Book Antiqua"/>
          <w:lang w:val="es-ES"/>
        </w:rPr>
        <w:t xml:space="preserve">la Oficina de Administración de los Tribunales (OAT) </w:t>
      </w:r>
      <w:r w:rsidR="00152C0B" w:rsidRPr="003E3E26">
        <w:rPr>
          <w:rFonts w:ascii="Book Antiqua" w:hAnsi="Book Antiqua"/>
          <w:lang w:val="es-ES"/>
        </w:rPr>
        <w:t>y la Sra</w:t>
      </w:r>
      <w:r w:rsidR="00E1392B" w:rsidRPr="003E3E26">
        <w:rPr>
          <w:rFonts w:ascii="Book Antiqua" w:hAnsi="Book Antiqua"/>
          <w:lang w:val="es-ES"/>
        </w:rPr>
        <w:t>.</w:t>
      </w:r>
      <w:r w:rsidR="00152C0B" w:rsidRPr="003E3E26">
        <w:rPr>
          <w:rFonts w:ascii="Book Antiqua" w:hAnsi="Book Antiqua"/>
          <w:lang w:val="es-ES"/>
        </w:rPr>
        <w:t xml:space="preserve"> Denise Balzac Holmberg en su carácter personal como titular de condominio.</w:t>
      </w:r>
      <w:r w:rsidR="00F8269B" w:rsidRPr="003E3E26">
        <w:rPr>
          <w:rFonts w:ascii="Book Antiqua" w:hAnsi="Book Antiqua"/>
          <w:lang w:val="es-ES"/>
        </w:rPr>
        <w:t xml:space="preserve"> </w:t>
      </w:r>
      <w:r w:rsidR="0084498F" w:rsidRPr="003E3E26">
        <w:rPr>
          <w:rFonts w:ascii="Book Antiqua" w:hAnsi="Book Antiqua"/>
          <w:lang w:val="es-ES"/>
        </w:rPr>
        <w:t xml:space="preserve">Contando con el beneficio de las ponencias </w:t>
      </w:r>
      <w:r w:rsidR="00D95894" w:rsidRPr="003E3E26">
        <w:rPr>
          <w:rFonts w:ascii="Book Antiqua" w:hAnsi="Book Antiqua"/>
          <w:lang w:val="es-ES"/>
        </w:rPr>
        <w:t xml:space="preserve">que fueran </w:t>
      </w:r>
      <w:r w:rsidR="0084498F" w:rsidRPr="003E3E26">
        <w:rPr>
          <w:rFonts w:ascii="Book Antiqua" w:hAnsi="Book Antiqua"/>
          <w:lang w:val="es-ES"/>
        </w:rPr>
        <w:t xml:space="preserve">suministradas al Senado de Puerto Rico, se procede al análisis correspondiente.  </w:t>
      </w:r>
      <w:r w:rsidR="00FA499E" w:rsidRPr="003E3E26">
        <w:rPr>
          <w:rFonts w:ascii="Book Antiqua" w:hAnsi="Book Antiqua"/>
          <w:lang w:val="es-ES"/>
        </w:rPr>
        <w:t>De</w:t>
      </w:r>
      <w:r w:rsidR="00EC05A2" w:rsidRPr="003E3E26">
        <w:rPr>
          <w:rFonts w:ascii="Book Antiqua" w:hAnsi="Book Antiqua"/>
          <w:lang w:val="es-ES"/>
        </w:rPr>
        <w:t xml:space="preserve"> </w:t>
      </w:r>
      <w:r w:rsidR="00FA499E" w:rsidRPr="003E3E26">
        <w:rPr>
          <w:rFonts w:ascii="Book Antiqua" w:hAnsi="Book Antiqua"/>
          <w:lang w:val="es-ES"/>
        </w:rPr>
        <w:t xml:space="preserve">los comentarios </w:t>
      </w:r>
      <w:r w:rsidR="00320108" w:rsidRPr="003E3E26">
        <w:rPr>
          <w:rFonts w:ascii="Book Antiqua" w:hAnsi="Book Antiqua"/>
          <w:lang w:val="es-ES"/>
        </w:rPr>
        <w:t>vertidos</w:t>
      </w:r>
      <w:r w:rsidR="00FA499E" w:rsidRPr="003E3E26">
        <w:rPr>
          <w:rFonts w:ascii="Book Antiqua" w:hAnsi="Book Antiqua"/>
          <w:lang w:val="es-ES"/>
        </w:rPr>
        <w:t xml:space="preserve"> en estos memoriales explicativos, se desprende lo siguiente: </w:t>
      </w:r>
    </w:p>
    <w:p w14:paraId="179D6482" w14:textId="77777777" w:rsidR="000643F3" w:rsidRDefault="000643F3" w:rsidP="000643F3">
      <w:pPr>
        <w:jc w:val="both"/>
        <w:rPr>
          <w:rFonts w:ascii="Book Antiqua" w:hAnsi="Book Antiqua"/>
          <w:lang w:val="es-ES"/>
        </w:rPr>
      </w:pPr>
    </w:p>
    <w:p w14:paraId="42B8EBCA" w14:textId="77777777" w:rsidR="00A01236" w:rsidRPr="002D4300" w:rsidRDefault="00A01236" w:rsidP="002D4300">
      <w:pPr>
        <w:ind w:left="360"/>
        <w:jc w:val="both"/>
        <w:rPr>
          <w:rFonts w:ascii="Book Antiqua" w:hAnsi="Book Antiqua"/>
          <w:lang w:val="es-ES"/>
        </w:rPr>
      </w:pPr>
    </w:p>
    <w:p w14:paraId="11A7A9EE" w14:textId="7ED01E61" w:rsidR="00EE4A14" w:rsidRDefault="00291E60" w:rsidP="007B3187">
      <w:pPr>
        <w:jc w:val="both"/>
        <w:rPr>
          <w:rFonts w:ascii="Book Antiqua" w:hAnsi="Book Antiqua"/>
          <w:b/>
          <w:bCs/>
          <w:u w:val="single"/>
          <w:lang w:val="es-ES"/>
        </w:rPr>
      </w:pPr>
      <w:r>
        <w:rPr>
          <w:rFonts w:ascii="Book Antiqua" w:hAnsi="Book Antiqua"/>
          <w:b/>
          <w:bCs/>
          <w:u w:val="single"/>
          <w:lang w:val="es-ES"/>
        </w:rPr>
        <w:t xml:space="preserve">COLEGIO DE </w:t>
      </w:r>
      <w:proofErr w:type="gramStart"/>
      <w:r>
        <w:rPr>
          <w:rFonts w:ascii="Book Antiqua" w:hAnsi="Book Antiqua"/>
          <w:b/>
          <w:bCs/>
          <w:u w:val="single"/>
          <w:lang w:val="es-ES"/>
        </w:rPr>
        <w:t>ABOGADOS Y ABOGADAS</w:t>
      </w:r>
      <w:proofErr w:type="gramEnd"/>
      <w:r w:rsidR="00954332" w:rsidRPr="00954332">
        <w:rPr>
          <w:rFonts w:ascii="Book Antiqua" w:hAnsi="Book Antiqua"/>
          <w:b/>
          <w:bCs/>
          <w:u w:val="single"/>
          <w:lang w:val="es-ES"/>
        </w:rPr>
        <w:t xml:space="preserve"> DE PUERTO RICO</w:t>
      </w:r>
      <w:r w:rsidR="00DC1822">
        <w:rPr>
          <w:rFonts w:ascii="Book Antiqua" w:hAnsi="Book Antiqua"/>
          <w:b/>
          <w:bCs/>
          <w:u w:val="single"/>
          <w:lang w:val="es-ES"/>
        </w:rPr>
        <w:t xml:space="preserve"> (CAAPR)</w:t>
      </w:r>
    </w:p>
    <w:p w14:paraId="36473013" w14:textId="77777777" w:rsidR="00954332" w:rsidRDefault="00954332" w:rsidP="007B3187">
      <w:pPr>
        <w:jc w:val="both"/>
        <w:rPr>
          <w:rFonts w:ascii="Book Antiqua" w:hAnsi="Book Antiqua"/>
          <w:b/>
          <w:bCs/>
          <w:u w:val="single"/>
          <w:lang w:val="es-ES"/>
        </w:rPr>
      </w:pPr>
    </w:p>
    <w:p w14:paraId="3F6CF267" w14:textId="551261C1" w:rsidR="00954332" w:rsidRPr="00C109B5" w:rsidRDefault="00954332" w:rsidP="007B3187">
      <w:pPr>
        <w:jc w:val="both"/>
        <w:rPr>
          <w:rFonts w:ascii="Book Antiqua" w:hAnsi="Book Antiqua"/>
          <w:lang w:val="es-ES"/>
        </w:rPr>
      </w:pPr>
      <w:r>
        <w:rPr>
          <w:rFonts w:ascii="Book Antiqua" w:hAnsi="Book Antiqua"/>
          <w:lang w:val="es-ES"/>
        </w:rPr>
        <w:tab/>
      </w:r>
      <w:r w:rsidR="006F603B">
        <w:rPr>
          <w:rFonts w:ascii="Book Antiqua" w:hAnsi="Book Antiqua"/>
          <w:lang w:val="es-ES"/>
        </w:rPr>
        <w:t xml:space="preserve">El Colegio de </w:t>
      </w:r>
      <w:proofErr w:type="gramStart"/>
      <w:r w:rsidR="006F603B">
        <w:rPr>
          <w:rFonts w:ascii="Book Antiqua" w:hAnsi="Book Antiqua"/>
          <w:lang w:val="es-ES"/>
        </w:rPr>
        <w:t>Abogados y Abogadas</w:t>
      </w:r>
      <w:proofErr w:type="gramEnd"/>
      <w:r w:rsidR="006F603B">
        <w:rPr>
          <w:rFonts w:ascii="Book Antiqua" w:hAnsi="Book Antiqua"/>
          <w:lang w:val="es-ES"/>
        </w:rPr>
        <w:t xml:space="preserve"> </w:t>
      </w:r>
      <w:r>
        <w:rPr>
          <w:rFonts w:ascii="Book Antiqua" w:hAnsi="Book Antiqua"/>
          <w:lang w:val="es-ES"/>
        </w:rPr>
        <w:t xml:space="preserve">de Puerto Rico, por conducto de su </w:t>
      </w:r>
      <w:proofErr w:type="gramStart"/>
      <w:r>
        <w:rPr>
          <w:rFonts w:ascii="Book Antiqua" w:hAnsi="Book Antiqua"/>
          <w:lang w:val="es-ES"/>
        </w:rPr>
        <w:t>Presidenta</w:t>
      </w:r>
      <w:proofErr w:type="gramEnd"/>
      <w:r>
        <w:rPr>
          <w:rFonts w:ascii="Book Antiqua" w:hAnsi="Book Antiqua"/>
          <w:lang w:val="es-ES"/>
        </w:rPr>
        <w:t xml:space="preserve">, la Lcda. </w:t>
      </w:r>
      <w:r w:rsidR="006F603B">
        <w:rPr>
          <w:rFonts w:ascii="Book Antiqua" w:hAnsi="Book Antiqua"/>
          <w:lang w:val="es-ES"/>
        </w:rPr>
        <w:t>V</w:t>
      </w:r>
      <w:r w:rsidR="007B41A0">
        <w:rPr>
          <w:rFonts w:ascii="Book Antiqua" w:hAnsi="Book Antiqua"/>
          <w:lang w:val="es-ES"/>
        </w:rPr>
        <w:t>ivian</w:t>
      </w:r>
      <w:r w:rsidR="006F603B">
        <w:rPr>
          <w:rFonts w:ascii="Book Antiqua" w:hAnsi="Book Antiqua"/>
          <w:lang w:val="es-ES"/>
        </w:rPr>
        <w:t xml:space="preserve"> Godineaux</w:t>
      </w:r>
      <w:r w:rsidR="007B41A0">
        <w:rPr>
          <w:rFonts w:ascii="Book Antiqua" w:hAnsi="Book Antiqua"/>
          <w:lang w:val="es-ES"/>
        </w:rPr>
        <w:t xml:space="preserve"> Villaronga</w:t>
      </w:r>
      <w:r>
        <w:rPr>
          <w:rFonts w:ascii="Book Antiqua" w:hAnsi="Book Antiqua"/>
          <w:lang w:val="es-ES"/>
        </w:rPr>
        <w:t xml:space="preserve">, presentó comentarios por escrito, de los </w:t>
      </w:r>
      <w:r w:rsidRPr="00C109B5">
        <w:rPr>
          <w:rFonts w:ascii="Book Antiqua" w:hAnsi="Book Antiqua"/>
          <w:lang w:val="es-ES"/>
        </w:rPr>
        <w:t>cuales surgen los siguientes hallazgos:</w:t>
      </w:r>
    </w:p>
    <w:p w14:paraId="0B4434BE" w14:textId="0DF68A0E"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b/>
          <w:bCs/>
          <w:lang w:val="es-ES"/>
        </w:rPr>
        <w:t>Apoyan el proyecto</w:t>
      </w:r>
      <w:r w:rsidRPr="003E3E26">
        <w:rPr>
          <w:rFonts w:ascii="Book Antiqua" w:hAnsi="Book Antiqua"/>
          <w:lang w:val="es-ES"/>
        </w:rPr>
        <w:t xml:space="preserve"> en términos generales. Coinciden en que la Ley 129-2020 tiene fallas estructurales y que el DACO no es el foro adecuado para atender controversias de condominios. También piden que se complemente con la investigación ordenada por la R. del S. 238, ya que el P. del S. 1086 solo atiende la parte jurisdiccional, no hace una revisión integral de la ley. </w:t>
      </w:r>
      <w:r w:rsidRPr="00C109B5">
        <w:rPr>
          <w:rFonts w:ascii="Book Antiqua" w:hAnsi="Book Antiqua"/>
        </w:rPr>
        <w:t xml:space="preserve">El CAAPR </w:t>
      </w:r>
      <w:proofErr w:type="spellStart"/>
      <w:r w:rsidRPr="00C109B5">
        <w:rPr>
          <w:rFonts w:ascii="Book Antiqua" w:hAnsi="Book Antiqua"/>
        </w:rPr>
        <w:t>recomienda</w:t>
      </w:r>
      <w:proofErr w:type="spellEnd"/>
      <w:r w:rsidRPr="00C109B5">
        <w:rPr>
          <w:rFonts w:ascii="Book Antiqua" w:hAnsi="Book Antiqua"/>
        </w:rPr>
        <w:t xml:space="preserve"> </w:t>
      </w:r>
      <w:proofErr w:type="spellStart"/>
      <w:r w:rsidRPr="00C109B5">
        <w:rPr>
          <w:rFonts w:ascii="Book Antiqua" w:hAnsi="Book Antiqua"/>
        </w:rPr>
        <w:t>enmiendas</w:t>
      </w:r>
      <w:proofErr w:type="spellEnd"/>
      <w:r w:rsidRPr="00C109B5">
        <w:rPr>
          <w:rFonts w:ascii="Book Antiqua" w:hAnsi="Book Antiqua"/>
        </w:rPr>
        <w:t xml:space="preserve"> </w:t>
      </w:r>
      <w:proofErr w:type="spellStart"/>
      <w:r w:rsidRPr="00C109B5">
        <w:rPr>
          <w:rFonts w:ascii="Book Antiqua" w:hAnsi="Book Antiqua"/>
        </w:rPr>
        <w:t>sección</w:t>
      </w:r>
      <w:proofErr w:type="spellEnd"/>
      <w:r w:rsidRPr="00C109B5">
        <w:rPr>
          <w:rFonts w:ascii="Book Antiqua" w:hAnsi="Book Antiqua"/>
        </w:rPr>
        <w:t xml:space="preserve"> </w:t>
      </w:r>
      <w:proofErr w:type="spellStart"/>
      <w:r w:rsidRPr="00C109B5">
        <w:rPr>
          <w:rFonts w:ascii="Book Antiqua" w:hAnsi="Book Antiqua"/>
        </w:rPr>
        <w:t>por</w:t>
      </w:r>
      <w:proofErr w:type="spellEnd"/>
      <w:r w:rsidRPr="00C109B5">
        <w:rPr>
          <w:rFonts w:ascii="Book Antiqua" w:hAnsi="Book Antiqua"/>
        </w:rPr>
        <w:t xml:space="preserve"> sección.</w:t>
      </w:r>
    </w:p>
    <w:p w14:paraId="30D3E2F1" w14:textId="3DE3443B"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t xml:space="preserve">Sección 1 (Art. 17): Respaldan cambiar la notificación sobre reciclaje del </w:t>
      </w:r>
      <w:proofErr w:type="gramStart"/>
      <w:r w:rsidRPr="003E3E26">
        <w:rPr>
          <w:rFonts w:ascii="Book Antiqua" w:hAnsi="Book Antiqua"/>
          <w:lang w:val="es-ES"/>
        </w:rPr>
        <w:t>Secretario</w:t>
      </w:r>
      <w:proofErr w:type="gramEnd"/>
      <w:r w:rsidRPr="003E3E26">
        <w:rPr>
          <w:rFonts w:ascii="Book Antiqua" w:hAnsi="Book Antiqua"/>
          <w:lang w:val="es-ES"/>
        </w:rPr>
        <w:t xml:space="preserve"> de DACO al </w:t>
      </w:r>
      <w:proofErr w:type="gramStart"/>
      <w:r w:rsidRPr="003E3E26">
        <w:rPr>
          <w:rFonts w:ascii="Book Antiqua" w:hAnsi="Book Antiqua"/>
          <w:lang w:val="es-ES"/>
        </w:rPr>
        <w:t>Alcalde</w:t>
      </w:r>
      <w:proofErr w:type="gramEnd"/>
      <w:r w:rsidRPr="003E3E26">
        <w:rPr>
          <w:rFonts w:ascii="Book Antiqua" w:hAnsi="Book Antiqua"/>
          <w:lang w:val="es-ES"/>
        </w:rPr>
        <w:t xml:space="preserve"> del municipio, pues el municipio conoce mejor los programas disponibles.</w:t>
      </w:r>
    </w:p>
    <w:p w14:paraId="20DA711E" w14:textId="32900D6D" w:rsidR="00C109B5" w:rsidRPr="00550AEE" w:rsidRDefault="00C109B5" w:rsidP="004C2583">
      <w:pPr>
        <w:pStyle w:val="ListParagraph"/>
        <w:numPr>
          <w:ilvl w:val="0"/>
          <w:numId w:val="21"/>
        </w:numPr>
        <w:jc w:val="both"/>
        <w:rPr>
          <w:rFonts w:ascii="Book Antiqua" w:hAnsi="Book Antiqua"/>
          <w:i/>
          <w:iCs/>
          <w:lang w:val="es-ES"/>
        </w:rPr>
      </w:pPr>
      <w:r w:rsidRPr="003E3E26">
        <w:rPr>
          <w:rFonts w:ascii="Book Antiqua" w:hAnsi="Book Antiqua"/>
          <w:lang w:val="es-ES"/>
        </w:rPr>
        <w:t>Sección 2 (Art. 49): Respaldan que sea el Tribunal de Primera Instancia quien imponga penalidades a directores salientes, y que sea el propio Consejo de Titulares</w:t>
      </w:r>
      <w:r w:rsidR="0000483A" w:rsidRPr="003E3E26">
        <w:rPr>
          <w:rFonts w:ascii="Book Antiqua" w:hAnsi="Book Antiqua"/>
          <w:lang w:val="es-ES"/>
        </w:rPr>
        <w:t>,</w:t>
      </w:r>
      <w:r w:rsidRPr="003E3E26">
        <w:rPr>
          <w:rFonts w:ascii="Book Antiqua" w:hAnsi="Book Antiqua"/>
          <w:lang w:val="es-ES"/>
        </w:rPr>
        <w:t xml:space="preserve"> no </w:t>
      </w:r>
      <w:r w:rsidR="0000483A" w:rsidRPr="003E3E26">
        <w:rPr>
          <w:rFonts w:ascii="Book Antiqua" w:hAnsi="Book Antiqua"/>
          <w:lang w:val="es-ES"/>
        </w:rPr>
        <w:t xml:space="preserve">el </w:t>
      </w:r>
      <w:r w:rsidRPr="003E3E26">
        <w:rPr>
          <w:rFonts w:ascii="Book Antiqua" w:hAnsi="Book Antiqua"/>
          <w:lang w:val="es-ES"/>
        </w:rPr>
        <w:t>DACO</w:t>
      </w:r>
      <w:r w:rsidR="0000483A" w:rsidRPr="003E3E26">
        <w:rPr>
          <w:rFonts w:ascii="Book Antiqua" w:hAnsi="Book Antiqua"/>
          <w:lang w:val="es-ES"/>
        </w:rPr>
        <w:t xml:space="preserve">, </w:t>
      </w:r>
      <w:r w:rsidRPr="003E3E26">
        <w:rPr>
          <w:rFonts w:ascii="Book Antiqua" w:hAnsi="Book Antiqua"/>
          <w:lang w:val="es-ES"/>
        </w:rPr>
        <w:t>quien establezca los requisitos de educación y certificación del Agente Administrador, por ser una contratación entre partes privadas.</w:t>
      </w:r>
      <w:r w:rsidR="001B0F6E" w:rsidRPr="003E3E26">
        <w:rPr>
          <w:rFonts w:ascii="Book Antiqua" w:hAnsi="Book Antiqua"/>
          <w:lang w:val="es-ES"/>
        </w:rPr>
        <w:t xml:space="preserve"> </w:t>
      </w:r>
      <w:r w:rsidR="00E72B53" w:rsidRPr="003E3E26">
        <w:rPr>
          <w:rFonts w:ascii="Book Antiqua" w:hAnsi="Book Antiqua"/>
          <w:lang w:val="es-ES"/>
        </w:rPr>
        <w:t>(</w:t>
      </w:r>
      <w:r w:rsidR="001B0F6E" w:rsidRPr="003E3E26">
        <w:rPr>
          <w:rFonts w:ascii="Book Antiqua" w:hAnsi="Book Antiqua"/>
          <w:lang w:val="es-ES"/>
        </w:rPr>
        <w:t xml:space="preserve">Citan el caso </w:t>
      </w:r>
      <w:r w:rsidR="001B0F6E" w:rsidRPr="003E3E26">
        <w:rPr>
          <w:rFonts w:ascii="Book Antiqua" w:hAnsi="Book Antiqua"/>
          <w:i/>
          <w:iCs/>
          <w:lang w:val="es-ES"/>
        </w:rPr>
        <w:t>Consejo de Titulares del Condominio Vistas del Pinar vs Alexander Rosa Rosa</w:t>
      </w:r>
      <w:r w:rsidR="00550AEE" w:rsidRPr="003E3E26">
        <w:rPr>
          <w:rFonts w:ascii="Book Antiqua" w:hAnsi="Book Antiqua"/>
          <w:i/>
          <w:iCs/>
          <w:lang w:val="es-ES"/>
        </w:rPr>
        <w:t>, Yadis Camacho Conty</w:t>
      </w:r>
      <w:r w:rsidR="00E72B53" w:rsidRPr="003E3E26">
        <w:rPr>
          <w:rFonts w:ascii="Book Antiqua" w:hAnsi="Book Antiqua"/>
          <w:i/>
          <w:iCs/>
          <w:lang w:val="es-ES"/>
        </w:rPr>
        <w:t xml:space="preserve">, </w:t>
      </w:r>
      <w:r w:rsidR="00E72B53" w:rsidRPr="00D25847">
        <w:rPr>
          <w:rFonts w:ascii="Book Antiqua" w:hAnsi="Book Antiqua" w:cs="hK"/>
          <w:i/>
          <w:iCs/>
          <w:color w:val="000000" w:themeColor="text1"/>
          <w:lang w:val="es-PR"/>
        </w:rPr>
        <w:t>BY2023CV03583,</w:t>
      </w:r>
      <w:r w:rsidR="00550AEE" w:rsidRPr="003E3E26">
        <w:rPr>
          <w:rFonts w:ascii="Book Antiqua" w:hAnsi="Book Antiqua"/>
          <w:i/>
          <w:iCs/>
          <w:lang w:val="es-ES"/>
        </w:rPr>
        <w:t xml:space="preserve"> </w:t>
      </w:r>
      <w:r w:rsidR="00550AEE" w:rsidRPr="003E3E26">
        <w:rPr>
          <w:rFonts w:ascii="Book Antiqua" w:hAnsi="Book Antiqua"/>
          <w:lang w:val="es-ES"/>
        </w:rPr>
        <w:t>como</w:t>
      </w:r>
      <w:r w:rsidR="00550AEE" w:rsidRPr="003E3E26">
        <w:rPr>
          <w:rFonts w:ascii="Book Antiqua" w:hAnsi="Book Antiqua"/>
          <w:i/>
          <w:iCs/>
          <w:lang w:val="es-ES"/>
        </w:rPr>
        <w:t xml:space="preserve"> </w:t>
      </w:r>
      <w:r w:rsidR="00550AEE" w:rsidRPr="003E3E26">
        <w:rPr>
          <w:rFonts w:ascii="Book Antiqua" w:hAnsi="Book Antiqua"/>
          <w:lang w:val="es-ES"/>
        </w:rPr>
        <w:t>evidencia de que el Tribunal de Primera Instancia ya tiene jurisdicción sobre este tipo de controversias entre titulares y que trasladar esa competencia formalmente a salas especializadas, como propone el P. del S. 1086, es un paso lógico y necesario.</w:t>
      </w:r>
      <w:r w:rsidR="00E72B53" w:rsidRPr="003E3E26">
        <w:rPr>
          <w:rFonts w:ascii="Book Antiqua" w:hAnsi="Book Antiqua"/>
          <w:lang w:val="es-ES"/>
        </w:rPr>
        <w:t>)</w:t>
      </w:r>
    </w:p>
    <w:p w14:paraId="53E47197" w14:textId="241EB4D4"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t>Sección 3 (Art. 52): Respaldan que la determinación de que un voto es infundado conste por escrito, se base en criterios objetivos y sea revisable por el Tribunal.</w:t>
      </w:r>
    </w:p>
    <w:p w14:paraId="13F6A833" w14:textId="2C66C5FF"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lastRenderedPageBreak/>
        <w:t xml:space="preserve">Sección 4 (Art. 57): Respaldan que sea el Tribunal quien designe y releve al síndico en todos los condominios, y recomiendan además que las Juntas de </w:t>
      </w:r>
      <w:proofErr w:type="gramStart"/>
      <w:r w:rsidRPr="003E3E26">
        <w:rPr>
          <w:rFonts w:ascii="Book Antiqua" w:hAnsi="Book Antiqua"/>
          <w:lang w:val="es-ES"/>
        </w:rPr>
        <w:t>Directores</w:t>
      </w:r>
      <w:proofErr w:type="gramEnd"/>
      <w:r w:rsidRPr="003E3E26">
        <w:rPr>
          <w:rFonts w:ascii="Book Antiqua" w:hAnsi="Book Antiqua"/>
          <w:lang w:val="es-ES"/>
        </w:rPr>
        <w:t xml:space="preserve"> tengan la misma obligación de rendir informes que el síndico.</w:t>
      </w:r>
    </w:p>
    <w:p w14:paraId="31F209F6" w14:textId="20496CF0"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t>Secciones 5 y 6 (Arts. 65 y 66): Respaldan plenamente que las controversias de condominios pasen a Salas Especializadas del Tribunal de Primera Instancia con jurisdicción exclusiva, eliminando las referencias al DACO.</w:t>
      </w:r>
    </w:p>
    <w:p w14:paraId="3352CC8D" w14:textId="7395E6A8"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t xml:space="preserve">Sección 7 (Art. 67): Respaldan la creación de un Registro de Condominios bajo el </w:t>
      </w:r>
      <w:proofErr w:type="gramStart"/>
      <w:r w:rsidRPr="003E3E26">
        <w:rPr>
          <w:rFonts w:ascii="Book Antiqua" w:hAnsi="Book Antiqua"/>
          <w:lang w:val="es-ES"/>
        </w:rPr>
        <w:t>Secretario</w:t>
      </w:r>
      <w:proofErr w:type="gramEnd"/>
      <w:r w:rsidRPr="003E3E26">
        <w:rPr>
          <w:rFonts w:ascii="Book Antiqua" w:hAnsi="Book Antiqua"/>
          <w:lang w:val="es-ES"/>
        </w:rPr>
        <w:t xml:space="preserve"> de Justicia a través del Registro Inmobiliario Digital. Proponen además que cada condominio reporte anualmente cambios en escrituras y reglamentos.</w:t>
      </w:r>
    </w:p>
    <w:p w14:paraId="08A46E83" w14:textId="61175018"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t xml:space="preserve">Secciones 8, 9 y 10: Respaldan derogar los artículos de DACO que quedan obsoletos y la </w:t>
      </w:r>
      <w:proofErr w:type="spellStart"/>
      <w:r w:rsidRPr="003E3E26">
        <w:rPr>
          <w:rFonts w:ascii="Book Antiqua" w:hAnsi="Book Antiqua"/>
          <w:lang w:val="es-ES"/>
        </w:rPr>
        <w:t>renumeración</w:t>
      </w:r>
      <w:proofErr w:type="spellEnd"/>
      <w:r w:rsidRPr="003E3E26">
        <w:rPr>
          <w:rFonts w:ascii="Book Antiqua" w:hAnsi="Book Antiqua"/>
          <w:lang w:val="es-ES"/>
        </w:rPr>
        <w:t xml:space="preserve"> de artículos.</w:t>
      </w:r>
    </w:p>
    <w:p w14:paraId="0023E8C8" w14:textId="547B5767" w:rsidR="00C109B5" w:rsidRPr="00C109B5"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t>Sección 11 (cláusula transitoria): Respaldan que los casos pendientes ante DACO se resuelvan allí o sean transferidos al Tribunal a solicitud de parte, pero advierten que hay que consultar con la Rama Judicial si tiene capacidad para absorber la carga.</w:t>
      </w:r>
    </w:p>
    <w:p w14:paraId="7F6CF75D" w14:textId="6C980BAE" w:rsidR="00C109B5" w:rsidRPr="006263C8" w:rsidRDefault="00C109B5" w:rsidP="004C2583">
      <w:pPr>
        <w:pStyle w:val="ListParagraph"/>
        <w:numPr>
          <w:ilvl w:val="0"/>
          <w:numId w:val="21"/>
        </w:numPr>
        <w:jc w:val="both"/>
        <w:rPr>
          <w:rFonts w:ascii="Book Antiqua" w:hAnsi="Book Antiqua"/>
          <w:lang w:val="es-ES"/>
        </w:rPr>
      </w:pPr>
      <w:r w:rsidRPr="003E3E26">
        <w:rPr>
          <w:rFonts w:ascii="Book Antiqua" w:hAnsi="Book Antiqua"/>
          <w:lang w:val="es-ES"/>
        </w:rPr>
        <w:t>Sección 12 (vigencia a 30 días): Reiteran que antes de establecer esa fecha se debe confirmar con la Rama Judicial que cuenta con los recursos humanos y de planta física necesarios.</w:t>
      </w:r>
    </w:p>
    <w:p w14:paraId="424F50C1" w14:textId="747EFF5F" w:rsidR="006263C8" w:rsidRPr="006263C8" w:rsidRDefault="006263C8" w:rsidP="004C2583">
      <w:pPr>
        <w:pStyle w:val="ListParagraph"/>
        <w:numPr>
          <w:ilvl w:val="0"/>
          <w:numId w:val="21"/>
        </w:numPr>
        <w:jc w:val="both"/>
        <w:rPr>
          <w:rFonts w:ascii="Book Antiqua" w:hAnsi="Book Antiqua"/>
          <w:lang w:val="es-ES"/>
        </w:rPr>
      </w:pPr>
      <w:r w:rsidRPr="003E3E26">
        <w:rPr>
          <w:rFonts w:ascii="Book Antiqua" w:hAnsi="Book Antiqua"/>
          <w:lang w:val="es-ES"/>
        </w:rPr>
        <w:t>Adicionalmente proponen incluir la mediación como mecanismo obligatorio previo al proceso judicial ordinario para resolver conflictos entre vecinos.</w:t>
      </w:r>
    </w:p>
    <w:p w14:paraId="5DB83381" w14:textId="77777777" w:rsidR="002523F1" w:rsidRPr="00C109B5" w:rsidRDefault="002523F1" w:rsidP="002523F1">
      <w:pPr>
        <w:jc w:val="both"/>
        <w:rPr>
          <w:rFonts w:ascii="Book Antiqua" w:hAnsi="Book Antiqua"/>
          <w:lang w:val="es-ES"/>
        </w:rPr>
      </w:pPr>
    </w:p>
    <w:p w14:paraId="660776B3" w14:textId="35829008" w:rsidR="00EE4A14" w:rsidRPr="00C109B5" w:rsidRDefault="00EE4A14" w:rsidP="007B3187">
      <w:pPr>
        <w:jc w:val="both"/>
        <w:rPr>
          <w:rFonts w:ascii="Book Antiqua" w:hAnsi="Book Antiqua"/>
          <w:b/>
          <w:bCs/>
          <w:color w:val="000000"/>
          <w:u w:val="single"/>
          <w:lang w:val="es-ES"/>
        </w:rPr>
      </w:pPr>
      <w:r w:rsidRPr="00C109B5">
        <w:rPr>
          <w:rFonts w:ascii="Book Antiqua" w:hAnsi="Book Antiqua"/>
          <w:b/>
          <w:bCs/>
          <w:u w:val="single"/>
          <w:lang w:val="es-ES"/>
        </w:rPr>
        <w:t>DEPARTAMENTO DE ASUNTOS DEL CONSUMIDOR</w:t>
      </w:r>
      <w:r w:rsidR="00DC1822">
        <w:rPr>
          <w:rFonts w:ascii="Book Antiqua" w:hAnsi="Book Antiqua"/>
          <w:b/>
          <w:bCs/>
          <w:u w:val="single"/>
          <w:lang w:val="es-ES"/>
        </w:rPr>
        <w:t xml:space="preserve"> (DACO)</w:t>
      </w:r>
    </w:p>
    <w:p w14:paraId="2E36052C" w14:textId="77777777" w:rsidR="00472793" w:rsidRPr="003E3E26" w:rsidRDefault="00472793" w:rsidP="007B3187">
      <w:pPr>
        <w:jc w:val="both"/>
        <w:rPr>
          <w:rFonts w:ascii="Book Antiqua" w:hAnsi="Book Antiqua"/>
          <w:color w:val="000000"/>
          <w:lang w:val="es-ES"/>
        </w:rPr>
      </w:pPr>
    </w:p>
    <w:p w14:paraId="44890D51" w14:textId="2B42828D" w:rsidR="004F40E0" w:rsidRPr="003E3E26" w:rsidRDefault="00311DBC" w:rsidP="0001109F">
      <w:pPr>
        <w:ind w:firstLine="708"/>
        <w:jc w:val="both"/>
        <w:rPr>
          <w:rFonts w:ascii="Book Antiqua" w:hAnsi="Book Antiqua"/>
          <w:color w:val="000000"/>
          <w:lang w:val="es-ES"/>
        </w:rPr>
      </w:pPr>
      <w:r w:rsidRPr="003E3E26">
        <w:rPr>
          <w:rFonts w:ascii="Book Antiqua" w:hAnsi="Book Antiqua"/>
          <w:color w:val="000000"/>
          <w:lang w:val="es-ES"/>
        </w:rPr>
        <w:t>El Departamento de Asuntos del Consumidor (DACO), por conducto de su secretar</w:t>
      </w:r>
      <w:r w:rsidR="002523F1" w:rsidRPr="003E3E26">
        <w:rPr>
          <w:rFonts w:ascii="Book Antiqua" w:hAnsi="Book Antiqua"/>
          <w:color w:val="000000"/>
          <w:lang w:val="es-ES"/>
        </w:rPr>
        <w:t>io</w:t>
      </w:r>
      <w:r w:rsidR="00F50AA1" w:rsidRPr="003E3E26">
        <w:rPr>
          <w:rFonts w:ascii="Book Antiqua" w:hAnsi="Book Antiqua"/>
          <w:color w:val="000000"/>
          <w:lang w:val="es-ES"/>
        </w:rPr>
        <w:t>,</w:t>
      </w:r>
      <w:r w:rsidR="004F40E0" w:rsidRPr="003E3E26">
        <w:rPr>
          <w:rFonts w:ascii="Book Antiqua" w:hAnsi="Book Antiqua"/>
          <w:color w:val="000000"/>
          <w:lang w:val="es-ES"/>
        </w:rPr>
        <w:t xml:space="preserve"> </w:t>
      </w:r>
      <w:r w:rsidR="002523F1" w:rsidRPr="003E3E26">
        <w:rPr>
          <w:rFonts w:ascii="Book Antiqua" w:hAnsi="Book Antiqua"/>
          <w:color w:val="000000"/>
          <w:lang w:val="es-ES"/>
        </w:rPr>
        <w:t>Hiram</w:t>
      </w:r>
      <w:r w:rsidR="00F71D0C" w:rsidRPr="003E3E26">
        <w:rPr>
          <w:rFonts w:ascii="Book Antiqua" w:hAnsi="Book Antiqua"/>
          <w:color w:val="000000"/>
          <w:lang w:val="es-ES"/>
        </w:rPr>
        <w:t xml:space="preserve"> J. </w:t>
      </w:r>
      <w:r w:rsidR="002523F1" w:rsidRPr="003E3E26">
        <w:rPr>
          <w:rFonts w:ascii="Book Antiqua" w:hAnsi="Book Antiqua"/>
          <w:color w:val="000000"/>
          <w:lang w:val="es-ES"/>
        </w:rPr>
        <w:t xml:space="preserve">Torres Montalvo, </w:t>
      </w:r>
      <w:r w:rsidR="004F40E0" w:rsidRPr="003E3E26">
        <w:rPr>
          <w:rFonts w:ascii="Book Antiqua" w:hAnsi="Book Antiqua"/>
          <w:color w:val="000000"/>
          <w:lang w:val="es-ES"/>
        </w:rPr>
        <w:t>presentó come</w:t>
      </w:r>
      <w:r w:rsidR="00521835" w:rsidRPr="003E3E26">
        <w:rPr>
          <w:rFonts w:ascii="Book Antiqua" w:hAnsi="Book Antiqua"/>
          <w:color w:val="000000"/>
          <w:lang w:val="es-ES"/>
        </w:rPr>
        <w:t>n</w:t>
      </w:r>
      <w:r w:rsidR="004F40E0" w:rsidRPr="003E3E26">
        <w:rPr>
          <w:rFonts w:ascii="Book Antiqua" w:hAnsi="Book Antiqua"/>
          <w:color w:val="000000"/>
          <w:lang w:val="es-ES"/>
        </w:rPr>
        <w:t>tarios por escrito, de los cuales se desprenden los siguientes hallazgos:</w:t>
      </w:r>
    </w:p>
    <w:p w14:paraId="583ECE81" w14:textId="77777777" w:rsidR="007169BC" w:rsidRPr="003E3E26" w:rsidRDefault="00F71D0C" w:rsidP="007169BC">
      <w:pPr>
        <w:pStyle w:val="ListParagraph"/>
        <w:numPr>
          <w:ilvl w:val="0"/>
          <w:numId w:val="11"/>
        </w:numPr>
        <w:jc w:val="both"/>
        <w:rPr>
          <w:rFonts w:ascii="Book Antiqua" w:hAnsi="Book Antiqua"/>
          <w:color w:val="000000"/>
          <w:lang w:val="es-ES"/>
        </w:rPr>
      </w:pPr>
      <w:r w:rsidRPr="003E3E26">
        <w:rPr>
          <w:rFonts w:ascii="Book Antiqua" w:hAnsi="Book Antiqua"/>
          <w:color w:val="000000"/>
          <w:lang w:val="es-ES"/>
        </w:rPr>
        <w:t>El Departamento de Asuntos del Consumidor (DACO), en virtud de su ley orgánica, tiene la responsabilidad de proteger los derechos de los consumidores en Puerto Rico</w:t>
      </w:r>
      <w:r w:rsidR="007169BC" w:rsidRPr="003E3E26">
        <w:rPr>
          <w:rFonts w:ascii="Book Antiqua" w:hAnsi="Book Antiqua"/>
          <w:color w:val="000000"/>
          <w:lang w:val="es-ES"/>
        </w:rPr>
        <w:t xml:space="preserve"> y valora todas las gestiones realizadas a estos fines.  </w:t>
      </w:r>
      <w:r w:rsidR="007169BC" w:rsidRPr="003E3E26">
        <w:rPr>
          <w:rFonts w:ascii="Book Antiqua" w:hAnsi="Book Antiqua"/>
          <w:lang w:val="es-ES"/>
        </w:rPr>
        <w:t xml:space="preserve">El DACO </w:t>
      </w:r>
      <w:r w:rsidR="007169BC" w:rsidRPr="003E3E26">
        <w:rPr>
          <w:rStyle w:val="Strong"/>
          <w:rFonts w:ascii="Book Antiqua" w:hAnsi="Book Antiqua"/>
          <w:lang w:val="es-ES"/>
        </w:rPr>
        <w:t>favorece</w:t>
      </w:r>
      <w:r w:rsidR="007169BC" w:rsidRPr="003E3E26">
        <w:rPr>
          <w:rFonts w:ascii="Book Antiqua" w:hAnsi="Book Antiqua"/>
          <w:lang w:val="es-ES"/>
        </w:rPr>
        <w:t xml:space="preserve"> </w:t>
      </w:r>
      <w:r w:rsidR="007169BC" w:rsidRPr="003E3E26">
        <w:rPr>
          <w:rFonts w:ascii="Book Antiqua" w:hAnsi="Book Antiqua"/>
          <w:b/>
          <w:bCs/>
          <w:lang w:val="es-ES"/>
        </w:rPr>
        <w:t>las enmiendas</w:t>
      </w:r>
      <w:r w:rsidR="007169BC" w:rsidRPr="003E3E26">
        <w:rPr>
          <w:rFonts w:ascii="Book Antiqua" w:hAnsi="Book Antiqua"/>
          <w:lang w:val="es-ES"/>
        </w:rPr>
        <w:t xml:space="preserve"> propuestas en el P. del S. 1086 que trasladan la jurisdicción de las controversias de condominios al Tribunal de Primera Instancia.</w:t>
      </w:r>
    </w:p>
    <w:p w14:paraId="3F0F908A" w14:textId="02900549" w:rsidR="0040484F" w:rsidRPr="007169BC" w:rsidRDefault="007169BC" w:rsidP="007169BC">
      <w:pPr>
        <w:pStyle w:val="ListParagraph"/>
        <w:numPr>
          <w:ilvl w:val="0"/>
          <w:numId w:val="11"/>
        </w:numPr>
        <w:jc w:val="both"/>
        <w:rPr>
          <w:rFonts w:ascii="Book Antiqua" w:eastAsia="Calibri" w:hAnsi="Book Antiqua" w:cs="Arial"/>
          <w:color w:val="000000"/>
          <w:lang w:val="es-PR"/>
        </w:rPr>
      </w:pPr>
      <w:r w:rsidRPr="003E3E26">
        <w:rPr>
          <w:rFonts w:ascii="Book Antiqua" w:hAnsi="Book Antiqua"/>
          <w:lang w:val="es-ES"/>
        </w:rPr>
        <w:t>Reconocen que desde la aprobación de la Ley 129-2020 el DACO ha manejado un altísimo volumen de querellas relacionadas a condominios, y que la naturaleza contenciosa de esos casos los ha convertido en procedimientos de carácter estrictamente civil, algo para lo que el DACO no está diseñado ni cuenta con los recursos humanos suficientes. Esa situación los ha puesto en una posición desventajada para atender las controversias de manera ágil y dentro de los términos que exige la ley.</w:t>
      </w:r>
    </w:p>
    <w:p w14:paraId="0863D96F" w14:textId="7005B45E" w:rsidR="007169BC" w:rsidRPr="003E3E26" w:rsidRDefault="007169BC" w:rsidP="007169BC">
      <w:pPr>
        <w:pStyle w:val="ListParagraph"/>
        <w:numPr>
          <w:ilvl w:val="0"/>
          <w:numId w:val="11"/>
        </w:numPr>
        <w:jc w:val="both"/>
        <w:rPr>
          <w:rFonts w:ascii="Book Antiqua" w:hAnsi="Book Antiqua"/>
          <w:color w:val="000000"/>
          <w:lang w:val="es-ES"/>
        </w:rPr>
      </w:pPr>
      <w:r w:rsidRPr="003E3E26">
        <w:rPr>
          <w:rFonts w:ascii="Book Antiqua" w:hAnsi="Book Antiqua"/>
          <w:lang w:val="es-ES"/>
        </w:rPr>
        <w:t xml:space="preserve">Recomiendan: que en el penúltimo párrafo de la Exposición de Motivos del P. del S. 1086 se elimine cualquier lenguaje que delimite o mencione la jurisdicción del DACO, para que quede claro que la jurisdicción será </w:t>
      </w:r>
      <w:r w:rsidRPr="003E3E26">
        <w:rPr>
          <w:rStyle w:val="Strong"/>
          <w:rFonts w:ascii="Book Antiqua" w:hAnsi="Book Antiqua"/>
          <w:b w:val="0"/>
          <w:bCs w:val="0"/>
          <w:lang w:val="es-ES"/>
        </w:rPr>
        <w:t>primaria y exclusiva</w:t>
      </w:r>
      <w:r w:rsidRPr="003E3E26">
        <w:rPr>
          <w:rFonts w:ascii="Book Antiqua" w:hAnsi="Book Antiqua"/>
          <w:lang w:val="es-ES"/>
        </w:rPr>
        <w:t xml:space="preserve"> del Tribunal de Primera Instancia, conforme al espíritu de la medida.</w:t>
      </w:r>
    </w:p>
    <w:p w14:paraId="16E51E19" w14:textId="3E731A02" w:rsidR="0019467B" w:rsidRPr="00583EE8" w:rsidRDefault="007169BC" w:rsidP="004D7DEF">
      <w:pPr>
        <w:pStyle w:val="ListParagraph"/>
        <w:numPr>
          <w:ilvl w:val="0"/>
          <w:numId w:val="11"/>
        </w:numPr>
        <w:jc w:val="both"/>
        <w:rPr>
          <w:rFonts w:ascii="Book Antiqua" w:eastAsia="Calibri" w:hAnsi="Book Antiqua" w:cs="Arial"/>
          <w:color w:val="000000"/>
          <w:lang w:val="es-PR"/>
        </w:rPr>
      </w:pPr>
      <w:r w:rsidRPr="003E3E26">
        <w:rPr>
          <w:rFonts w:ascii="Book Antiqua" w:hAnsi="Book Antiqua"/>
          <w:lang w:val="es-ES"/>
        </w:rPr>
        <w:lastRenderedPageBreak/>
        <w:t>El DACO reiteró que continuará cumpliendo con su política pública de proteger los derechos de los consumidores conforme a su ley orgánica, en los asuntos que sí le corresponden.</w:t>
      </w:r>
    </w:p>
    <w:p w14:paraId="114159BC" w14:textId="77777777" w:rsidR="002C69CA" w:rsidRPr="003E3E26" w:rsidRDefault="002C69CA" w:rsidP="004D7DEF">
      <w:pPr>
        <w:jc w:val="both"/>
        <w:rPr>
          <w:rFonts w:ascii="Book Antiqua" w:hAnsi="Book Antiqua"/>
          <w:color w:val="000000"/>
          <w:highlight w:val="yellow"/>
          <w:lang w:val="es-ES"/>
        </w:rPr>
      </w:pPr>
    </w:p>
    <w:p w14:paraId="517AD7BA" w14:textId="3045A65A" w:rsidR="004D7DEF" w:rsidRPr="003E3E26" w:rsidRDefault="00B90AE4" w:rsidP="004D7DEF">
      <w:pPr>
        <w:jc w:val="both"/>
        <w:rPr>
          <w:rFonts w:ascii="Book Antiqua" w:hAnsi="Book Antiqua"/>
          <w:b/>
          <w:bCs/>
          <w:color w:val="000000"/>
          <w:u w:val="single"/>
          <w:lang w:val="es-ES"/>
        </w:rPr>
      </w:pPr>
      <w:r w:rsidRPr="003E3E26">
        <w:rPr>
          <w:rFonts w:ascii="Book Antiqua" w:hAnsi="Book Antiqua"/>
          <w:b/>
          <w:bCs/>
          <w:color w:val="000000"/>
          <w:u w:val="single"/>
          <w:lang w:val="es-ES"/>
        </w:rPr>
        <w:t xml:space="preserve">ASOCIACIÓN DE </w:t>
      </w:r>
      <w:r w:rsidR="00291E60" w:rsidRPr="003E3E26">
        <w:rPr>
          <w:rFonts w:ascii="Book Antiqua" w:hAnsi="Book Antiqua"/>
          <w:b/>
          <w:bCs/>
          <w:color w:val="000000"/>
          <w:u w:val="single"/>
          <w:lang w:val="es-ES"/>
        </w:rPr>
        <w:t>TITULARES DE CONDOMINIOS</w:t>
      </w:r>
      <w:r w:rsidR="00515BA6" w:rsidRPr="003E3E26">
        <w:rPr>
          <w:rFonts w:ascii="Book Antiqua" w:hAnsi="Book Antiqua"/>
          <w:b/>
          <w:bCs/>
          <w:color w:val="000000"/>
          <w:u w:val="single"/>
          <w:lang w:val="es-ES"/>
        </w:rPr>
        <w:t>, INC.</w:t>
      </w:r>
    </w:p>
    <w:p w14:paraId="6101C828" w14:textId="77777777" w:rsidR="0065441C" w:rsidRPr="003E3E26" w:rsidRDefault="0065441C" w:rsidP="004D7DEF">
      <w:pPr>
        <w:jc w:val="both"/>
        <w:rPr>
          <w:rFonts w:ascii="Book Antiqua" w:hAnsi="Book Antiqua"/>
          <w:b/>
          <w:bCs/>
          <w:color w:val="000000"/>
          <w:u w:val="single"/>
          <w:lang w:val="es-ES"/>
        </w:rPr>
      </w:pPr>
    </w:p>
    <w:p w14:paraId="3F3806A2" w14:textId="582F57A7" w:rsidR="00B90AE4" w:rsidRPr="003E3E26" w:rsidRDefault="0065441C" w:rsidP="00786AA8">
      <w:pPr>
        <w:ind w:firstLine="708"/>
        <w:jc w:val="both"/>
        <w:rPr>
          <w:rFonts w:ascii="Book Antiqua" w:hAnsi="Book Antiqua"/>
          <w:color w:val="000000"/>
          <w:lang w:val="es-ES"/>
        </w:rPr>
      </w:pPr>
      <w:r w:rsidRPr="003E3E26">
        <w:rPr>
          <w:rFonts w:ascii="Book Antiqua" w:hAnsi="Book Antiqua"/>
          <w:color w:val="000000"/>
          <w:lang w:val="es-ES"/>
        </w:rPr>
        <w:t xml:space="preserve">La Asociación de </w:t>
      </w:r>
      <w:r w:rsidR="00824B96" w:rsidRPr="003E3E26">
        <w:rPr>
          <w:rFonts w:ascii="Book Antiqua" w:hAnsi="Book Antiqua"/>
          <w:color w:val="000000"/>
          <w:lang w:val="es-ES"/>
        </w:rPr>
        <w:t>Titulares de Condominios</w:t>
      </w:r>
      <w:r w:rsidRPr="003E3E26">
        <w:rPr>
          <w:rFonts w:ascii="Book Antiqua" w:hAnsi="Book Antiqua"/>
          <w:color w:val="000000"/>
          <w:lang w:val="es-ES"/>
        </w:rPr>
        <w:t xml:space="preserve">, por conducto de su presidenta, </w:t>
      </w:r>
      <w:r w:rsidR="00824B96" w:rsidRPr="003E3E26">
        <w:rPr>
          <w:rFonts w:ascii="Book Antiqua" w:hAnsi="Book Antiqua"/>
          <w:color w:val="000000"/>
          <w:lang w:val="es-ES"/>
        </w:rPr>
        <w:t>Lcda. Marimar Pérez-Riera</w:t>
      </w:r>
      <w:r w:rsidRPr="003E3E26">
        <w:rPr>
          <w:rFonts w:ascii="Book Antiqua" w:hAnsi="Book Antiqua"/>
          <w:color w:val="000000"/>
          <w:lang w:val="es-ES"/>
        </w:rPr>
        <w:t>,</w:t>
      </w:r>
      <w:r w:rsidR="00824B96" w:rsidRPr="003E3E26">
        <w:rPr>
          <w:rFonts w:ascii="Book Antiqua" w:hAnsi="Book Antiqua"/>
          <w:color w:val="000000"/>
          <w:lang w:val="es-ES"/>
        </w:rPr>
        <w:t xml:space="preserve"> y su </w:t>
      </w:r>
      <w:proofErr w:type="gramStart"/>
      <w:r w:rsidR="00824B96" w:rsidRPr="003E3E26">
        <w:rPr>
          <w:rFonts w:ascii="Book Antiqua" w:hAnsi="Book Antiqua"/>
          <w:color w:val="000000"/>
          <w:lang w:val="es-ES"/>
        </w:rPr>
        <w:t>vice presidenta</w:t>
      </w:r>
      <w:proofErr w:type="gramEnd"/>
      <w:r w:rsidR="00824B96" w:rsidRPr="003E3E26">
        <w:rPr>
          <w:rFonts w:ascii="Book Antiqua" w:hAnsi="Book Antiqua"/>
          <w:color w:val="000000"/>
          <w:lang w:val="es-ES"/>
        </w:rPr>
        <w:t xml:space="preserve"> Ivette Marie Pérez Reilova,</w:t>
      </w:r>
      <w:r w:rsidRPr="003E3E26">
        <w:rPr>
          <w:rFonts w:ascii="Book Antiqua" w:hAnsi="Book Antiqua"/>
          <w:color w:val="000000"/>
          <w:lang w:val="es-ES"/>
        </w:rPr>
        <w:t xml:space="preserve"> presentó come</w:t>
      </w:r>
      <w:r w:rsidR="00521835" w:rsidRPr="003E3E26">
        <w:rPr>
          <w:rFonts w:ascii="Book Antiqua" w:hAnsi="Book Antiqua"/>
          <w:color w:val="000000"/>
          <w:lang w:val="es-ES"/>
        </w:rPr>
        <w:t>n</w:t>
      </w:r>
      <w:r w:rsidRPr="003E3E26">
        <w:rPr>
          <w:rFonts w:ascii="Book Antiqua" w:hAnsi="Book Antiqua"/>
          <w:color w:val="000000"/>
          <w:lang w:val="es-ES"/>
        </w:rPr>
        <w:t>tarios por escrito, de los cuales se desprenden los siguientes hallazgos:</w:t>
      </w:r>
    </w:p>
    <w:p w14:paraId="55D9AAF9" w14:textId="36BFF9E2" w:rsidR="00B90AE4" w:rsidRPr="003E3E26" w:rsidRDefault="0064617C" w:rsidP="00FB20AF">
      <w:pPr>
        <w:pStyle w:val="ListParagraph"/>
        <w:numPr>
          <w:ilvl w:val="0"/>
          <w:numId w:val="22"/>
        </w:numPr>
        <w:jc w:val="both"/>
        <w:rPr>
          <w:rFonts w:ascii="Book Antiqua" w:hAnsi="Book Antiqua"/>
          <w:color w:val="000000"/>
          <w:u w:val="single"/>
          <w:lang w:val="es-ES"/>
        </w:rPr>
      </w:pPr>
      <w:r w:rsidRPr="003E3E26">
        <w:rPr>
          <w:rFonts w:ascii="Book Antiqua" w:hAnsi="Book Antiqua"/>
          <w:b/>
          <w:bCs/>
          <w:lang w:val="es-ES"/>
        </w:rPr>
        <w:t>Respaldan plenamente</w:t>
      </w:r>
      <w:r w:rsidRPr="003E3E26">
        <w:rPr>
          <w:rFonts w:ascii="Book Antiqua" w:hAnsi="Book Antiqua"/>
          <w:lang w:val="es-ES"/>
        </w:rPr>
        <w:t xml:space="preserve"> el proyecto, pero lo consideran un primer paso </w:t>
      </w:r>
      <w:proofErr w:type="gramStart"/>
      <w:r w:rsidRPr="003E3E26">
        <w:rPr>
          <w:rFonts w:ascii="Book Antiqua" w:hAnsi="Book Antiqua"/>
          <w:lang w:val="es-ES"/>
        </w:rPr>
        <w:t>necesario</w:t>
      </w:r>
      <w:proofErr w:type="gramEnd"/>
      <w:r w:rsidRPr="003E3E26">
        <w:rPr>
          <w:rFonts w:ascii="Book Antiqua" w:hAnsi="Book Antiqua"/>
          <w:lang w:val="es-ES"/>
        </w:rPr>
        <w:t xml:space="preserve"> aunque no suficiente. Piden que se complemente con una reforma más amplia que culmine en un Código de Condominios.</w:t>
      </w:r>
    </w:p>
    <w:p w14:paraId="28BBD571" w14:textId="2DF6B250" w:rsidR="0064617C" w:rsidRPr="003E3E26" w:rsidRDefault="0064617C" w:rsidP="0064617C">
      <w:pPr>
        <w:pStyle w:val="ListParagraph"/>
        <w:numPr>
          <w:ilvl w:val="0"/>
          <w:numId w:val="22"/>
        </w:numPr>
        <w:jc w:val="both"/>
        <w:rPr>
          <w:rFonts w:ascii="Book Antiqua" w:hAnsi="Book Antiqua"/>
          <w:color w:val="000000"/>
          <w:u w:val="single"/>
          <w:lang w:val="es-ES"/>
        </w:rPr>
      </w:pPr>
      <w:r w:rsidRPr="003E3E26">
        <w:rPr>
          <w:rFonts w:ascii="Book Antiqua" w:hAnsi="Book Antiqua"/>
          <w:lang w:val="es-ES"/>
        </w:rPr>
        <w:t>Reconocen que la Ley fue aprobada en plena pandemia del COVID-19, lo que limitó severamente la participación de los titulares; con influencia protagónica de profesionales y suplidores con intereses comerciales (abogados, administradores, contables, ingenieros) que trataron a los condominios como una "industria", no como hogares.</w:t>
      </w:r>
    </w:p>
    <w:p w14:paraId="45B52E29" w14:textId="77777777" w:rsidR="0064617C" w:rsidRPr="003E3E26" w:rsidRDefault="0064617C" w:rsidP="0064617C">
      <w:pPr>
        <w:pStyle w:val="ListParagraph"/>
        <w:numPr>
          <w:ilvl w:val="0"/>
          <w:numId w:val="22"/>
        </w:numPr>
        <w:jc w:val="both"/>
        <w:rPr>
          <w:rFonts w:ascii="Book Antiqua" w:hAnsi="Book Antiqua"/>
          <w:color w:val="000000"/>
          <w:u w:val="single"/>
          <w:lang w:val="es-ES"/>
        </w:rPr>
      </w:pPr>
      <w:r w:rsidRPr="003E3E26">
        <w:rPr>
          <w:rFonts w:ascii="Book Antiqua" w:hAnsi="Book Antiqua"/>
          <w:lang w:val="es-ES"/>
        </w:rPr>
        <w:t>La Ley, dice la Asociación, ha generado un estatuto rígido, incoherente y desconectado de la vida cotidiana de las comunidades que pretende regular, delegando en el DACO funciones para las que no tiene capacidad institucional.</w:t>
      </w:r>
    </w:p>
    <w:p w14:paraId="5094F687" w14:textId="10F4F940" w:rsidR="0064617C" w:rsidRPr="003E3E26" w:rsidRDefault="0064617C" w:rsidP="0064617C">
      <w:pPr>
        <w:pStyle w:val="ListParagraph"/>
        <w:numPr>
          <w:ilvl w:val="0"/>
          <w:numId w:val="22"/>
        </w:numPr>
        <w:jc w:val="both"/>
        <w:rPr>
          <w:rFonts w:ascii="Book Antiqua" w:hAnsi="Book Antiqua"/>
          <w:color w:val="000000"/>
          <w:u w:val="single"/>
          <w:lang w:val="es-ES"/>
        </w:rPr>
      </w:pPr>
      <w:r w:rsidRPr="003E3E26">
        <w:rPr>
          <w:rFonts w:ascii="Book Antiqua" w:hAnsi="Book Antiqua"/>
          <w:lang w:val="es-ES"/>
        </w:rPr>
        <w:t xml:space="preserve">Señalan también </w:t>
      </w:r>
      <w:proofErr w:type="gramStart"/>
      <w:r w:rsidRPr="003E3E26">
        <w:rPr>
          <w:rFonts w:ascii="Book Antiqua" w:hAnsi="Book Antiqua"/>
          <w:lang w:val="es-ES"/>
        </w:rPr>
        <w:t>que</w:t>
      </w:r>
      <w:proofErr w:type="gramEnd"/>
      <w:r w:rsidRPr="003E3E26">
        <w:rPr>
          <w:rFonts w:ascii="Book Antiqua" w:hAnsi="Book Antiqua"/>
          <w:lang w:val="es-ES"/>
        </w:rPr>
        <w:t xml:space="preserve"> aunque en teoría los titulares pueden comparecer sin abogado ante el DACO, en la práctica enfrentan a Consejos representados por abogados pagados con las mismas cuotas de mantenimiento que aportan los titulares querellantes, lo que los coloca en desventaja estructural.</w:t>
      </w:r>
    </w:p>
    <w:p w14:paraId="52462F16" w14:textId="2CDC54F9" w:rsidR="0064617C" w:rsidRPr="0064617C" w:rsidRDefault="0064617C" w:rsidP="0064617C">
      <w:pPr>
        <w:pStyle w:val="ListParagraph"/>
        <w:numPr>
          <w:ilvl w:val="0"/>
          <w:numId w:val="22"/>
        </w:numPr>
        <w:jc w:val="both"/>
        <w:rPr>
          <w:rFonts w:ascii="Book Antiqua" w:eastAsia="Calibri" w:hAnsi="Book Antiqua" w:cs="Arial"/>
          <w:color w:val="000000"/>
          <w:u w:val="single"/>
          <w:lang w:val="es-PR"/>
        </w:rPr>
      </w:pPr>
      <w:r w:rsidRPr="003E3E26">
        <w:rPr>
          <w:rFonts w:ascii="Book Antiqua" w:hAnsi="Book Antiqua"/>
          <w:color w:val="000000"/>
          <w:lang w:val="es-ES"/>
        </w:rPr>
        <w:t xml:space="preserve">La Asociación apoya </w:t>
      </w:r>
      <w:r w:rsidRPr="003E3E26">
        <w:rPr>
          <w:rFonts w:ascii="Book Antiqua" w:hAnsi="Book Antiqua"/>
          <w:lang w:val="es-ES"/>
        </w:rPr>
        <w:t xml:space="preserve">la transferencia de jurisdicción exclusiva al Tribunal de Primera Instancia; creación de Salas Especializadas de Condominios, comparable a como ya existen salas de familia, menores, violencia doméstica y salud mental; </w:t>
      </w:r>
      <w:r w:rsidR="001B2DB5" w:rsidRPr="003E3E26">
        <w:rPr>
          <w:rFonts w:ascii="Book Antiqua" w:hAnsi="Book Antiqua"/>
          <w:lang w:val="es-ES"/>
        </w:rPr>
        <w:t xml:space="preserve">la </w:t>
      </w:r>
      <w:r w:rsidRPr="003E3E26">
        <w:rPr>
          <w:rFonts w:ascii="Book Antiqua" w:hAnsi="Book Antiqua"/>
          <w:lang w:val="es-ES"/>
        </w:rPr>
        <w:t xml:space="preserve">eliminación de referencias al DACO en procesos que no puede ejecutar; </w:t>
      </w:r>
      <w:r w:rsidR="00B01A31" w:rsidRPr="003E3E26">
        <w:rPr>
          <w:rFonts w:ascii="Book Antiqua" w:hAnsi="Book Antiqua"/>
          <w:lang w:val="es-ES"/>
        </w:rPr>
        <w:t xml:space="preserve">la </w:t>
      </w:r>
      <w:r w:rsidRPr="003E3E26">
        <w:rPr>
          <w:rFonts w:ascii="Book Antiqua" w:hAnsi="Book Antiqua"/>
          <w:lang w:val="es-ES"/>
        </w:rPr>
        <w:t>creación del Registro Digital de condominios bajo el Departamento de Justicia, algo que han reclamado desde 2019; claridad jurisdiccional en los procesos de transición de juntas.</w:t>
      </w:r>
    </w:p>
    <w:p w14:paraId="3246E155" w14:textId="77777777" w:rsidR="0064617C" w:rsidRPr="0064617C" w:rsidRDefault="0064617C" w:rsidP="0064617C">
      <w:pPr>
        <w:pStyle w:val="ListParagraph"/>
        <w:numPr>
          <w:ilvl w:val="0"/>
          <w:numId w:val="22"/>
        </w:numPr>
        <w:jc w:val="both"/>
        <w:rPr>
          <w:rFonts w:ascii="Book Antiqua" w:eastAsia="Calibri" w:hAnsi="Book Antiqua" w:cs="Arial"/>
          <w:color w:val="000000"/>
          <w:u w:val="single"/>
        </w:rPr>
      </w:pPr>
      <w:r>
        <w:rPr>
          <w:rFonts w:ascii="Book Antiqua" w:hAnsi="Book Antiqua"/>
        </w:rPr>
        <w:t>Recomendaciones adicionales:</w:t>
      </w:r>
    </w:p>
    <w:p w14:paraId="6DD6E77E" w14:textId="77777777" w:rsidR="0064617C" w:rsidRPr="0065513E" w:rsidRDefault="0064617C" w:rsidP="0064617C">
      <w:pPr>
        <w:pStyle w:val="ListParagraph"/>
        <w:numPr>
          <w:ilvl w:val="1"/>
          <w:numId w:val="22"/>
        </w:numPr>
        <w:jc w:val="both"/>
        <w:rPr>
          <w:rFonts w:ascii="Book Antiqua" w:eastAsia="Calibri" w:hAnsi="Book Antiqua" w:cs="Arial"/>
          <w:color w:val="000000"/>
          <w:u w:val="single"/>
          <w:lang w:val="es-PR"/>
        </w:rPr>
      </w:pPr>
      <w:r w:rsidRPr="003E3E26">
        <w:rPr>
          <w:rFonts w:ascii="Book Antiqua" w:hAnsi="Book Antiqua"/>
          <w:lang w:val="es-ES"/>
        </w:rPr>
        <w:t xml:space="preserve">Reglamentación uniforme para las Salas Especializadas con procesos ágiles, formularios estandarizados y acceso sin representación legal obligatoria. </w:t>
      </w:r>
    </w:p>
    <w:p w14:paraId="711A1D10" w14:textId="77777777" w:rsidR="0064617C" w:rsidRPr="0065513E" w:rsidRDefault="0064617C" w:rsidP="0064617C">
      <w:pPr>
        <w:pStyle w:val="ListParagraph"/>
        <w:numPr>
          <w:ilvl w:val="1"/>
          <w:numId w:val="22"/>
        </w:numPr>
        <w:jc w:val="both"/>
        <w:rPr>
          <w:rFonts w:ascii="Book Antiqua" w:eastAsia="Calibri" w:hAnsi="Book Antiqua" w:cs="Arial"/>
          <w:color w:val="000000"/>
          <w:u w:val="single"/>
          <w:lang w:val="es-PR"/>
        </w:rPr>
      </w:pPr>
      <w:r w:rsidRPr="003E3E26">
        <w:rPr>
          <w:rFonts w:ascii="Book Antiqua" w:hAnsi="Book Antiqua"/>
          <w:lang w:val="es-ES"/>
        </w:rPr>
        <w:t xml:space="preserve">Mediación como primer paso opcional para resolver controversias, pero que no sea obligatoria en casos de abuso, represalias o acoso vecinal. </w:t>
      </w:r>
    </w:p>
    <w:p w14:paraId="705A2222" w14:textId="77777777" w:rsidR="0064617C" w:rsidRPr="0065513E" w:rsidRDefault="0064617C" w:rsidP="0064617C">
      <w:pPr>
        <w:pStyle w:val="ListParagraph"/>
        <w:numPr>
          <w:ilvl w:val="1"/>
          <w:numId w:val="22"/>
        </w:numPr>
        <w:jc w:val="both"/>
        <w:rPr>
          <w:rFonts w:ascii="Book Antiqua" w:eastAsia="Calibri" w:hAnsi="Book Antiqua" w:cs="Arial"/>
          <w:color w:val="000000"/>
          <w:u w:val="single"/>
          <w:lang w:val="es-PR"/>
        </w:rPr>
      </w:pPr>
      <w:r w:rsidRPr="003E3E26">
        <w:rPr>
          <w:rFonts w:ascii="Book Antiqua" w:hAnsi="Book Antiqua"/>
          <w:lang w:val="es-ES"/>
        </w:rPr>
        <w:t xml:space="preserve">Transición ordenada desde el DACO con inventario de casos, transferencia de expedientes y calendario realista de implementación. </w:t>
      </w:r>
    </w:p>
    <w:p w14:paraId="3C385065" w14:textId="77777777" w:rsidR="0064617C" w:rsidRPr="0065513E" w:rsidRDefault="0064617C" w:rsidP="0064617C">
      <w:pPr>
        <w:pStyle w:val="ListParagraph"/>
        <w:numPr>
          <w:ilvl w:val="1"/>
          <w:numId w:val="22"/>
        </w:numPr>
        <w:jc w:val="both"/>
        <w:rPr>
          <w:rFonts w:ascii="Book Antiqua" w:eastAsia="Calibri" w:hAnsi="Book Antiqua" w:cs="Arial"/>
          <w:color w:val="000000"/>
          <w:u w:val="single"/>
          <w:lang w:val="es-PR"/>
        </w:rPr>
      </w:pPr>
      <w:r w:rsidRPr="003E3E26">
        <w:rPr>
          <w:rFonts w:ascii="Book Antiqua" w:hAnsi="Book Antiqua"/>
          <w:lang w:val="es-ES"/>
        </w:rPr>
        <w:t xml:space="preserve">Desarrollar un Código de Condominios con categorías diferenciadas según tamaño y tipo de comunidad, ya que una sola ley rígida no puede regular por igual un condominio de 4 unidades y uno de 400. </w:t>
      </w:r>
    </w:p>
    <w:p w14:paraId="08F7636D" w14:textId="77777777" w:rsidR="0065513E" w:rsidRPr="0065513E" w:rsidRDefault="0064617C" w:rsidP="0064617C">
      <w:pPr>
        <w:pStyle w:val="ListParagraph"/>
        <w:numPr>
          <w:ilvl w:val="1"/>
          <w:numId w:val="22"/>
        </w:numPr>
        <w:jc w:val="both"/>
        <w:rPr>
          <w:rFonts w:ascii="Book Antiqua" w:eastAsia="Calibri" w:hAnsi="Book Antiqua" w:cs="Arial"/>
          <w:color w:val="000000"/>
          <w:u w:val="single"/>
          <w:lang w:val="es-PR"/>
        </w:rPr>
      </w:pPr>
      <w:r w:rsidRPr="003E3E26">
        <w:rPr>
          <w:rFonts w:ascii="Book Antiqua" w:hAnsi="Book Antiqua"/>
          <w:lang w:val="es-ES"/>
        </w:rPr>
        <w:lastRenderedPageBreak/>
        <w:t xml:space="preserve">Incluir representación formal de titulares en cualquier grupo de trabajo futuro, para no repetir los errores que dieron origen a la Ley 129-2020. </w:t>
      </w:r>
    </w:p>
    <w:p w14:paraId="3B410FE7" w14:textId="7036FF91" w:rsidR="0064617C" w:rsidRPr="003E3E26" w:rsidRDefault="0064617C" w:rsidP="0064617C">
      <w:pPr>
        <w:pStyle w:val="ListParagraph"/>
        <w:numPr>
          <w:ilvl w:val="1"/>
          <w:numId w:val="22"/>
        </w:numPr>
        <w:jc w:val="both"/>
        <w:rPr>
          <w:rFonts w:ascii="Book Antiqua" w:hAnsi="Book Antiqua"/>
          <w:color w:val="000000"/>
          <w:u w:val="single"/>
          <w:lang w:val="es-ES"/>
        </w:rPr>
      </w:pPr>
      <w:r w:rsidRPr="003E3E26">
        <w:rPr>
          <w:rFonts w:ascii="Book Antiqua" w:hAnsi="Book Antiqua"/>
          <w:lang w:val="es-ES"/>
        </w:rPr>
        <w:t>Garantizar expresamente que los titulares no perderán derechos procesales ni de acceso al trasladarse la jurisdicción al Tribunal, e incorporar herramientas como el Tribunal Electrónico para facilitar el acceso a adultos mayores y personas con limitaciones de movilidad.</w:t>
      </w:r>
    </w:p>
    <w:p w14:paraId="540AB9FC" w14:textId="77777777" w:rsidR="00FB20AF" w:rsidRPr="003E3E26" w:rsidRDefault="00FB20AF" w:rsidP="00FB20AF">
      <w:pPr>
        <w:jc w:val="both"/>
        <w:rPr>
          <w:rFonts w:ascii="Book Antiqua" w:hAnsi="Book Antiqua"/>
          <w:b/>
          <w:bCs/>
          <w:color w:val="000000"/>
          <w:u w:val="single"/>
          <w:lang w:val="es-ES"/>
        </w:rPr>
      </w:pPr>
    </w:p>
    <w:p w14:paraId="4AC7A98C" w14:textId="77777777" w:rsidR="00FB20AF" w:rsidRPr="003E3E26" w:rsidRDefault="00FB20AF" w:rsidP="00FB20AF">
      <w:pPr>
        <w:jc w:val="both"/>
        <w:rPr>
          <w:rFonts w:ascii="Book Antiqua" w:hAnsi="Book Antiqua"/>
          <w:b/>
          <w:bCs/>
          <w:color w:val="000000"/>
          <w:u w:val="single"/>
          <w:lang w:val="es-ES"/>
        </w:rPr>
      </w:pPr>
    </w:p>
    <w:p w14:paraId="6BC3CA3C" w14:textId="72F22BF4" w:rsidR="00291E60" w:rsidRPr="003E3E26" w:rsidRDefault="00291E60" w:rsidP="004D7DEF">
      <w:pPr>
        <w:jc w:val="both"/>
        <w:rPr>
          <w:rFonts w:ascii="Book Antiqua" w:hAnsi="Book Antiqua"/>
          <w:b/>
          <w:bCs/>
          <w:color w:val="000000"/>
          <w:u w:val="single"/>
          <w:lang w:val="es-ES"/>
        </w:rPr>
      </w:pPr>
      <w:r w:rsidRPr="003E3E26">
        <w:rPr>
          <w:rFonts w:ascii="Book Antiqua" w:hAnsi="Book Antiqua"/>
          <w:b/>
          <w:bCs/>
          <w:color w:val="000000"/>
          <w:u w:val="single"/>
          <w:lang w:val="es-ES"/>
        </w:rPr>
        <w:t>ASOCIACIÓN DE CONDOMINIOS Y CONTROLES DE ACCESO</w:t>
      </w:r>
    </w:p>
    <w:p w14:paraId="71C25BE0" w14:textId="77777777" w:rsidR="00CF4647" w:rsidRPr="003E3E26" w:rsidRDefault="00CF4647" w:rsidP="004D7DEF">
      <w:pPr>
        <w:jc w:val="both"/>
        <w:rPr>
          <w:rFonts w:ascii="Book Antiqua" w:hAnsi="Book Antiqua"/>
          <w:b/>
          <w:bCs/>
          <w:color w:val="000000"/>
          <w:u w:val="single"/>
          <w:lang w:val="es-ES"/>
        </w:rPr>
      </w:pPr>
    </w:p>
    <w:p w14:paraId="6B179F12" w14:textId="2EB10591" w:rsidR="00D6600D" w:rsidRPr="003E3E26" w:rsidRDefault="00271F57" w:rsidP="00D6600D">
      <w:pPr>
        <w:ind w:firstLine="708"/>
        <w:jc w:val="both"/>
        <w:rPr>
          <w:rFonts w:ascii="Book Antiqua" w:hAnsi="Book Antiqua"/>
          <w:color w:val="000000"/>
          <w:lang w:val="es-ES"/>
        </w:rPr>
      </w:pPr>
      <w:r w:rsidRPr="003E3E26">
        <w:rPr>
          <w:rFonts w:ascii="Book Antiqua" w:hAnsi="Book Antiqua"/>
          <w:color w:val="000000"/>
          <w:lang w:val="es-ES"/>
        </w:rPr>
        <w:t xml:space="preserve">La Asociación de Titulares de Condominios, por conducto de su </w:t>
      </w:r>
      <w:r w:rsidR="00CB2CE6" w:rsidRPr="003E3E26">
        <w:rPr>
          <w:rFonts w:ascii="Book Antiqua" w:hAnsi="Book Antiqua"/>
          <w:color w:val="000000"/>
          <w:lang w:val="es-ES"/>
        </w:rPr>
        <w:t>directora ejecutiva</w:t>
      </w:r>
      <w:r w:rsidRPr="003E3E26">
        <w:rPr>
          <w:rFonts w:ascii="Book Antiqua" w:hAnsi="Book Antiqua"/>
          <w:color w:val="000000"/>
          <w:lang w:val="es-ES"/>
        </w:rPr>
        <w:t xml:space="preserve">, </w:t>
      </w:r>
      <w:r w:rsidR="00CB2CE6" w:rsidRPr="003E3E26">
        <w:rPr>
          <w:rFonts w:ascii="Book Antiqua" w:hAnsi="Book Antiqua"/>
          <w:color w:val="000000"/>
          <w:lang w:val="es-ES"/>
        </w:rPr>
        <w:t xml:space="preserve">Mary Ortega, y </w:t>
      </w:r>
      <w:r w:rsidR="00B71759" w:rsidRPr="003E3E26">
        <w:rPr>
          <w:rFonts w:ascii="Book Antiqua" w:hAnsi="Book Antiqua"/>
          <w:color w:val="000000"/>
          <w:lang w:val="es-ES"/>
        </w:rPr>
        <w:t>su</w:t>
      </w:r>
      <w:r w:rsidR="00CB2CE6" w:rsidRPr="003E3E26">
        <w:rPr>
          <w:rFonts w:ascii="Book Antiqua" w:hAnsi="Book Antiqua"/>
          <w:color w:val="000000"/>
          <w:lang w:val="es-ES"/>
        </w:rPr>
        <w:t xml:space="preserve"> </w:t>
      </w:r>
      <w:r w:rsidR="00B71759" w:rsidRPr="003E3E26">
        <w:rPr>
          <w:rFonts w:ascii="Book Antiqua" w:hAnsi="Book Antiqua"/>
          <w:color w:val="000000"/>
          <w:lang w:val="es-ES"/>
        </w:rPr>
        <w:t>o</w:t>
      </w:r>
      <w:r w:rsidR="00CB2CE6" w:rsidRPr="003E3E26">
        <w:rPr>
          <w:rFonts w:ascii="Book Antiqua" w:hAnsi="Book Antiqua"/>
          <w:color w:val="000000"/>
          <w:lang w:val="es-ES"/>
        </w:rPr>
        <w:t xml:space="preserve">ficial de </w:t>
      </w:r>
      <w:r w:rsidR="00B71759" w:rsidRPr="003E3E26">
        <w:rPr>
          <w:rFonts w:ascii="Book Antiqua" w:hAnsi="Book Antiqua"/>
          <w:color w:val="000000"/>
          <w:lang w:val="es-ES"/>
        </w:rPr>
        <w:t>r</w:t>
      </w:r>
      <w:r w:rsidR="00CB2CE6" w:rsidRPr="003E3E26">
        <w:rPr>
          <w:rFonts w:ascii="Book Antiqua" w:hAnsi="Book Antiqua"/>
          <w:color w:val="000000"/>
          <w:lang w:val="es-ES"/>
        </w:rPr>
        <w:t xml:space="preserve">eglamentación y </w:t>
      </w:r>
      <w:r w:rsidR="00B71759" w:rsidRPr="003E3E26">
        <w:rPr>
          <w:rFonts w:ascii="Book Antiqua" w:hAnsi="Book Antiqua"/>
          <w:color w:val="000000"/>
          <w:lang w:val="es-ES"/>
        </w:rPr>
        <w:t>l</w:t>
      </w:r>
      <w:r w:rsidR="00CB2CE6" w:rsidRPr="003E3E26">
        <w:rPr>
          <w:rFonts w:ascii="Book Antiqua" w:hAnsi="Book Antiqua"/>
          <w:color w:val="000000"/>
          <w:lang w:val="es-ES"/>
        </w:rPr>
        <w:t xml:space="preserve">egislación, </w:t>
      </w:r>
      <w:r w:rsidR="00B71759" w:rsidRPr="003E3E26">
        <w:rPr>
          <w:rFonts w:ascii="Book Antiqua" w:hAnsi="Book Antiqua"/>
          <w:color w:val="000000"/>
          <w:lang w:val="es-ES"/>
        </w:rPr>
        <w:t>Wilson Cruz Chocano</w:t>
      </w:r>
      <w:r w:rsidR="00D6600D" w:rsidRPr="003E3E26">
        <w:rPr>
          <w:rFonts w:ascii="Book Antiqua" w:hAnsi="Book Antiqua"/>
          <w:color w:val="000000"/>
          <w:lang w:val="es-ES"/>
        </w:rPr>
        <w:t>, presentó come</w:t>
      </w:r>
      <w:r w:rsidR="00521835" w:rsidRPr="003E3E26">
        <w:rPr>
          <w:rFonts w:ascii="Book Antiqua" w:hAnsi="Book Antiqua"/>
          <w:color w:val="000000"/>
          <w:lang w:val="es-ES"/>
        </w:rPr>
        <w:t>n</w:t>
      </w:r>
      <w:r w:rsidR="00D6600D" w:rsidRPr="003E3E26">
        <w:rPr>
          <w:rFonts w:ascii="Book Antiqua" w:hAnsi="Book Antiqua"/>
          <w:color w:val="000000"/>
          <w:lang w:val="es-ES"/>
        </w:rPr>
        <w:t>tarios por escrito, de los cuales se desprenden los siguientes hallazgos:</w:t>
      </w:r>
    </w:p>
    <w:p w14:paraId="2AE53AFF" w14:textId="6F500EB4" w:rsidR="00D6600D" w:rsidRPr="003E3E26" w:rsidRDefault="00D6600D" w:rsidP="00D6600D">
      <w:pPr>
        <w:pStyle w:val="ListParagraph"/>
        <w:numPr>
          <w:ilvl w:val="0"/>
          <w:numId w:val="26"/>
        </w:numPr>
        <w:jc w:val="both"/>
        <w:rPr>
          <w:rFonts w:ascii="Book Antiqua" w:hAnsi="Book Antiqua"/>
          <w:color w:val="000000"/>
          <w:lang w:val="es-ES"/>
        </w:rPr>
      </w:pPr>
      <w:proofErr w:type="gramStart"/>
      <w:r w:rsidRPr="003E3E26">
        <w:rPr>
          <w:rFonts w:ascii="Book Antiqua" w:hAnsi="Book Antiqua"/>
          <w:b/>
          <w:bCs/>
          <w:lang w:val="es-ES"/>
        </w:rPr>
        <w:t>Respaldan</w:t>
      </w:r>
      <w:r w:rsidRPr="003E3E26">
        <w:rPr>
          <w:rFonts w:ascii="Book Antiqua" w:hAnsi="Book Antiqua"/>
          <w:b/>
          <w:bCs/>
          <w:color w:val="000000"/>
          <w:lang w:val="es-ES"/>
        </w:rPr>
        <w:t xml:space="preserve"> </w:t>
      </w:r>
      <w:r w:rsidR="00CB2CE6" w:rsidRPr="003E3E26">
        <w:rPr>
          <w:rFonts w:ascii="Book Antiqua" w:hAnsi="Book Antiqua"/>
          <w:b/>
          <w:bCs/>
          <w:color w:val="000000"/>
          <w:lang w:val="es-ES"/>
        </w:rPr>
        <w:t xml:space="preserve"> </w:t>
      </w:r>
      <w:r w:rsidRPr="003E3E26">
        <w:rPr>
          <w:rFonts w:ascii="Book Antiqua" w:hAnsi="Book Antiqua"/>
          <w:b/>
          <w:bCs/>
          <w:color w:val="000000"/>
          <w:lang w:val="es-ES"/>
        </w:rPr>
        <w:t>parcialmente</w:t>
      </w:r>
      <w:proofErr w:type="gramEnd"/>
      <w:r w:rsidRPr="003E3E26">
        <w:rPr>
          <w:rFonts w:ascii="Book Antiqua" w:hAnsi="Book Antiqua"/>
          <w:color w:val="000000"/>
          <w:lang w:val="es-ES"/>
        </w:rPr>
        <w:t xml:space="preserve"> el proyecto.  </w:t>
      </w:r>
      <w:r w:rsidRPr="003E3E26">
        <w:rPr>
          <w:rFonts w:ascii="Book Antiqua" w:hAnsi="Book Antiqua"/>
          <w:lang w:val="es-ES"/>
        </w:rPr>
        <w:t xml:space="preserve">Reconocen los problemas del </w:t>
      </w:r>
      <w:proofErr w:type="gramStart"/>
      <w:r w:rsidRPr="003E3E26">
        <w:rPr>
          <w:rFonts w:ascii="Book Antiqua" w:hAnsi="Book Antiqua"/>
          <w:lang w:val="es-ES"/>
        </w:rPr>
        <w:t>DACO</w:t>
      </w:r>
      <w:proofErr w:type="gramEnd"/>
      <w:r w:rsidRPr="003E3E26">
        <w:rPr>
          <w:rFonts w:ascii="Book Antiqua" w:hAnsi="Book Antiqua"/>
          <w:lang w:val="es-ES"/>
        </w:rPr>
        <w:t xml:space="preserve"> pero no están convencidos de que trasladar todo al Tribunal sea la solución correcta. El problema no es solo de foro sino de ineficiencia estructural del sistema completo. Un cambio absoluto de jurisdicción sin rediseñar el sistema sería cosmético y perpetuaría los mismos problemas existentes desde 1958. </w:t>
      </w:r>
    </w:p>
    <w:p w14:paraId="5FBBB023" w14:textId="53BD940B" w:rsidR="00D6600D" w:rsidRPr="003E3E26" w:rsidRDefault="00D6600D" w:rsidP="00D6600D">
      <w:pPr>
        <w:pStyle w:val="ListParagraph"/>
        <w:numPr>
          <w:ilvl w:val="0"/>
          <w:numId w:val="26"/>
        </w:numPr>
        <w:jc w:val="both"/>
        <w:rPr>
          <w:rFonts w:ascii="Book Antiqua" w:hAnsi="Book Antiqua"/>
          <w:color w:val="000000"/>
          <w:lang w:val="es-ES"/>
        </w:rPr>
      </w:pPr>
      <w:r w:rsidRPr="003E3E26">
        <w:rPr>
          <w:rFonts w:ascii="Book Antiqua" w:hAnsi="Book Antiqua"/>
          <w:lang w:val="es-ES"/>
        </w:rPr>
        <w:t>Piden un enfoque legislativo más integral que combine eficiencia, fiscalización efectiva y acceso real a la justicia.</w:t>
      </w:r>
    </w:p>
    <w:p w14:paraId="569BE13E" w14:textId="03BE132A" w:rsidR="00D6600D" w:rsidRPr="003E3E26" w:rsidRDefault="00D6600D" w:rsidP="00D6600D">
      <w:pPr>
        <w:pStyle w:val="ListParagraph"/>
        <w:numPr>
          <w:ilvl w:val="0"/>
          <w:numId w:val="26"/>
        </w:numPr>
        <w:jc w:val="both"/>
        <w:rPr>
          <w:rFonts w:ascii="Book Antiqua" w:hAnsi="Book Antiqua"/>
          <w:color w:val="000000"/>
          <w:lang w:val="es-ES"/>
        </w:rPr>
      </w:pPr>
      <w:r w:rsidRPr="003E3E26">
        <w:rPr>
          <w:rFonts w:ascii="Book Antiqua" w:hAnsi="Book Antiqua"/>
          <w:lang w:val="es-ES"/>
        </w:rPr>
        <w:t xml:space="preserve">Señalan que desde 1958 la jurisdicción ha oscilado entre el Tribunal y el DACO sin resolver el problema de fondo, que los titulares carezcan de un remedio ágil y asequible. </w:t>
      </w:r>
    </w:p>
    <w:p w14:paraId="68C8717E" w14:textId="77777777" w:rsidR="00D6600D" w:rsidRPr="003E3E26" w:rsidRDefault="00D6600D" w:rsidP="00D6600D">
      <w:pPr>
        <w:pStyle w:val="ListParagraph"/>
        <w:numPr>
          <w:ilvl w:val="0"/>
          <w:numId w:val="26"/>
        </w:numPr>
        <w:jc w:val="both"/>
        <w:rPr>
          <w:rFonts w:ascii="Book Antiqua" w:hAnsi="Book Antiqua"/>
          <w:color w:val="000000"/>
          <w:lang w:val="es-ES"/>
        </w:rPr>
      </w:pPr>
      <w:r w:rsidRPr="003E3E26">
        <w:rPr>
          <w:rFonts w:ascii="Book Antiqua" w:hAnsi="Book Antiqua"/>
          <w:lang w:val="es-ES"/>
        </w:rPr>
        <w:t xml:space="preserve">Advierten que llevar los casos al Tribunal implica costos significativos, aplicación de las Reglas de Evidencia y Procedimiento Civil, y la necesidad práctica de contratar abogado, lo que encarecería y complicaría el proceso para el titular promedio. </w:t>
      </w:r>
    </w:p>
    <w:p w14:paraId="13672546" w14:textId="77777777" w:rsidR="00D6600D" w:rsidRPr="003E3E26" w:rsidRDefault="00D6600D" w:rsidP="00D6600D">
      <w:pPr>
        <w:pStyle w:val="ListParagraph"/>
        <w:numPr>
          <w:ilvl w:val="0"/>
          <w:numId w:val="26"/>
        </w:numPr>
        <w:jc w:val="both"/>
        <w:rPr>
          <w:rFonts w:ascii="Book Antiqua" w:hAnsi="Book Antiqua"/>
          <w:color w:val="000000"/>
          <w:lang w:val="es-ES"/>
        </w:rPr>
      </w:pPr>
      <w:r w:rsidRPr="003E3E26">
        <w:rPr>
          <w:rFonts w:ascii="Book Antiqua" w:hAnsi="Book Antiqua"/>
          <w:lang w:val="es-ES"/>
        </w:rPr>
        <w:t xml:space="preserve">Aclaran que el problema del DACO no es falta de conocimiento ni pericia, sino falta de personal y recursos, lo que es distinto. </w:t>
      </w:r>
    </w:p>
    <w:p w14:paraId="7B136D65" w14:textId="77777777" w:rsidR="00426600" w:rsidRPr="003E3E26" w:rsidRDefault="00D6600D" w:rsidP="00426600">
      <w:pPr>
        <w:pStyle w:val="ListParagraph"/>
        <w:numPr>
          <w:ilvl w:val="0"/>
          <w:numId w:val="26"/>
        </w:numPr>
        <w:jc w:val="both"/>
        <w:rPr>
          <w:rFonts w:ascii="Book Antiqua" w:hAnsi="Book Antiqua"/>
          <w:color w:val="000000"/>
          <w:lang w:val="es-ES"/>
        </w:rPr>
      </w:pPr>
      <w:r w:rsidRPr="003E3E26">
        <w:rPr>
          <w:rFonts w:ascii="Book Antiqua" w:hAnsi="Book Antiqua"/>
          <w:lang w:val="es-ES"/>
        </w:rPr>
        <w:t>Su propuesta alternativa es crear un</w:t>
      </w:r>
      <w:r w:rsidRPr="003E3E26">
        <w:rPr>
          <w:rFonts w:ascii="Book Antiqua" w:hAnsi="Book Antiqua"/>
          <w:b/>
          <w:bCs/>
          <w:lang w:val="es-ES"/>
        </w:rPr>
        <w:t xml:space="preserve"> </w:t>
      </w:r>
      <w:r w:rsidRPr="003E3E26">
        <w:rPr>
          <w:rStyle w:val="Strong"/>
          <w:rFonts w:ascii="Book Antiqua" w:hAnsi="Book Antiqua"/>
          <w:b w:val="0"/>
          <w:bCs w:val="0"/>
          <w:lang w:val="es-ES"/>
        </w:rPr>
        <w:t>mecanismo híbrido o especializado</w:t>
      </w:r>
      <w:r w:rsidRPr="003E3E26">
        <w:rPr>
          <w:rFonts w:ascii="Book Antiqua" w:hAnsi="Book Antiqua"/>
          <w:lang w:val="es-ES"/>
        </w:rPr>
        <w:t>, similar a los procesos sumarios o extraordinarios de la Ley 140, que combine accesibilidad, celeridad y garantías procesales</w:t>
      </w:r>
      <w:r w:rsidR="003542B5" w:rsidRPr="003E3E26">
        <w:rPr>
          <w:rFonts w:ascii="Book Antiqua" w:hAnsi="Book Antiqua"/>
          <w:lang w:val="es-ES"/>
        </w:rPr>
        <w:t xml:space="preserve">, </w:t>
      </w:r>
      <w:r w:rsidRPr="003E3E26">
        <w:rPr>
          <w:rFonts w:ascii="Book Antiqua" w:hAnsi="Book Antiqua"/>
          <w:lang w:val="es-ES"/>
        </w:rPr>
        <w:t>sin mover todo al sistema judicial ordinario.</w:t>
      </w:r>
    </w:p>
    <w:p w14:paraId="49FD3841" w14:textId="77777777" w:rsidR="00426600" w:rsidRPr="003E3E26" w:rsidRDefault="00426600" w:rsidP="00426600">
      <w:pPr>
        <w:pStyle w:val="ListParagraph"/>
        <w:numPr>
          <w:ilvl w:val="0"/>
          <w:numId w:val="26"/>
        </w:numPr>
        <w:jc w:val="both"/>
        <w:rPr>
          <w:rFonts w:ascii="Book Antiqua" w:hAnsi="Book Antiqua"/>
          <w:color w:val="000000"/>
          <w:lang w:val="es-ES"/>
        </w:rPr>
      </w:pPr>
      <w:r w:rsidRPr="003E3E26">
        <w:rPr>
          <w:rFonts w:ascii="Book Antiqua" w:hAnsi="Book Antiqua"/>
          <w:lang w:val="es-ES"/>
        </w:rPr>
        <w:t xml:space="preserve">Concuerdan parcialmente con que el Consejo de Titulares pueda establecer requisitos de educación para los administradores, pero critican que el lenguaje del proyecto es ambiguo y deja demasiado a la discreción de cada asamblea sin criterios específicos. </w:t>
      </w:r>
    </w:p>
    <w:p w14:paraId="48202024" w14:textId="77777777" w:rsidR="00426600" w:rsidRPr="003E3E26" w:rsidRDefault="00426600" w:rsidP="00426600">
      <w:pPr>
        <w:pStyle w:val="ListParagraph"/>
        <w:numPr>
          <w:ilvl w:val="0"/>
          <w:numId w:val="26"/>
        </w:numPr>
        <w:jc w:val="both"/>
        <w:rPr>
          <w:rFonts w:ascii="Book Antiqua" w:hAnsi="Book Antiqua"/>
          <w:color w:val="000000"/>
          <w:lang w:val="es-ES"/>
        </w:rPr>
      </w:pPr>
      <w:r w:rsidRPr="003E3E26">
        <w:rPr>
          <w:rFonts w:ascii="Book Antiqua" w:hAnsi="Book Antiqua"/>
          <w:lang w:val="es-ES"/>
        </w:rPr>
        <w:t xml:space="preserve">Señalan un vacío legal importante: si se elimina totalmente la jurisdicción del DACO, el Reglamento 9263 sobre licencias de Agentes Administradores quedaría sin efecto y nadie estaría facultado para fiscalizarlo, creando desregulación y competencia desleal entre los que cumplen la ley y los que operan informalmente. </w:t>
      </w:r>
    </w:p>
    <w:p w14:paraId="6B628313" w14:textId="77777777" w:rsidR="005E194B" w:rsidRPr="003E3E26" w:rsidRDefault="00426600" w:rsidP="00426600">
      <w:pPr>
        <w:pStyle w:val="ListParagraph"/>
        <w:numPr>
          <w:ilvl w:val="0"/>
          <w:numId w:val="26"/>
        </w:numPr>
        <w:jc w:val="both"/>
        <w:rPr>
          <w:rFonts w:ascii="Book Antiqua" w:hAnsi="Book Antiqua"/>
          <w:color w:val="000000"/>
          <w:lang w:val="es-ES"/>
        </w:rPr>
      </w:pPr>
      <w:r w:rsidRPr="003E3E26">
        <w:rPr>
          <w:rFonts w:ascii="Book Antiqua" w:hAnsi="Book Antiqua"/>
          <w:lang w:val="es-ES"/>
        </w:rPr>
        <w:t xml:space="preserve">Proponen tres alternativas para atender este vacío: </w:t>
      </w:r>
    </w:p>
    <w:p w14:paraId="48570D4E" w14:textId="77777777" w:rsidR="005E194B" w:rsidRPr="003E3E26" w:rsidRDefault="00426600" w:rsidP="005E194B">
      <w:pPr>
        <w:pStyle w:val="ListParagraph"/>
        <w:numPr>
          <w:ilvl w:val="1"/>
          <w:numId w:val="26"/>
        </w:numPr>
        <w:jc w:val="both"/>
        <w:rPr>
          <w:rFonts w:ascii="Book Antiqua" w:hAnsi="Book Antiqua"/>
          <w:color w:val="000000"/>
          <w:lang w:val="es-ES"/>
        </w:rPr>
      </w:pPr>
      <w:r w:rsidRPr="003E3E26">
        <w:rPr>
          <w:rFonts w:ascii="Book Antiqua" w:hAnsi="Book Antiqua"/>
          <w:lang w:val="es-ES"/>
        </w:rPr>
        <w:lastRenderedPageBreak/>
        <w:t xml:space="preserve">dejar al DACO jurisdicción solo para asuntos de licencias, </w:t>
      </w:r>
    </w:p>
    <w:p w14:paraId="4FC0CC35" w14:textId="77777777" w:rsidR="00AA6DB7" w:rsidRPr="003E3E26" w:rsidRDefault="00426600" w:rsidP="00AA6DB7">
      <w:pPr>
        <w:pStyle w:val="ListParagraph"/>
        <w:numPr>
          <w:ilvl w:val="1"/>
          <w:numId w:val="26"/>
        </w:numPr>
        <w:jc w:val="both"/>
        <w:rPr>
          <w:rFonts w:ascii="Book Antiqua" w:hAnsi="Book Antiqua"/>
          <w:color w:val="000000"/>
          <w:lang w:val="es-ES"/>
        </w:rPr>
      </w:pPr>
      <w:r w:rsidRPr="003E3E26">
        <w:rPr>
          <w:rFonts w:ascii="Book Antiqua" w:hAnsi="Book Antiqua"/>
          <w:lang w:val="es-ES"/>
        </w:rPr>
        <w:t>requerir las pólizas a través del reglamento interno de cada condominio y</w:t>
      </w:r>
      <w:r w:rsidR="00AA6DB7" w:rsidRPr="003E3E26">
        <w:rPr>
          <w:rFonts w:ascii="Book Antiqua" w:hAnsi="Book Antiqua"/>
          <w:lang w:val="es-ES"/>
        </w:rPr>
        <w:t xml:space="preserve"> </w:t>
      </w:r>
      <w:r w:rsidRPr="003E3E26">
        <w:rPr>
          <w:rFonts w:ascii="Book Antiqua" w:hAnsi="Book Antiqua"/>
          <w:lang w:val="es-ES"/>
        </w:rPr>
        <w:t xml:space="preserve">reclamar en Tribunal ante incumplimiento, </w:t>
      </w:r>
    </w:p>
    <w:p w14:paraId="74187E2B" w14:textId="754E2CB0" w:rsidR="00291E60" w:rsidRPr="005F7135" w:rsidRDefault="00426600" w:rsidP="004D7DEF">
      <w:pPr>
        <w:pStyle w:val="ListParagraph"/>
        <w:numPr>
          <w:ilvl w:val="1"/>
          <w:numId w:val="26"/>
        </w:numPr>
        <w:jc w:val="both"/>
        <w:rPr>
          <w:rFonts w:ascii="Book Antiqua" w:hAnsi="Book Antiqua"/>
          <w:color w:val="000000"/>
          <w:lang w:val="es-ES"/>
        </w:rPr>
      </w:pPr>
      <w:r w:rsidRPr="005F7135">
        <w:rPr>
          <w:rFonts w:ascii="Book Antiqua" w:hAnsi="Book Antiqua"/>
          <w:lang w:val="es-ES"/>
        </w:rPr>
        <w:t>o eliminar los requisitos de licencia por completo.</w:t>
      </w:r>
    </w:p>
    <w:p w14:paraId="67C27E26" w14:textId="77777777" w:rsidR="00AA6DB7" w:rsidRPr="005F7135" w:rsidRDefault="00AA6DB7" w:rsidP="004D7DEF">
      <w:pPr>
        <w:jc w:val="both"/>
        <w:rPr>
          <w:rFonts w:ascii="Book Antiqua" w:hAnsi="Book Antiqua"/>
          <w:b/>
          <w:bCs/>
          <w:color w:val="000000"/>
          <w:u w:val="single"/>
          <w:lang w:val="es-ES"/>
        </w:rPr>
      </w:pPr>
    </w:p>
    <w:p w14:paraId="4C341A73" w14:textId="05E79A94" w:rsidR="00AA6DB7" w:rsidRPr="003E3E26" w:rsidRDefault="00291E60" w:rsidP="004D7DEF">
      <w:pPr>
        <w:jc w:val="both"/>
        <w:rPr>
          <w:rFonts w:ascii="Book Antiqua" w:hAnsi="Book Antiqua"/>
          <w:b/>
          <w:bCs/>
          <w:color w:val="000000"/>
          <w:u w:val="single"/>
          <w:lang w:val="es-ES"/>
        </w:rPr>
      </w:pPr>
      <w:r w:rsidRPr="003E3E26">
        <w:rPr>
          <w:rFonts w:ascii="Book Antiqua" w:hAnsi="Book Antiqua"/>
          <w:b/>
          <w:bCs/>
          <w:color w:val="000000"/>
          <w:u w:val="single"/>
          <w:lang w:val="es-ES"/>
        </w:rPr>
        <w:t>OFICINA DE ADMINISTRACION DE LOS TRIBUNALES (OAT)</w:t>
      </w:r>
    </w:p>
    <w:p w14:paraId="7852C377" w14:textId="77777777" w:rsidR="004C7CB2" w:rsidRPr="003E3E26" w:rsidRDefault="004C7CB2" w:rsidP="004D7DEF">
      <w:pPr>
        <w:jc w:val="both"/>
        <w:rPr>
          <w:rFonts w:ascii="Book Antiqua" w:hAnsi="Book Antiqua"/>
          <w:b/>
          <w:bCs/>
          <w:color w:val="000000"/>
          <w:u w:val="single"/>
          <w:lang w:val="es-ES"/>
        </w:rPr>
      </w:pPr>
    </w:p>
    <w:p w14:paraId="0FC1AECE" w14:textId="70C7B1E7" w:rsidR="004753EF" w:rsidRPr="003E3E26" w:rsidRDefault="00271F57" w:rsidP="004753EF">
      <w:pPr>
        <w:ind w:firstLine="708"/>
        <w:jc w:val="both"/>
        <w:rPr>
          <w:rFonts w:ascii="Book Antiqua" w:hAnsi="Book Antiqua"/>
          <w:color w:val="000000"/>
          <w:lang w:val="es-ES"/>
        </w:rPr>
      </w:pPr>
      <w:r w:rsidRPr="003E3E26">
        <w:rPr>
          <w:rFonts w:ascii="Book Antiqua" w:hAnsi="Book Antiqua"/>
          <w:color w:val="000000"/>
          <w:lang w:val="es-ES"/>
        </w:rPr>
        <w:t xml:space="preserve">La </w:t>
      </w:r>
      <w:r w:rsidR="00912868" w:rsidRPr="003E3E26">
        <w:rPr>
          <w:rFonts w:ascii="Book Antiqua" w:hAnsi="Book Antiqua"/>
          <w:color w:val="000000"/>
          <w:lang w:val="es-ES"/>
        </w:rPr>
        <w:t>Oficina de Administración de los Tribunales (OAT)</w:t>
      </w:r>
      <w:r w:rsidRPr="003E3E26">
        <w:rPr>
          <w:rFonts w:ascii="Book Antiqua" w:hAnsi="Book Antiqua"/>
          <w:color w:val="000000"/>
          <w:lang w:val="es-ES"/>
        </w:rPr>
        <w:t>, por conducto de</w:t>
      </w:r>
      <w:r w:rsidR="00B71759" w:rsidRPr="003E3E26">
        <w:rPr>
          <w:rFonts w:ascii="Book Antiqua" w:hAnsi="Book Antiqua"/>
          <w:color w:val="000000"/>
          <w:lang w:val="es-ES"/>
        </w:rPr>
        <w:t>l director administrativo de los tribunales</w:t>
      </w:r>
      <w:r w:rsidRPr="003E3E26">
        <w:rPr>
          <w:rFonts w:ascii="Book Antiqua" w:hAnsi="Book Antiqua"/>
          <w:color w:val="000000"/>
          <w:lang w:val="es-ES"/>
        </w:rPr>
        <w:t xml:space="preserve">, </w:t>
      </w:r>
      <w:r w:rsidR="00912868" w:rsidRPr="003E3E26">
        <w:rPr>
          <w:rFonts w:ascii="Book Antiqua" w:hAnsi="Book Antiqua"/>
          <w:color w:val="000000"/>
          <w:lang w:val="es-ES"/>
        </w:rPr>
        <w:t xml:space="preserve">Hon. </w:t>
      </w:r>
      <w:r w:rsidR="00B71759" w:rsidRPr="003E3E26">
        <w:rPr>
          <w:rFonts w:ascii="Book Antiqua" w:hAnsi="Book Antiqua"/>
          <w:color w:val="000000"/>
          <w:lang w:val="es-ES"/>
        </w:rPr>
        <w:t>Sigfrido Steidel Figueroa</w:t>
      </w:r>
      <w:r w:rsidR="00912868" w:rsidRPr="003E3E26">
        <w:rPr>
          <w:rFonts w:ascii="Book Antiqua" w:hAnsi="Book Antiqua"/>
          <w:color w:val="000000"/>
          <w:lang w:val="es-ES"/>
        </w:rPr>
        <w:t>,</w:t>
      </w:r>
      <w:r w:rsidR="004753EF" w:rsidRPr="003E3E26">
        <w:rPr>
          <w:rFonts w:ascii="Book Antiqua" w:hAnsi="Book Antiqua"/>
          <w:color w:val="000000"/>
          <w:lang w:val="es-ES"/>
        </w:rPr>
        <w:t xml:space="preserve"> presentó come</w:t>
      </w:r>
      <w:r w:rsidR="00521835" w:rsidRPr="003E3E26">
        <w:rPr>
          <w:rFonts w:ascii="Book Antiqua" w:hAnsi="Book Antiqua"/>
          <w:color w:val="000000"/>
          <w:lang w:val="es-ES"/>
        </w:rPr>
        <w:t>n</w:t>
      </w:r>
      <w:r w:rsidR="004753EF" w:rsidRPr="003E3E26">
        <w:rPr>
          <w:rFonts w:ascii="Book Antiqua" w:hAnsi="Book Antiqua"/>
          <w:color w:val="000000"/>
          <w:lang w:val="es-ES"/>
        </w:rPr>
        <w:t>tarios por escrito, de los cuales se desprenden los siguientes hallazgos:</w:t>
      </w:r>
    </w:p>
    <w:p w14:paraId="65A48E67" w14:textId="2AFC6462" w:rsidR="00E811FF" w:rsidRPr="003E3E26" w:rsidRDefault="00426600" w:rsidP="00E811FF">
      <w:pPr>
        <w:pStyle w:val="ListParagraph"/>
        <w:numPr>
          <w:ilvl w:val="0"/>
          <w:numId w:val="28"/>
        </w:numPr>
        <w:jc w:val="both"/>
        <w:rPr>
          <w:rFonts w:ascii="Book Antiqua" w:hAnsi="Book Antiqua"/>
          <w:b/>
          <w:bCs/>
          <w:color w:val="000000"/>
          <w:u w:val="single"/>
          <w:lang w:val="es-ES"/>
        </w:rPr>
      </w:pPr>
      <w:r w:rsidRPr="003E3E26">
        <w:rPr>
          <w:rFonts w:ascii="Book Antiqua" w:hAnsi="Book Antiqua"/>
          <w:lang w:val="es-ES"/>
        </w:rPr>
        <w:t xml:space="preserve">La OAT expresa </w:t>
      </w:r>
      <w:r w:rsidRPr="003E3E26">
        <w:rPr>
          <w:rStyle w:val="Strong"/>
          <w:rFonts w:ascii="Book Antiqua" w:hAnsi="Book Antiqua"/>
          <w:lang w:val="es-ES"/>
        </w:rPr>
        <w:t>reservas formales</w:t>
      </w:r>
      <w:r w:rsidRPr="003E3E26">
        <w:rPr>
          <w:rFonts w:ascii="Book Antiqua" w:hAnsi="Book Antiqua"/>
          <w:b/>
          <w:bCs/>
          <w:lang w:val="es-ES"/>
        </w:rPr>
        <w:t xml:space="preserve"> a la aprobación</w:t>
      </w:r>
      <w:r w:rsidRPr="003E3E26">
        <w:rPr>
          <w:rFonts w:ascii="Book Antiqua" w:hAnsi="Book Antiqua"/>
          <w:lang w:val="es-ES"/>
        </w:rPr>
        <w:t xml:space="preserve"> del proyecto tal y como está redactado.</w:t>
      </w:r>
      <w:r w:rsidR="000F2C52" w:rsidRPr="003E3E26">
        <w:rPr>
          <w:rFonts w:ascii="Book Antiqua" w:hAnsi="Book Antiqua"/>
          <w:lang w:val="es-ES"/>
        </w:rPr>
        <w:t xml:space="preserve"> No se opone al concepto de mejorar el sistema, pero advierte que el proyecto tal como está redactado no lograría el objetivo de agilizar los procesos y podría crear más problemas que los que pretende resolver.</w:t>
      </w:r>
    </w:p>
    <w:p w14:paraId="71AD3C9E" w14:textId="659359FF" w:rsidR="00E811FF" w:rsidRPr="003E3E26" w:rsidRDefault="00E811FF" w:rsidP="00E811FF">
      <w:pPr>
        <w:pStyle w:val="ListParagraph"/>
        <w:numPr>
          <w:ilvl w:val="0"/>
          <w:numId w:val="28"/>
        </w:numPr>
        <w:jc w:val="both"/>
        <w:rPr>
          <w:rFonts w:ascii="Book Antiqua" w:hAnsi="Book Antiqua"/>
          <w:b/>
          <w:bCs/>
          <w:color w:val="000000"/>
          <w:u w:val="single"/>
          <w:lang w:val="es-ES"/>
        </w:rPr>
      </w:pPr>
      <w:r w:rsidRPr="003E3E26">
        <w:rPr>
          <w:rFonts w:ascii="Book Antiqua" w:hAnsi="Book Antiqua"/>
          <w:lang w:val="es-ES"/>
        </w:rPr>
        <w:t>Reconocen que históricamente los tribunales tenían jurisdicción sobre condominios (desde la Ley 104 de 1958)</w:t>
      </w:r>
      <w:r w:rsidR="000F2C52" w:rsidRPr="003E3E26">
        <w:rPr>
          <w:rFonts w:ascii="Book Antiqua" w:hAnsi="Book Antiqua"/>
          <w:lang w:val="es-ES"/>
        </w:rPr>
        <w:t xml:space="preserve"> </w:t>
      </w:r>
      <w:r w:rsidRPr="003E3E26">
        <w:rPr>
          <w:rFonts w:ascii="Book Antiqua" w:hAnsi="Book Antiqua"/>
          <w:lang w:val="es-ES"/>
        </w:rPr>
        <w:t xml:space="preserve">y que fue mediante legislación posterior que se transfirió esa jurisdicción al DACO. Reconocen también la facultad de la Asamblea Legislativa de reasignar jurisdicción. </w:t>
      </w:r>
    </w:p>
    <w:p w14:paraId="744CBF0C" w14:textId="1FA15509" w:rsidR="00E811FF" w:rsidRPr="003E3E26" w:rsidRDefault="00E811FF" w:rsidP="00E811FF">
      <w:pPr>
        <w:pStyle w:val="ListParagraph"/>
        <w:numPr>
          <w:ilvl w:val="0"/>
          <w:numId w:val="28"/>
        </w:numPr>
        <w:jc w:val="both"/>
        <w:rPr>
          <w:rFonts w:ascii="Book Antiqua" w:hAnsi="Book Antiqua"/>
          <w:b/>
          <w:bCs/>
          <w:color w:val="000000"/>
          <w:u w:val="single"/>
          <w:lang w:val="es-ES"/>
        </w:rPr>
      </w:pPr>
      <w:r w:rsidRPr="003E3E26">
        <w:rPr>
          <w:rFonts w:ascii="Book Antiqua" w:hAnsi="Book Antiqua"/>
          <w:lang w:val="es-ES"/>
        </w:rPr>
        <w:t>Advierten que el proyecto no establece un procedimiento especial para tramitar estos casos en el Tribunal. Sin un procedimiento particular, las controversias de condominios quedarían sujetas al proceso judicial ordinario</w:t>
      </w:r>
      <w:r w:rsidR="000F2C52" w:rsidRPr="003E3E26">
        <w:rPr>
          <w:rFonts w:ascii="Book Antiqua" w:hAnsi="Book Antiqua"/>
          <w:lang w:val="es-ES"/>
        </w:rPr>
        <w:t xml:space="preserve">, </w:t>
      </w:r>
      <w:r w:rsidRPr="003E3E26">
        <w:rPr>
          <w:rFonts w:ascii="Book Antiqua" w:hAnsi="Book Antiqua"/>
          <w:lang w:val="es-ES"/>
        </w:rPr>
        <w:t>con las Reglas de Procedimiento Civil y de Evidencia en su totalidad</w:t>
      </w:r>
      <w:r w:rsidR="000F2C52" w:rsidRPr="003E3E26">
        <w:rPr>
          <w:rFonts w:ascii="Book Antiqua" w:hAnsi="Book Antiqua"/>
          <w:lang w:val="es-ES"/>
        </w:rPr>
        <w:t>. Esto h</w:t>
      </w:r>
      <w:r w:rsidRPr="003E3E26">
        <w:rPr>
          <w:rFonts w:ascii="Book Antiqua" w:hAnsi="Book Antiqua"/>
          <w:lang w:val="es-ES"/>
        </w:rPr>
        <w:t xml:space="preserve">aría el proceso más lento, formal y costoso, contrario al objetivo declarado del proyecto de agilizar los trámites. </w:t>
      </w:r>
    </w:p>
    <w:p w14:paraId="06D03D60" w14:textId="77777777" w:rsidR="000F2C52" w:rsidRPr="000F2C52" w:rsidRDefault="00E811FF" w:rsidP="000F2C52">
      <w:pPr>
        <w:pStyle w:val="ListParagraph"/>
        <w:numPr>
          <w:ilvl w:val="0"/>
          <w:numId w:val="28"/>
        </w:numPr>
        <w:jc w:val="both"/>
        <w:rPr>
          <w:rFonts w:ascii="Book Antiqua" w:hAnsi="Book Antiqua"/>
          <w:b/>
          <w:bCs/>
          <w:color w:val="000000"/>
          <w:u w:val="single"/>
        </w:rPr>
      </w:pPr>
      <w:r w:rsidRPr="003E3E26">
        <w:rPr>
          <w:rFonts w:ascii="Book Antiqua" w:hAnsi="Book Antiqua"/>
          <w:lang w:val="es-ES"/>
        </w:rPr>
        <w:t xml:space="preserve">Señalan que el Artículo 66 propuesto, que le delega al Poder Judicial la facultad de nombrar personal y adoptar reglamentación, es innecesario porque los tribunales ya tienen jurisdicción general y no requieren delegación expresa para adjudicar. </w:t>
      </w:r>
      <w:proofErr w:type="spellStart"/>
      <w:r w:rsidRPr="00E811FF">
        <w:rPr>
          <w:rFonts w:ascii="Book Antiqua" w:hAnsi="Book Antiqua"/>
        </w:rPr>
        <w:t>Recomiendan</w:t>
      </w:r>
      <w:proofErr w:type="spellEnd"/>
      <w:r w:rsidRPr="00E811FF">
        <w:rPr>
          <w:rFonts w:ascii="Book Antiqua" w:hAnsi="Book Antiqua"/>
        </w:rPr>
        <w:t xml:space="preserve"> </w:t>
      </w:r>
      <w:proofErr w:type="spellStart"/>
      <w:r w:rsidRPr="00E811FF">
        <w:rPr>
          <w:rFonts w:ascii="Book Antiqua" w:hAnsi="Book Antiqua"/>
        </w:rPr>
        <w:t>eliminar</w:t>
      </w:r>
      <w:proofErr w:type="spellEnd"/>
      <w:r w:rsidRPr="00E811FF">
        <w:rPr>
          <w:rFonts w:ascii="Book Antiqua" w:hAnsi="Book Antiqua"/>
        </w:rPr>
        <w:t xml:space="preserve"> ese </w:t>
      </w:r>
      <w:proofErr w:type="spellStart"/>
      <w:r w:rsidRPr="00E811FF">
        <w:rPr>
          <w:rFonts w:ascii="Book Antiqua" w:hAnsi="Book Antiqua"/>
        </w:rPr>
        <w:t>artículo</w:t>
      </w:r>
      <w:proofErr w:type="spellEnd"/>
      <w:r w:rsidRPr="00E811FF">
        <w:rPr>
          <w:rFonts w:ascii="Book Antiqua" w:hAnsi="Book Antiqua"/>
        </w:rPr>
        <w:t>.</w:t>
      </w:r>
    </w:p>
    <w:p w14:paraId="4221C82C" w14:textId="31D5AF77" w:rsidR="000F2C52" w:rsidRPr="003E3E26" w:rsidRDefault="000F2C52" w:rsidP="000F2C52">
      <w:pPr>
        <w:pStyle w:val="ListParagraph"/>
        <w:numPr>
          <w:ilvl w:val="0"/>
          <w:numId w:val="28"/>
        </w:numPr>
        <w:jc w:val="both"/>
        <w:rPr>
          <w:rFonts w:ascii="Book Antiqua" w:hAnsi="Book Antiqua"/>
          <w:b/>
          <w:bCs/>
          <w:color w:val="000000"/>
          <w:u w:val="single"/>
          <w:lang w:val="es-ES"/>
        </w:rPr>
      </w:pPr>
      <w:r w:rsidRPr="003E3E26">
        <w:rPr>
          <w:rFonts w:ascii="Book Antiqua" w:hAnsi="Book Antiqua"/>
          <w:lang w:val="es-ES"/>
        </w:rPr>
        <w:t xml:space="preserve">La OAT se opone a que la especialización judicial sea impuesta por ley, y lo ha expresado reiteradamente ante iniciativas similares en el pasado. Explican que las salas especializadas que existen en el Poder Judicial (salud mental, violencia doméstica, sustancias controladas) fueron creadas por iniciativa administrativa propia, tras un análisis ponderado de necesidad social, coordinación </w:t>
      </w:r>
      <w:proofErr w:type="spellStart"/>
      <w:r w:rsidRPr="003E3E26">
        <w:rPr>
          <w:rFonts w:ascii="Book Antiqua" w:hAnsi="Book Antiqua"/>
          <w:lang w:val="es-ES"/>
        </w:rPr>
        <w:t>interagencial</w:t>
      </w:r>
      <w:proofErr w:type="spellEnd"/>
      <w:r w:rsidRPr="003E3E26">
        <w:rPr>
          <w:rFonts w:ascii="Book Antiqua" w:hAnsi="Book Antiqua"/>
          <w:lang w:val="es-ES"/>
        </w:rPr>
        <w:t xml:space="preserve"> y disponibilidad de recursos físicos. Los asuntos de condominios, a su juicio, no cumplen con esos criterios.</w:t>
      </w:r>
    </w:p>
    <w:p w14:paraId="05A4DAA1" w14:textId="68709570" w:rsidR="000F2C52" w:rsidRPr="003E3E26" w:rsidRDefault="000F2C52" w:rsidP="000F2C52">
      <w:pPr>
        <w:pStyle w:val="ListParagraph"/>
        <w:numPr>
          <w:ilvl w:val="0"/>
          <w:numId w:val="28"/>
        </w:numPr>
        <w:jc w:val="both"/>
        <w:rPr>
          <w:rFonts w:ascii="Book Antiqua" w:hAnsi="Book Antiqua"/>
          <w:b/>
          <w:bCs/>
          <w:color w:val="000000"/>
          <w:u w:val="single"/>
          <w:lang w:val="es-ES"/>
        </w:rPr>
      </w:pPr>
      <w:r w:rsidRPr="003E3E26">
        <w:rPr>
          <w:rFonts w:ascii="Book Antiqua" w:hAnsi="Book Antiqua"/>
          <w:lang w:val="es-ES"/>
        </w:rPr>
        <w:t>Advierten que crear salas especializadas por mandato legislativo sin considerar todos los factores necesarios podría trastocar los recursos del Poder Judicial y afectar la unidad jurisdiccional y operacional de los tribunales. También señalan que los jueces civiles ya reciben adiestramiento continuo que los capacita para atender controversias bajo la Ley de Condominios.</w:t>
      </w:r>
    </w:p>
    <w:p w14:paraId="01E365F6" w14:textId="6F251EF2" w:rsidR="0004406F" w:rsidRPr="003E3E26" w:rsidRDefault="0004406F" w:rsidP="000F2C52">
      <w:pPr>
        <w:pStyle w:val="ListParagraph"/>
        <w:numPr>
          <w:ilvl w:val="0"/>
          <w:numId w:val="28"/>
        </w:numPr>
        <w:jc w:val="both"/>
        <w:rPr>
          <w:rFonts w:ascii="Book Antiqua" w:hAnsi="Book Antiqua"/>
          <w:b/>
          <w:bCs/>
          <w:color w:val="000000"/>
          <w:u w:val="single"/>
          <w:lang w:val="es-ES"/>
        </w:rPr>
      </w:pPr>
      <w:r w:rsidRPr="003E3E26">
        <w:rPr>
          <w:rFonts w:ascii="Book Antiqua" w:hAnsi="Book Antiqua"/>
          <w:lang w:val="es-ES"/>
        </w:rPr>
        <w:t xml:space="preserve">Señalan que la cláusula transitoria del proyecto es deficiente porque no establece criterios claros para determinar qué casos activos ante el DACO se pueden </w:t>
      </w:r>
      <w:r w:rsidRPr="003E3E26">
        <w:rPr>
          <w:rFonts w:ascii="Book Antiqua" w:hAnsi="Book Antiqua"/>
          <w:lang w:val="es-ES"/>
        </w:rPr>
        <w:lastRenderedPageBreak/>
        <w:t>trasladar al Tribunal, ni el procedimiento para solicitarlo, ni el mecanismo de notificación. Esto podría resultar en que ambos foros atiendan simultáneamente el mismo caso, y en que los titulares tengan que iniciar un proceso completamente nuevo en el Tribunal en lugar de continuar el ya iniciado ante el DACO.</w:t>
      </w:r>
    </w:p>
    <w:p w14:paraId="01A4783B" w14:textId="42D71B00" w:rsidR="00D71552" w:rsidRPr="003E3E26" w:rsidRDefault="00D71552" w:rsidP="000F2C52">
      <w:pPr>
        <w:pStyle w:val="ListParagraph"/>
        <w:numPr>
          <w:ilvl w:val="0"/>
          <w:numId w:val="28"/>
        </w:numPr>
        <w:jc w:val="both"/>
        <w:rPr>
          <w:rFonts w:ascii="Book Antiqua" w:hAnsi="Book Antiqua"/>
          <w:b/>
          <w:bCs/>
          <w:color w:val="000000"/>
          <w:u w:val="single"/>
          <w:lang w:val="es-ES"/>
        </w:rPr>
      </w:pPr>
      <w:r w:rsidRPr="003E3E26">
        <w:rPr>
          <w:rFonts w:ascii="Book Antiqua" w:hAnsi="Book Antiqua"/>
          <w:lang w:val="es-ES"/>
        </w:rPr>
        <w:t xml:space="preserve">Sugieren explorar un foro no judicial, más ágil, flexible y menos costoso que el proceso civil ordinario. Como ejemplo concreto, proponen retomar los </w:t>
      </w:r>
      <w:r w:rsidRPr="003E3E26">
        <w:rPr>
          <w:rStyle w:val="Strong"/>
          <w:rFonts w:ascii="Book Antiqua" w:hAnsi="Book Antiqua"/>
          <w:b w:val="0"/>
          <w:bCs w:val="0"/>
          <w:lang w:val="es-ES"/>
        </w:rPr>
        <w:t>Comités de</w:t>
      </w:r>
      <w:r w:rsidRPr="003E3E26">
        <w:rPr>
          <w:rStyle w:val="Strong"/>
          <w:rFonts w:ascii="Book Antiqua" w:hAnsi="Book Antiqua"/>
          <w:lang w:val="es-ES"/>
        </w:rPr>
        <w:t xml:space="preserve"> </w:t>
      </w:r>
      <w:r w:rsidRPr="003E3E26">
        <w:rPr>
          <w:rStyle w:val="Strong"/>
          <w:rFonts w:ascii="Book Antiqua" w:hAnsi="Book Antiqua"/>
          <w:b w:val="0"/>
          <w:bCs w:val="0"/>
          <w:lang w:val="es-ES"/>
        </w:rPr>
        <w:t>Conciliación</w:t>
      </w:r>
      <w:r w:rsidRPr="003E3E26">
        <w:rPr>
          <w:rFonts w:ascii="Book Antiqua" w:hAnsi="Book Antiqua"/>
          <w:lang w:val="es-ES"/>
        </w:rPr>
        <w:t xml:space="preserve"> que existían bajo la Ley 104 de 1958 como paso previo obligatorio antes de acudir a querellas formales, señalando que ya existe el P. del S. 611 que va en esa dirección.</w:t>
      </w:r>
    </w:p>
    <w:p w14:paraId="227A0EBE" w14:textId="77777777" w:rsidR="00291E60" w:rsidRPr="003E3E26" w:rsidRDefault="00291E60" w:rsidP="004D7DEF">
      <w:pPr>
        <w:jc w:val="both"/>
        <w:rPr>
          <w:rFonts w:ascii="Book Antiqua" w:hAnsi="Book Antiqua"/>
          <w:b/>
          <w:bCs/>
          <w:color w:val="000000"/>
          <w:u w:val="single"/>
          <w:lang w:val="es-ES"/>
        </w:rPr>
      </w:pPr>
    </w:p>
    <w:p w14:paraId="37CA8E86" w14:textId="4B5BDC5E" w:rsidR="00291E60" w:rsidRPr="003E3E26" w:rsidRDefault="00291E60" w:rsidP="004D7DEF">
      <w:pPr>
        <w:jc w:val="both"/>
        <w:rPr>
          <w:rFonts w:ascii="Book Antiqua" w:hAnsi="Book Antiqua"/>
          <w:b/>
          <w:bCs/>
          <w:color w:val="000000"/>
          <w:u w:val="single"/>
          <w:lang w:val="es-ES"/>
        </w:rPr>
      </w:pPr>
      <w:r w:rsidRPr="003E3E26">
        <w:rPr>
          <w:rFonts w:ascii="Book Antiqua" w:hAnsi="Book Antiqua"/>
          <w:b/>
          <w:bCs/>
          <w:color w:val="000000"/>
          <w:u w:val="single"/>
          <w:lang w:val="es-ES"/>
        </w:rPr>
        <w:t>SRA. DENISE BALZAC HOLMBERG</w:t>
      </w:r>
    </w:p>
    <w:p w14:paraId="70C40A07" w14:textId="77777777" w:rsidR="00203FA2" w:rsidRPr="003E3E26" w:rsidRDefault="00203FA2" w:rsidP="004D7DEF">
      <w:pPr>
        <w:jc w:val="both"/>
        <w:rPr>
          <w:rFonts w:ascii="Book Antiqua" w:hAnsi="Book Antiqua"/>
          <w:b/>
          <w:bCs/>
          <w:color w:val="000000"/>
          <w:u w:val="single"/>
          <w:lang w:val="es-ES"/>
        </w:rPr>
      </w:pPr>
    </w:p>
    <w:p w14:paraId="0E6A2ED5" w14:textId="20EEC9F3" w:rsidR="00CC12EA" w:rsidRPr="003E3E26" w:rsidRDefault="00271F57" w:rsidP="00CC12EA">
      <w:pPr>
        <w:ind w:firstLine="708"/>
        <w:jc w:val="both"/>
        <w:rPr>
          <w:rFonts w:ascii="Book Antiqua" w:hAnsi="Book Antiqua"/>
          <w:color w:val="000000"/>
          <w:lang w:val="es-ES"/>
        </w:rPr>
      </w:pPr>
      <w:r w:rsidRPr="003E3E26">
        <w:rPr>
          <w:rFonts w:ascii="Book Antiqua" w:hAnsi="Book Antiqua"/>
          <w:color w:val="000000"/>
          <w:lang w:val="es-ES"/>
        </w:rPr>
        <w:t xml:space="preserve">La </w:t>
      </w:r>
      <w:r w:rsidR="00B71759" w:rsidRPr="003E3E26">
        <w:rPr>
          <w:rFonts w:ascii="Book Antiqua" w:hAnsi="Book Antiqua"/>
          <w:color w:val="000000"/>
          <w:lang w:val="es-ES"/>
        </w:rPr>
        <w:t>Sra. Denise Balzac Holmberg en su carácter personal como titular de condominio</w:t>
      </w:r>
      <w:r w:rsidR="00CC12EA" w:rsidRPr="003E3E26">
        <w:rPr>
          <w:rFonts w:ascii="Book Antiqua" w:hAnsi="Book Antiqua"/>
          <w:color w:val="000000"/>
          <w:lang w:val="es-ES"/>
        </w:rPr>
        <w:t xml:space="preserve"> presentó comentarios por escrito, de los cuales se desprenden los siguientes hallazgos:</w:t>
      </w:r>
    </w:p>
    <w:p w14:paraId="6C1FE5BB" w14:textId="626D2896" w:rsidR="00421D42" w:rsidRPr="003E3E26" w:rsidRDefault="00421D42" w:rsidP="00421D42">
      <w:pPr>
        <w:pStyle w:val="ListParagraph"/>
        <w:numPr>
          <w:ilvl w:val="0"/>
          <w:numId w:val="32"/>
        </w:numPr>
        <w:jc w:val="both"/>
        <w:rPr>
          <w:rFonts w:ascii="Book Antiqua" w:hAnsi="Book Antiqua"/>
          <w:color w:val="000000"/>
          <w:lang w:val="es-ES"/>
        </w:rPr>
      </w:pPr>
      <w:r w:rsidRPr="003E3E26">
        <w:rPr>
          <w:rFonts w:ascii="Book Antiqua" w:hAnsi="Book Antiqua"/>
          <w:lang w:val="es-ES"/>
        </w:rPr>
        <w:t xml:space="preserve">Pide una </w:t>
      </w:r>
      <w:r w:rsidRPr="003E3E26">
        <w:rPr>
          <w:rStyle w:val="Strong"/>
          <w:rFonts w:ascii="Book Antiqua" w:hAnsi="Book Antiqua"/>
          <w:lang w:val="es-ES"/>
        </w:rPr>
        <w:t>moratoria</w:t>
      </w:r>
      <w:r w:rsidRPr="003E3E26">
        <w:rPr>
          <w:rFonts w:ascii="Book Antiqua" w:hAnsi="Book Antiqua"/>
          <w:lang w:val="es-ES"/>
        </w:rPr>
        <w:t xml:space="preserve"> en la radicación y aprobación de nuevos proyectos sobre condominios hasta que se complete el proceso investigativo de la R. del S. 238, y propone soluciones concretas e inmediatas que no requieren legislación nueva.</w:t>
      </w:r>
      <w:r w:rsidR="003B5E55" w:rsidRPr="003E3E26">
        <w:rPr>
          <w:rFonts w:ascii="Book Antiqua" w:hAnsi="Book Antiqua"/>
          <w:lang w:val="es-ES"/>
        </w:rPr>
        <w:t xml:space="preserve">  Con la implementación de estas recomendaciones ella entiende que traerá una reducción inmediata del volumen de querellas pendientes, agilización de procesos, alivio al calendario de los jueces administrativos, generación de fondos propios para financiar la modernización, y disponibilidad de estadísticas confiables, por primera vez, para planificar política pública en vivienda, servicios esenciales y emergencias.</w:t>
      </w:r>
    </w:p>
    <w:p w14:paraId="0A876A4A" w14:textId="77777777" w:rsidR="00421D42" w:rsidRPr="003E3E26" w:rsidRDefault="00421D42" w:rsidP="00421D42">
      <w:pPr>
        <w:pStyle w:val="ListParagraph"/>
        <w:numPr>
          <w:ilvl w:val="0"/>
          <w:numId w:val="32"/>
        </w:numPr>
        <w:jc w:val="both"/>
        <w:rPr>
          <w:rFonts w:ascii="Book Antiqua" w:hAnsi="Book Antiqua"/>
          <w:color w:val="000000"/>
          <w:lang w:val="es-ES"/>
        </w:rPr>
      </w:pPr>
      <w:r w:rsidRPr="003E3E26">
        <w:rPr>
          <w:rFonts w:ascii="Book Antiqua" w:hAnsi="Book Antiqua"/>
          <w:lang w:val="es-ES"/>
        </w:rPr>
        <w:t>La clave del problema: sin un Registro Digital de Condominios, ninguna agencia ni tribunal podrá fiscalizar ni reformar efectivamente la Ley 129-2020.</w:t>
      </w:r>
    </w:p>
    <w:p w14:paraId="28B15872" w14:textId="5A784668" w:rsidR="00421D42" w:rsidRPr="003E3E26" w:rsidRDefault="00421D42" w:rsidP="00421D42">
      <w:pPr>
        <w:pStyle w:val="ListParagraph"/>
        <w:numPr>
          <w:ilvl w:val="0"/>
          <w:numId w:val="32"/>
        </w:numPr>
        <w:jc w:val="both"/>
        <w:rPr>
          <w:rStyle w:val="Strong"/>
          <w:rFonts w:ascii="Book Antiqua" w:hAnsi="Book Antiqua"/>
          <w:b w:val="0"/>
          <w:bCs w:val="0"/>
          <w:color w:val="000000"/>
          <w:lang w:val="es-ES"/>
        </w:rPr>
      </w:pPr>
      <w:r w:rsidRPr="003E3E26">
        <w:rPr>
          <w:rStyle w:val="Strong"/>
          <w:rFonts w:ascii="Book Antiqua" w:hAnsi="Book Antiqua"/>
          <w:lang w:val="es-ES"/>
        </w:rPr>
        <w:t>Propuesta estructural: dividir la Ley 129-2020 en dos leyes</w:t>
      </w:r>
    </w:p>
    <w:p w14:paraId="40A00517" w14:textId="2F98D362" w:rsidR="00421D42" w:rsidRPr="003E3E26" w:rsidRDefault="00421D42" w:rsidP="00421D42">
      <w:pPr>
        <w:pStyle w:val="ListParagraph"/>
        <w:numPr>
          <w:ilvl w:val="1"/>
          <w:numId w:val="32"/>
        </w:numPr>
        <w:jc w:val="both"/>
        <w:rPr>
          <w:rFonts w:ascii="Book Antiqua" w:hAnsi="Book Antiqua"/>
          <w:color w:val="000000"/>
          <w:lang w:val="es-ES"/>
        </w:rPr>
      </w:pPr>
      <w:r w:rsidRPr="003E3E26">
        <w:rPr>
          <w:rFonts w:ascii="Book Antiqua" w:hAnsi="Book Antiqua"/>
          <w:lang w:val="es-ES"/>
        </w:rPr>
        <w:t>Ley 1- "Ley de Régimen de Propiedad Horizontal": atendería los primeros 36 artículos de la Ley 129 relativos al proceso de compraventa, inscripción al régimen y transición del desarrollador al Consejo de Titulares. Aquí sí aplicaría la jurisdicción del DACO porque el comprador es un consumidor.</w:t>
      </w:r>
    </w:p>
    <w:p w14:paraId="308564D9" w14:textId="4FC6F5D3" w:rsidR="00421D42" w:rsidRPr="003E3E26" w:rsidRDefault="00421D42" w:rsidP="00421D42">
      <w:pPr>
        <w:pStyle w:val="ListParagraph"/>
        <w:numPr>
          <w:ilvl w:val="1"/>
          <w:numId w:val="32"/>
        </w:numPr>
        <w:jc w:val="both"/>
        <w:rPr>
          <w:rFonts w:ascii="Book Antiqua" w:hAnsi="Book Antiqua"/>
          <w:color w:val="000000"/>
          <w:lang w:val="es-ES"/>
        </w:rPr>
      </w:pPr>
      <w:r w:rsidRPr="003E3E26">
        <w:rPr>
          <w:rFonts w:ascii="Book Antiqua" w:hAnsi="Book Antiqua"/>
          <w:lang w:val="es-ES"/>
        </w:rPr>
        <w:t>Ley 2- "Ley de Administración de Condominios": atendería los restantes 40 artículos relativos a la operación y administración del condominio ya constituido. Aquí los titulares ya no son consumidores sino propietarios, por lo que el DACO no es el foro apropiado.</w:t>
      </w:r>
    </w:p>
    <w:p w14:paraId="2156A11D" w14:textId="50B3B727" w:rsidR="004069F3" w:rsidRPr="004F136D" w:rsidRDefault="004069F3" w:rsidP="004069F3">
      <w:pPr>
        <w:pStyle w:val="ListParagraph"/>
        <w:numPr>
          <w:ilvl w:val="0"/>
          <w:numId w:val="32"/>
        </w:numPr>
        <w:jc w:val="both"/>
        <w:rPr>
          <w:rFonts w:ascii="Book Antiqua" w:hAnsi="Book Antiqua"/>
          <w:color w:val="000000"/>
        </w:rPr>
      </w:pPr>
      <w:proofErr w:type="spellStart"/>
      <w:r w:rsidRPr="004F136D">
        <w:rPr>
          <w:rFonts w:ascii="Book Antiqua" w:hAnsi="Book Antiqua"/>
          <w:b/>
          <w:bCs/>
        </w:rPr>
        <w:t>Propuesta</w:t>
      </w:r>
      <w:proofErr w:type="spellEnd"/>
      <w:r w:rsidRPr="004F136D">
        <w:rPr>
          <w:rFonts w:ascii="Book Antiqua" w:hAnsi="Book Antiqua"/>
        </w:rPr>
        <w:t xml:space="preserve"> </w:t>
      </w:r>
      <w:proofErr w:type="spellStart"/>
      <w:r w:rsidRPr="004F136D">
        <w:rPr>
          <w:rFonts w:ascii="Book Antiqua" w:hAnsi="Book Antiqua"/>
          <w:b/>
          <w:bCs/>
        </w:rPr>
        <w:t>tecnológica</w:t>
      </w:r>
      <w:proofErr w:type="spellEnd"/>
      <w:r w:rsidRPr="004F136D">
        <w:rPr>
          <w:rFonts w:ascii="Book Antiqua" w:hAnsi="Book Antiqua"/>
          <w:b/>
          <w:bCs/>
        </w:rPr>
        <w:t xml:space="preserve">: Tribunal </w:t>
      </w:r>
      <w:proofErr w:type="spellStart"/>
      <w:r w:rsidRPr="004F136D">
        <w:rPr>
          <w:rFonts w:ascii="Book Antiqua" w:hAnsi="Book Antiqua"/>
          <w:b/>
          <w:bCs/>
        </w:rPr>
        <w:t>Electrónico</w:t>
      </w:r>
      <w:proofErr w:type="spellEnd"/>
    </w:p>
    <w:p w14:paraId="128B161E" w14:textId="41B6F6DF" w:rsidR="004069F3" w:rsidRPr="003E3E26" w:rsidRDefault="004069F3" w:rsidP="004069F3">
      <w:pPr>
        <w:pStyle w:val="ListParagraph"/>
        <w:numPr>
          <w:ilvl w:val="1"/>
          <w:numId w:val="32"/>
        </w:numPr>
        <w:jc w:val="both"/>
        <w:rPr>
          <w:rFonts w:ascii="Book Antiqua" w:hAnsi="Book Antiqua"/>
          <w:color w:val="000000"/>
          <w:lang w:val="es-ES"/>
        </w:rPr>
      </w:pPr>
      <w:r w:rsidRPr="003E3E26">
        <w:rPr>
          <w:rFonts w:ascii="Book Antiqua" w:hAnsi="Book Antiqua"/>
          <w:lang w:val="es-ES"/>
        </w:rPr>
        <w:t xml:space="preserve">En lugar de crear Salas Especializadas, propone incorporar la Ley 129-2020 como opción en el </w:t>
      </w:r>
      <w:r w:rsidRPr="003E3E26">
        <w:rPr>
          <w:rStyle w:val="Strong"/>
          <w:rFonts w:ascii="Book Antiqua" w:hAnsi="Book Antiqua"/>
          <w:b w:val="0"/>
          <w:bCs w:val="0"/>
          <w:lang w:val="es-ES"/>
        </w:rPr>
        <w:t>Tribunal Electrónico</w:t>
      </w:r>
      <w:r w:rsidRPr="003E3E26">
        <w:rPr>
          <w:rFonts w:ascii="Book Antiqua" w:hAnsi="Book Antiqua"/>
          <w:lang w:val="es-ES"/>
        </w:rPr>
        <w:t xml:space="preserve"> del Poder Judicial, siguiendo el modelo de la Ley 140. Esto permitiría radicar querellas simples en línea de forma ágil, sin abogado y sin costo excesivo. Presenta una lista de 11 tipos de querellas simples que podrían atenderse por esa vía.</w:t>
      </w:r>
    </w:p>
    <w:p w14:paraId="5E9AD6F9" w14:textId="77777777" w:rsidR="004F136D" w:rsidRPr="003E3E26" w:rsidRDefault="004F136D" w:rsidP="004F136D">
      <w:pPr>
        <w:pStyle w:val="ListParagraph"/>
        <w:numPr>
          <w:ilvl w:val="0"/>
          <w:numId w:val="32"/>
        </w:numPr>
        <w:jc w:val="both"/>
        <w:rPr>
          <w:rFonts w:ascii="Book Antiqua" w:hAnsi="Book Antiqua"/>
          <w:color w:val="000000"/>
          <w:lang w:val="es-ES"/>
        </w:rPr>
      </w:pPr>
      <w:r w:rsidRPr="003E3E26">
        <w:rPr>
          <w:rFonts w:ascii="Book Antiqua" w:hAnsi="Book Antiqua"/>
          <w:b/>
          <w:bCs/>
          <w:lang w:val="es-ES"/>
        </w:rPr>
        <w:lastRenderedPageBreak/>
        <w:t>Tres</w:t>
      </w:r>
      <w:r w:rsidRPr="003E3E26">
        <w:rPr>
          <w:rFonts w:ascii="Book Antiqua" w:hAnsi="Book Antiqua"/>
          <w:lang w:val="es-ES"/>
        </w:rPr>
        <w:t xml:space="preserve"> </w:t>
      </w:r>
      <w:r w:rsidRPr="003E3E26">
        <w:rPr>
          <w:rFonts w:ascii="Book Antiqua" w:hAnsi="Book Antiqua"/>
          <w:b/>
          <w:bCs/>
          <w:lang w:val="es-ES"/>
        </w:rPr>
        <w:t>medidas administrativas inmediatas</w:t>
      </w:r>
      <w:r w:rsidRPr="003E3E26">
        <w:rPr>
          <w:rFonts w:ascii="Book Antiqua" w:hAnsi="Book Antiqua"/>
          <w:lang w:val="es-ES"/>
        </w:rPr>
        <w:t xml:space="preserve"> </w:t>
      </w:r>
      <w:r w:rsidRPr="003E3E26">
        <w:rPr>
          <w:rFonts w:ascii="Book Antiqua" w:hAnsi="Book Antiqua"/>
          <w:b/>
          <w:bCs/>
          <w:lang w:val="es-ES"/>
        </w:rPr>
        <w:t>que propone para el DACO</w:t>
      </w:r>
      <w:r w:rsidRPr="003E3E26">
        <w:rPr>
          <w:rFonts w:ascii="Book Antiqua" w:hAnsi="Book Antiqua"/>
          <w:lang w:val="es-ES"/>
        </w:rPr>
        <w:t xml:space="preserve"> (sin necesidad de ley nueva)</w:t>
      </w:r>
    </w:p>
    <w:p w14:paraId="52B7918A" w14:textId="77777777" w:rsidR="004F136D" w:rsidRPr="004F136D" w:rsidRDefault="004F136D" w:rsidP="004F136D">
      <w:pPr>
        <w:pStyle w:val="ListParagraph"/>
        <w:numPr>
          <w:ilvl w:val="1"/>
          <w:numId w:val="32"/>
        </w:numPr>
        <w:jc w:val="both"/>
        <w:rPr>
          <w:rFonts w:ascii="Book Antiqua" w:hAnsi="Book Antiqua"/>
          <w:color w:val="000000"/>
        </w:rPr>
      </w:pPr>
      <w:r w:rsidRPr="003E3E26">
        <w:rPr>
          <w:rFonts w:ascii="Book Antiqua" w:hAnsi="Book Antiqua"/>
          <w:lang w:val="es-ES"/>
        </w:rPr>
        <w:t xml:space="preserve">Crear un </w:t>
      </w:r>
      <w:r w:rsidRPr="003E3E26">
        <w:rPr>
          <w:rStyle w:val="Strong"/>
          <w:rFonts w:ascii="Book Antiqua" w:hAnsi="Book Antiqua"/>
          <w:b w:val="0"/>
          <w:bCs w:val="0"/>
          <w:lang w:val="es-ES"/>
        </w:rPr>
        <w:t>Registro Digital de Condominios</w:t>
      </w:r>
      <w:r w:rsidRPr="003E3E26">
        <w:rPr>
          <w:rFonts w:ascii="Book Antiqua" w:hAnsi="Book Antiqua"/>
          <w:lang w:val="es-ES"/>
        </w:rPr>
        <w:t xml:space="preserve"> con licencia inicial y renovación anual, similar al sistema de corporaciones del Departamento de Estado. </w:t>
      </w:r>
      <w:r w:rsidRPr="004F136D">
        <w:rPr>
          <w:rFonts w:ascii="Book Antiqua" w:hAnsi="Book Antiqua"/>
        </w:rPr>
        <w:t xml:space="preserve">Esto </w:t>
      </w:r>
      <w:proofErr w:type="spellStart"/>
      <w:r w:rsidRPr="004F136D">
        <w:rPr>
          <w:rFonts w:ascii="Book Antiqua" w:hAnsi="Book Antiqua"/>
        </w:rPr>
        <w:t>generaría</w:t>
      </w:r>
      <w:proofErr w:type="spellEnd"/>
      <w:r w:rsidRPr="004F136D">
        <w:rPr>
          <w:rFonts w:ascii="Book Antiqua" w:hAnsi="Book Antiqua"/>
        </w:rPr>
        <w:t xml:space="preserve"> </w:t>
      </w:r>
      <w:proofErr w:type="spellStart"/>
      <w:r w:rsidRPr="004F136D">
        <w:rPr>
          <w:rFonts w:ascii="Book Antiqua" w:hAnsi="Book Antiqua"/>
        </w:rPr>
        <w:t>fondos</w:t>
      </w:r>
      <w:proofErr w:type="spellEnd"/>
      <w:r w:rsidRPr="004F136D">
        <w:rPr>
          <w:rFonts w:ascii="Book Antiqua" w:hAnsi="Book Antiqua"/>
        </w:rPr>
        <w:t xml:space="preserve"> </w:t>
      </w:r>
      <w:proofErr w:type="spellStart"/>
      <w:r w:rsidRPr="004F136D">
        <w:rPr>
          <w:rFonts w:ascii="Book Antiqua" w:hAnsi="Book Antiqua"/>
        </w:rPr>
        <w:t>recurrentes</w:t>
      </w:r>
      <w:proofErr w:type="spellEnd"/>
      <w:r w:rsidRPr="004F136D">
        <w:rPr>
          <w:rFonts w:ascii="Book Antiqua" w:hAnsi="Book Antiqua"/>
        </w:rPr>
        <w:t xml:space="preserve"> para financiar la propia reforma. </w:t>
      </w:r>
    </w:p>
    <w:p w14:paraId="17344A2D" w14:textId="4CC8E9A1" w:rsidR="004F136D" w:rsidRPr="003E3E26" w:rsidRDefault="004F136D" w:rsidP="004F136D">
      <w:pPr>
        <w:pStyle w:val="ListParagraph"/>
        <w:numPr>
          <w:ilvl w:val="1"/>
          <w:numId w:val="32"/>
        </w:numPr>
        <w:jc w:val="both"/>
        <w:rPr>
          <w:rFonts w:ascii="Book Antiqua" w:hAnsi="Book Antiqua"/>
          <w:color w:val="000000"/>
          <w:lang w:val="es-ES"/>
        </w:rPr>
      </w:pPr>
      <w:r w:rsidRPr="003E3E26">
        <w:rPr>
          <w:rFonts w:ascii="Book Antiqua" w:hAnsi="Book Antiqua"/>
          <w:lang w:val="es-ES"/>
        </w:rPr>
        <w:t xml:space="preserve">Separar y atender las </w:t>
      </w:r>
      <w:r w:rsidRPr="003E3E26">
        <w:rPr>
          <w:rStyle w:val="Strong"/>
          <w:rFonts w:ascii="Book Antiqua" w:hAnsi="Book Antiqua"/>
          <w:b w:val="0"/>
          <w:bCs w:val="0"/>
          <w:lang w:val="es-ES"/>
        </w:rPr>
        <w:t>querellas simples</w:t>
      </w:r>
      <w:r w:rsidRPr="003E3E26">
        <w:rPr>
          <w:rFonts w:ascii="Book Antiqua" w:hAnsi="Book Antiqua"/>
          <w:lang w:val="es-ES"/>
        </w:rPr>
        <w:t xml:space="preserve"> mediante el proceso expedito del Reglamento 9386, con resoluciones sumarias dentro de los términos reglamentados, </w:t>
      </w:r>
      <w:proofErr w:type="gramStart"/>
      <w:r w:rsidRPr="003E3E26">
        <w:rPr>
          <w:rFonts w:ascii="Book Antiqua" w:hAnsi="Book Antiqua"/>
          <w:lang w:val="es-ES"/>
        </w:rPr>
        <w:t>cero tolerancia</w:t>
      </w:r>
      <w:proofErr w:type="gramEnd"/>
      <w:r w:rsidRPr="003E3E26">
        <w:rPr>
          <w:rFonts w:ascii="Book Antiqua" w:hAnsi="Book Antiqua"/>
          <w:lang w:val="es-ES"/>
        </w:rPr>
        <w:t xml:space="preserve"> a reincidentes y consecuencias reales por incumplimiento. </w:t>
      </w:r>
    </w:p>
    <w:p w14:paraId="4E04E388" w14:textId="4B9F52EE" w:rsidR="004F136D" w:rsidRPr="003E3E26" w:rsidRDefault="004F136D" w:rsidP="004F136D">
      <w:pPr>
        <w:pStyle w:val="ListParagraph"/>
        <w:numPr>
          <w:ilvl w:val="1"/>
          <w:numId w:val="32"/>
        </w:numPr>
        <w:jc w:val="both"/>
        <w:rPr>
          <w:rFonts w:ascii="Book Antiqua" w:hAnsi="Book Antiqua"/>
          <w:color w:val="000000"/>
          <w:lang w:val="es-ES"/>
        </w:rPr>
      </w:pPr>
      <w:r w:rsidRPr="003E3E26">
        <w:rPr>
          <w:rFonts w:ascii="Book Antiqua" w:hAnsi="Book Antiqua"/>
          <w:lang w:val="es-ES"/>
        </w:rPr>
        <w:t xml:space="preserve">Emitir </w:t>
      </w:r>
      <w:r w:rsidRPr="003E3E26">
        <w:rPr>
          <w:rStyle w:val="Strong"/>
          <w:rFonts w:ascii="Book Antiqua" w:hAnsi="Book Antiqua"/>
          <w:b w:val="0"/>
          <w:bCs w:val="0"/>
          <w:lang w:val="es-ES"/>
        </w:rPr>
        <w:t>Órdenes Administrativas</w:t>
      </w:r>
      <w:r w:rsidRPr="003E3E26">
        <w:rPr>
          <w:rFonts w:ascii="Book Antiqua" w:hAnsi="Book Antiqua"/>
          <w:b/>
          <w:bCs/>
          <w:lang w:val="es-ES"/>
        </w:rPr>
        <w:t xml:space="preserve"> (</w:t>
      </w:r>
      <w:r w:rsidRPr="003E3E26">
        <w:rPr>
          <w:rFonts w:ascii="Book Antiqua" w:hAnsi="Book Antiqua"/>
          <w:lang w:val="es-ES"/>
        </w:rPr>
        <w:t>opiniones legales) sobre las querellas complejas más comunes, publicarlas en las plataformas del DACO para orientar a titulares, juntas, administradores y abogados, y así reducir interpretaciones erróneas y contradicciones.</w:t>
      </w:r>
    </w:p>
    <w:p w14:paraId="46F4399F" w14:textId="77777777" w:rsidR="001A615D" w:rsidRPr="003E3E26" w:rsidRDefault="001A615D" w:rsidP="001A615D">
      <w:pPr>
        <w:spacing w:line="278" w:lineRule="auto"/>
        <w:jc w:val="both"/>
        <w:rPr>
          <w:rFonts w:ascii="Book Antiqua" w:hAnsi="Book Antiqua"/>
          <w:b/>
          <w:bCs/>
          <w:lang w:val="es-ES"/>
        </w:rPr>
      </w:pPr>
    </w:p>
    <w:p w14:paraId="3B85544E" w14:textId="0ACBC93F" w:rsidR="001A615D" w:rsidRDefault="001A615D" w:rsidP="001A615D">
      <w:pPr>
        <w:spacing w:line="278" w:lineRule="auto"/>
        <w:jc w:val="center"/>
        <w:rPr>
          <w:rFonts w:ascii="Book Antiqua" w:hAnsi="Book Antiqua"/>
          <w:b/>
          <w:bCs/>
          <w:lang w:val="es-PR"/>
        </w:rPr>
      </w:pPr>
      <w:r w:rsidRPr="003E3E26">
        <w:rPr>
          <w:rFonts w:ascii="Book Antiqua" w:hAnsi="Book Antiqua"/>
          <w:b/>
          <w:bCs/>
          <w:lang w:val="es-ES"/>
        </w:rPr>
        <w:t xml:space="preserve">DETERMINACIÓN DE IMPACTO </w:t>
      </w:r>
      <w:r w:rsidRPr="001A615D">
        <w:rPr>
          <w:rFonts w:ascii="Book Antiqua" w:hAnsi="Book Antiqua"/>
          <w:b/>
          <w:bCs/>
          <w:lang w:val="es-PR"/>
        </w:rPr>
        <w:t>FISCAL</w:t>
      </w:r>
    </w:p>
    <w:p w14:paraId="6864F81B" w14:textId="77777777" w:rsidR="005F5044" w:rsidRPr="001A615D" w:rsidRDefault="005F5044" w:rsidP="001A615D">
      <w:pPr>
        <w:spacing w:line="278" w:lineRule="auto"/>
        <w:jc w:val="center"/>
        <w:rPr>
          <w:rFonts w:ascii="Book Antiqua" w:hAnsi="Book Antiqua"/>
          <w:b/>
          <w:bCs/>
          <w:lang w:val="es-PR"/>
        </w:rPr>
      </w:pPr>
    </w:p>
    <w:p w14:paraId="05001A18" w14:textId="00630C92" w:rsidR="001A615D" w:rsidRPr="003E3E26" w:rsidRDefault="001A615D" w:rsidP="005F5044">
      <w:pPr>
        <w:spacing w:line="278" w:lineRule="auto"/>
        <w:ind w:firstLine="708"/>
        <w:jc w:val="both"/>
        <w:rPr>
          <w:rFonts w:ascii="Book Antiqua" w:hAnsi="Book Antiqua"/>
          <w:lang w:val="es-ES"/>
        </w:rPr>
      </w:pPr>
      <w:r w:rsidRPr="003E3E26">
        <w:rPr>
          <w:rFonts w:ascii="Book Antiqua" w:hAnsi="Book Antiqua"/>
          <w:lang w:val="es-ES"/>
        </w:rPr>
        <w:t>Conforme al análisis de la medida, la Comisión de Asuntos del Consumidor concluye que el Proyecto de la Cámara 10</w:t>
      </w:r>
      <w:r w:rsidR="003E3E26" w:rsidRPr="003E3E26">
        <w:rPr>
          <w:rFonts w:ascii="Book Antiqua" w:hAnsi="Book Antiqua"/>
          <w:lang w:val="es-ES"/>
        </w:rPr>
        <w:t>8</w:t>
      </w:r>
      <w:r w:rsidR="003E3E26">
        <w:rPr>
          <w:rFonts w:ascii="Book Antiqua" w:hAnsi="Book Antiqua"/>
          <w:lang w:val="es-ES"/>
        </w:rPr>
        <w:t>6</w:t>
      </w:r>
      <w:r w:rsidRPr="003E3E26">
        <w:rPr>
          <w:rFonts w:ascii="Book Antiqua" w:hAnsi="Book Antiqua"/>
          <w:lang w:val="es-ES"/>
        </w:rPr>
        <w:t xml:space="preserve"> no conlleva un impacto fiscal significativo sobre agencias de gobierno, más allá de la función </w:t>
      </w:r>
      <w:r w:rsidR="000E48B7">
        <w:rPr>
          <w:rFonts w:ascii="Book Antiqua" w:hAnsi="Book Antiqua"/>
          <w:lang w:val="es-PR"/>
        </w:rPr>
        <w:t>del Tribunal de Primera Instancia</w:t>
      </w:r>
      <w:r w:rsidR="00717F99">
        <w:rPr>
          <w:rFonts w:ascii="Book Antiqua" w:hAnsi="Book Antiqua"/>
          <w:lang w:val="es-PR"/>
        </w:rPr>
        <w:t xml:space="preserve"> y la asignación de jueces, así como</w:t>
      </w:r>
      <w:r w:rsidRPr="003E3E26">
        <w:rPr>
          <w:rFonts w:ascii="Book Antiqua" w:hAnsi="Book Antiqua"/>
          <w:lang w:val="es-ES"/>
        </w:rPr>
        <w:t xml:space="preserve"> la implementación de la reglamentación </w:t>
      </w:r>
      <w:r w:rsidR="00717F99" w:rsidRPr="00717F99">
        <w:rPr>
          <w:rFonts w:ascii="Book Antiqua" w:hAnsi="Book Antiqua"/>
          <w:lang w:val="es-PR"/>
        </w:rPr>
        <w:t>in</w:t>
      </w:r>
      <w:r w:rsidR="00717F99">
        <w:rPr>
          <w:rFonts w:ascii="Book Antiqua" w:hAnsi="Book Antiqua"/>
          <w:lang w:val="es-PR"/>
        </w:rPr>
        <w:t>terna del Poder Judicial</w:t>
      </w:r>
      <w:r w:rsidRPr="003E3E26">
        <w:rPr>
          <w:rFonts w:ascii="Book Antiqua" w:hAnsi="Book Antiqua"/>
          <w:lang w:val="es-ES"/>
        </w:rPr>
        <w:t xml:space="preserve">. La Comisión entiende que el </w:t>
      </w:r>
      <w:r w:rsidR="00717F99" w:rsidRPr="00717F99">
        <w:rPr>
          <w:rFonts w:ascii="Book Antiqua" w:hAnsi="Book Antiqua"/>
          <w:lang w:val="es-PR"/>
        </w:rPr>
        <w:t>beneficio que recibirán los ciudadan</w:t>
      </w:r>
      <w:r w:rsidR="00717F99">
        <w:rPr>
          <w:rFonts w:ascii="Book Antiqua" w:hAnsi="Book Antiqua"/>
          <w:lang w:val="es-PR"/>
        </w:rPr>
        <w:t>os es superior a cualquier otra consideración</w:t>
      </w:r>
      <w:r w:rsidR="008E3E81">
        <w:rPr>
          <w:rFonts w:ascii="Book Antiqua" w:hAnsi="Book Antiqua"/>
          <w:lang w:val="es-PR"/>
        </w:rPr>
        <w:t>, por la ágil tramitación de controversias</w:t>
      </w:r>
      <w:r w:rsidRPr="003E3E26">
        <w:rPr>
          <w:rFonts w:ascii="Book Antiqua" w:hAnsi="Book Antiqua"/>
          <w:lang w:val="es-ES"/>
        </w:rPr>
        <w:t>.</w:t>
      </w:r>
    </w:p>
    <w:p w14:paraId="78825422" w14:textId="77777777" w:rsidR="007C46E6" w:rsidRPr="00FA5586" w:rsidRDefault="007C46E6" w:rsidP="00D928A7">
      <w:pPr>
        <w:pStyle w:val="NoSpacing"/>
        <w:rPr>
          <w:lang w:val="es-PR"/>
        </w:rPr>
      </w:pPr>
    </w:p>
    <w:p w14:paraId="14EAA962" w14:textId="5F2C9D9C" w:rsidR="00421D9C" w:rsidRPr="004F136D" w:rsidRDefault="00421D9C" w:rsidP="00ED2DE1">
      <w:pPr>
        <w:pStyle w:val="Heading3"/>
        <w:spacing w:after="120"/>
        <w:ind w:firstLine="0"/>
        <w:rPr>
          <w:rFonts w:ascii="Book Antiqua" w:hAnsi="Book Antiqua"/>
        </w:rPr>
      </w:pPr>
      <w:r w:rsidRPr="004F136D">
        <w:rPr>
          <w:rFonts w:ascii="Book Antiqua" w:hAnsi="Book Antiqua"/>
        </w:rPr>
        <w:t>CONCLUSI</w:t>
      </w:r>
      <w:r w:rsidR="00ED2DE1" w:rsidRPr="004F136D">
        <w:rPr>
          <w:rFonts w:ascii="Book Antiqua" w:hAnsi="Book Antiqua"/>
        </w:rPr>
        <w:t>ONES Y RECOMENDACIONES</w:t>
      </w:r>
    </w:p>
    <w:bookmarkEnd w:id="0"/>
    <w:p w14:paraId="37B16093" w14:textId="77777777" w:rsidR="00B25AEF" w:rsidRPr="00FA5586" w:rsidRDefault="00B25AEF" w:rsidP="00D928A7">
      <w:pPr>
        <w:pStyle w:val="NoSpacing"/>
        <w:rPr>
          <w:lang w:val="es-PR"/>
        </w:rPr>
      </w:pPr>
    </w:p>
    <w:p w14:paraId="46574CB0" w14:textId="4EACF76B" w:rsidR="00CB674E" w:rsidRPr="003E3E26" w:rsidRDefault="0018752B" w:rsidP="000A026F">
      <w:pPr>
        <w:ind w:firstLine="708"/>
        <w:jc w:val="both"/>
        <w:rPr>
          <w:rFonts w:ascii="Book Antiqua" w:hAnsi="Book Antiqua"/>
          <w:lang w:val="es-ES"/>
        </w:rPr>
      </w:pPr>
      <w:r w:rsidRPr="003E3E26">
        <w:rPr>
          <w:rFonts w:ascii="Book Antiqua" w:hAnsi="Book Antiqua"/>
          <w:lang w:val="es-ES"/>
        </w:rPr>
        <w:t>Como parte del trámite legislative que se llevó a cabo en el Senado de Puerto Rico, se introdujeron enmiendas</w:t>
      </w:r>
      <w:r w:rsidR="00CD7BA6" w:rsidRPr="003E3E26">
        <w:rPr>
          <w:rFonts w:ascii="Book Antiqua" w:hAnsi="Book Antiqua"/>
          <w:lang w:val="es-ES"/>
        </w:rPr>
        <w:t xml:space="preserve"> al texto original de la medida, las cuales</w:t>
      </w:r>
      <w:r w:rsidR="000332B4" w:rsidRPr="003E3E26">
        <w:rPr>
          <w:rFonts w:ascii="Book Antiqua" w:hAnsi="Book Antiqua"/>
          <w:lang w:val="es-ES"/>
        </w:rPr>
        <w:t xml:space="preserve"> propiciaron su aprobación para fortalecer el acceso a la justicia, promover la uniformidad </w:t>
      </w:r>
      <w:r w:rsidR="00205C7D" w:rsidRPr="003E3E26">
        <w:rPr>
          <w:rFonts w:ascii="Book Antiqua" w:hAnsi="Book Antiqua"/>
          <w:lang w:val="es-ES"/>
        </w:rPr>
        <w:t xml:space="preserve">adjudicative, reconocer la evolución de las controversias en el </w:t>
      </w:r>
      <w:proofErr w:type="spellStart"/>
      <w:r w:rsidR="00205C7D" w:rsidRPr="003E3E26">
        <w:rPr>
          <w:rFonts w:ascii="Book Antiqua" w:hAnsi="Book Antiqua"/>
          <w:lang w:val="es-ES"/>
        </w:rPr>
        <w:t>regimen</w:t>
      </w:r>
      <w:proofErr w:type="spellEnd"/>
      <w:r w:rsidR="00205C7D" w:rsidRPr="003E3E26">
        <w:rPr>
          <w:rFonts w:ascii="Book Antiqua" w:hAnsi="Book Antiqua"/>
          <w:lang w:val="es-ES"/>
        </w:rPr>
        <w:t xml:space="preserve"> de propiedad </w:t>
      </w:r>
      <w:r w:rsidR="005B65FE" w:rsidRPr="003E3E26">
        <w:rPr>
          <w:rFonts w:ascii="Book Antiqua" w:hAnsi="Book Antiqua"/>
          <w:lang w:val="es-ES"/>
        </w:rPr>
        <w:t>horizontal y establecer las bases para un Sistema más efectivo</w:t>
      </w:r>
      <w:r w:rsidR="00E4212F" w:rsidRPr="003E3E26">
        <w:rPr>
          <w:rFonts w:ascii="Book Antiqua" w:hAnsi="Book Antiqua"/>
          <w:lang w:val="es-ES"/>
        </w:rPr>
        <w:t>, coherente y orientado a la protección de los titulares.</w:t>
      </w:r>
    </w:p>
    <w:p w14:paraId="7FF379EE" w14:textId="77777777" w:rsidR="00E4212F" w:rsidRPr="003E3E26" w:rsidRDefault="00E4212F" w:rsidP="000A026F">
      <w:pPr>
        <w:ind w:firstLine="708"/>
        <w:jc w:val="both"/>
        <w:rPr>
          <w:rFonts w:ascii="Book Antiqua" w:hAnsi="Book Antiqua"/>
          <w:lang w:val="es-ES"/>
        </w:rPr>
      </w:pPr>
    </w:p>
    <w:p w14:paraId="7704B258" w14:textId="7F50DA4C" w:rsidR="00E7020B" w:rsidRPr="003E3E26" w:rsidRDefault="00E7020B" w:rsidP="000A026F">
      <w:pPr>
        <w:ind w:firstLine="708"/>
        <w:jc w:val="both"/>
        <w:rPr>
          <w:rFonts w:ascii="Book Antiqua" w:hAnsi="Book Antiqua"/>
          <w:lang w:val="es-ES"/>
        </w:rPr>
      </w:pPr>
      <w:r w:rsidRPr="003E3E26">
        <w:rPr>
          <w:rFonts w:ascii="Book Antiqua" w:hAnsi="Book Antiqua"/>
          <w:lang w:val="es-ES"/>
        </w:rPr>
        <w:t xml:space="preserve">Esta Comisión aclara que las enmiendas propuestas en </w:t>
      </w:r>
      <w:r w:rsidR="00055F2A" w:rsidRPr="003E3E26">
        <w:rPr>
          <w:rFonts w:ascii="Book Antiqua" w:hAnsi="Book Antiqua"/>
          <w:lang w:val="es-ES"/>
        </w:rPr>
        <w:t xml:space="preserve">el </w:t>
      </w:r>
      <w:proofErr w:type="spellStart"/>
      <w:r w:rsidR="00055F2A" w:rsidRPr="003E3E26">
        <w:rPr>
          <w:rFonts w:ascii="Book Antiqua" w:hAnsi="Book Antiqua"/>
          <w:lang w:val="es-ES"/>
        </w:rPr>
        <w:t>entirillado</w:t>
      </w:r>
      <w:proofErr w:type="spellEnd"/>
      <w:r w:rsidR="00055F2A" w:rsidRPr="003E3E26">
        <w:rPr>
          <w:rFonts w:ascii="Book Antiqua" w:hAnsi="Book Antiqua"/>
          <w:lang w:val="es-ES"/>
        </w:rPr>
        <w:t xml:space="preserve"> trabajado</w:t>
      </w:r>
      <w:r w:rsidRPr="003E3E26">
        <w:rPr>
          <w:rFonts w:ascii="Book Antiqua" w:hAnsi="Book Antiqua"/>
          <w:lang w:val="es-ES"/>
        </w:rPr>
        <w:t xml:space="preserve"> son de naturaleza estrictamente gramatical y de corrección de redacción, las cuales en modo alguno afectan el espíritu, los propósitos ni la intención legislativa que inspiraron la medida aprobada por el Senado de Puerto Rico.</w:t>
      </w:r>
    </w:p>
    <w:p w14:paraId="5F551C3D" w14:textId="77777777" w:rsidR="00055F2A" w:rsidRPr="003E3E26" w:rsidRDefault="00055F2A" w:rsidP="000A026F">
      <w:pPr>
        <w:ind w:firstLine="708"/>
        <w:jc w:val="both"/>
        <w:rPr>
          <w:rFonts w:ascii="Book Antiqua" w:hAnsi="Book Antiqua"/>
          <w:lang w:val="es-ES"/>
        </w:rPr>
      </w:pPr>
    </w:p>
    <w:p w14:paraId="36D71B81" w14:textId="2B469DBB" w:rsidR="000A026F" w:rsidRPr="003E3E26" w:rsidRDefault="0054689A" w:rsidP="000A026F">
      <w:pPr>
        <w:ind w:firstLine="708"/>
        <w:jc w:val="both"/>
        <w:rPr>
          <w:rFonts w:ascii="Book Antiqua" w:hAnsi="Book Antiqua"/>
          <w:b/>
          <w:bCs/>
          <w:lang w:val="es-ES"/>
        </w:rPr>
      </w:pPr>
      <w:r w:rsidRPr="003E3E26">
        <w:rPr>
          <w:rFonts w:ascii="Book Antiqua" w:hAnsi="Book Antiqua"/>
          <w:lang w:val="es-ES"/>
        </w:rPr>
        <w:t xml:space="preserve">Por todo lo antes expuesto, la Comisión de Asuntos del Consumidor de la Cámara de Representantes de Puerto Rico, previo estudio y consideración de </w:t>
      </w:r>
      <w:proofErr w:type="gramStart"/>
      <w:r w:rsidRPr="003E3E26">
        <w:rPr>
          <w:rFonts w:ascii="Book Antiqua" w:hAnsi="Book Antiqua"/>
          <w:lang w:val="es-ES"/>
        </w:rPr>
        <w:t>la misma</w:t>
      </w:r>
      <w:proofErr w:type="gramEnd"/>
      <w:r w:rsidRPr="003E3E26">
        <w:rPr>
          <w:rFonts w:ascii="Book Antiqua" w:hAnsi="Book Antiqua"/>
          <w:lang w:val="es-ES"/>
        </w:rPr>
        <w:t>, tiene a bien someter su Informe</w:t>
      </w:r>
      <w:r w:rsidR="00E83E7B" w:rsidRPr="003E3E26">
        <w:rPr>
          <w:rFonts w:ascii="Book Antiqua" w:hAnsi="Book Antiqua"/>
          <w:lang w:val="es-ES"/>
        </w:rPr>
        <w:t xml:space="preserve"> Positivo</w:t>
      </w:r>
      <w:r w:rsidRPr="003E3E26">
        <w:rPr>
          <w:rFonts w:ascii="Book Antiqua" w:hAnsi="Book Antiqua"/>
          <w:lang w:val="es-ES"/>
        </w:rPr>
        <w:t xml:space="preserve"> </w:t>
      </w:r>
      <w:r w:rsidR="00AE4BCC" w:rsidRPr="003E3E26">
        <w:rPr>
          <w:rFonts w:ascii="Book Antiqua" w:hAnsi="Book Antiqua"/>
          <w:lang w:val="es-ES"/>
        </w:rPr>
        <w:t>c</w:t>
      </w:r>
      <w:r w:rsidRPr="003E3E26">
        <w:rPr>
          <w:rFonts w:ascii="Book Antiqua" w:hAnsi="Book Antiqua"/>
          <w:lang w:val="es-ES"/>
        </w:rPr>
        <w:t xml:space="preserve">on relación al </w:t>
      </w:r>
      <w:r w:rsidRPr="003E3E26">
        <w:rPr>
          <w:rFonts w:ascii="Book Antiqua" w:hAnsi="Book Antiqua"/>
          <w:b/>
          <w:bCs/>
          <w:lang w:val="es-ES"/>
        </w:rPr>
        <w:t>Proyecto del Senado 1086</w:t>
      </w:r>
      <w:r w:rsidRPr="003E3E26">
        <w:rPr>
          <w:rFonts w:ascii="Book Antiqua" w:hAnsi="Book Antiqua"/>
          <w:lang w:val="es-ES"/>
        </w:rPr>
        <w:t xml:space="preserve">, </w:t>
      </w:r>
      <w:r w:rsidRPr="003E3E26">
        <w:rPr>
          <w:rFonts w:ascii="Book Antiqua" w:hAnsi="Book Antiqua"/>
          <w:b/>
          <w:bCs/>
          <w:lang w:val="es-ES"/>
        </w:rPr>
        <w:lastRenderedPageBreak/>
        <w:t xml:space="preserve">recomendando su aprobación con las enmiendas introducidas en el </w:t>
      </w:r>
      <w:proofErr w:type="spellStart"/>
      <w:r w:rsidRPr="003E3E26">
        <w:rPr>
          <w:rFonts w:ascii="Book Antiqua" w:hAnsi="Book Antiqua"/>
          <w:b/>
          <w:bCs/>
          <w:lang w:val="es-ES"/>
        </w:rPr>
        <w:t>Entirillado</w:t>
      </w:r>
      <w:proofErr w:type="spellEnd"/>
      <w:r w:rsidRPr="003E3E26">
        <w:rPr>
          <w:rFonts w:ascii="Book Antiqua" w:hAnsi="Book Antiqua"/>
          <w:b/>
          <w:bCs/>
          <w:lang w:val="es-ES"/>
        </w:rPr>
        <w:t xml:space="preserve"> Electrónico que se acompaña en este Informe.</w:t>
      </w:r>
      <w:r w:rsidR="009C58C8" w:rsidRPr="003E3E26">
        <w:rPr>
          <w:rFonts w:ascii="Book Antiqua" w:hAnsi="Book Antiqua"/>
          <w:b/>
          <w:bCs/>
          <w:lang w:val="es-ES"/>
        </w:rPr>
        <w:t xml:space="preserve"> </w:t>
      </w:r>
    </w:p>
    <w:p w14:paraId="2FC9B08C" w14:textId="77777777" w:rsidR="00A2560C" w:rsidRPr="003E3E26" w:rsidRDefault="00A2560C" w:rsidP="000A026F">
      <w:pPr>
        <w:ind w:firstLine="708"/>
        <w:jc w:val="both"/>
        <w:rPr>
          <w:rFonts w:ascii="Book Antiqua" w:hAnsi="Book Antiqua"/>
          <w:bCs/>
          <w:highlight w:val="yellow"/>
          <w:lang w:val="es-ES"/>
        </w:rPr>
      </w:pPr>
    </w:p>
    <w:p w14:paraId="05A29881" w14:textId="77777777" w:rsidR="009A25C7" w:rsidRPr="00A2560C" w:rsidRDefault="009A25C7" w:rsidP="009A25C7">
      <w:pPr>
        <w:tabs>
          <w:tab w:val="left" w:pos="567"/>
        </w:tabs>
        <w:contextualSpacing/>
        <w:jc w:val="both"/>
        <w:rPr>
          <w:rFonts w:ascii="Book Antiqua" w:hAnsi="Book Antiqua"/>
          <w:lang w:val="es-ES_tradnl"/>
        </w:rPr>
      </w:pPr>
      <w:r w:rsidRPr="00A2560C">
        <w:rPr>
          <w:rFonts w:ascii="Book Antiqua" w:hAnsi="Book Antiqua"/>
          <w:lang w:val="es-ES_tradnl"/>
        </w:rPr>
        <w:t>Respetuosamente sometido,</w:t>
      </w:r>
    </w:p>
    <w:p w14:paraId="5483B3CA" w14:textId="77777777" w:rsidR="00652CDE" w:rsidRDefault="00652CDE" w:rsidP="009A25C7">
      <w:pPr>
        <w:tabs>
          <w:tab w:val="left" w:pos="567"/>
        </w:tabs>
        <w:contextualSpacing/>
        <w:jc w:val="both"/>
        <w:rPr>
          <w:rFonts w:ascii="Book Antiqua" w:hAnsi="Book Antiqua"/>
          <w:lang w:val="es-ES_tradnl"/>
        </w:rPr>
      </w:pPr>
    </w:p>
    <w:p w14:paraId="2DC6BD7E" w14:textId="77777777" w:rsidR="00D928A7" w:rsidRPr="004F136D" w:rsidRDefault="00D928A7" w:rsidP="009A25C7">
      <w:pPr>
        <w:tabs>
          <w:tab w:val="left" w:pos="567"/>
        </w:tabs>
        <w:contextualSpacing/>
        <w:jc w:val="both"/>
        <w:rPr>
          <w:rFonts w:ascii="Book Antiqua" w:hAnsi="Book Antiqua"/>
          <w:lang w:val="es-ES_tradnl"/>
        </w:rPr>
      </w:pPr>
    </w:p>
    <w:p w14:paraId="2C45287B" w14:textId="77777777" w:rsidR="009A25C7" w:rsidRPr="004069F3" w:rsidRDefault="009A25C7" w:rsidP="009A25C7">
      <w:pPr>
        <w:tabs>
          <w:tab w:val="left" w:pos="567"/>
        </w:tabs>
        <w:contextualSpacing/>
        <w:jc w:val="both"/>
        <w:rPr>
          <w:rFonts w:ascii="Book Antiqua" w:hAnsi="Book Antiqua"/>
          <w:lang w:val="es-ES_tradnl"/>
        </w:rPr>
      </w:pPr>
    </w:p>
    <w:p w14:paraId="742ED205" w14:textId="2AA268F2" w:rsidR="009A25C7" w:rsidRPr="004069F3" w:rsidRDefault="009A25C7" w:rsidP="009A25C7">
      <w:pPr>
        <w:tabs>
          <w:tab w:val="left" w:pos="567"/>
        </w:tabs>
        <w:contextualSpacing/>
        <w:jc w:val="both"/>
        <w:rPr>
          <w:rFonts w:ascii="Book Antiqua" w:hAnsi="Book Antiqua"/>
          <w:b/>
          <w:bCs/>
          <w:lang w:val="es-ES_tradnl"/>
        </w:rPr>
      </w:pPr>
      <w:r w:rsidRPr="004069F3">
        <w:rPr>
          <w:rFonts w:ascii="Book Antiqua" w:hAnsi="Book Antiqua"/>
          <w:b/>
          <w:bCs/>
          <w:lang w:val="es-ES_tradnl"/>
        </w:rPr>
        <w:t xml:space="preserve">HON. </w:t>
      </w:r>
      <w:r w:rsidR="00625B53" w:rsidRPr="004069F3">
        <w:rPr>
          <w:rFonts w:ascii="Book Antiqua" w:hAnsi="Book Antiqua"/>
          <w:b/>
          <w:bCs/>
          <w:lang w:val="es-ES_tradnl"/>
        </w:rPr>
        <w:t xml:space="preserve">EDGAR </w:t>
      </w:r>
      <w:r w:rsidR="0085607D" w:rsidRPr="004069F3">
        <w:rPr>
          <w:rFonts w:ascii="Book Antiqua" w:hAnsi="Book Antiqua"/>
          <w:b/>
          <w:bCs/>
          <w:lang w:val="es-ES_tradnl"/>
        </w:rPr>
        <w:t xml:space="preserve">E. </w:t>
      </w:r>
      <w:r w:rsidR="00625B53" w:rsidRPr="004069F3">
        <w:rPr>
          <w:rFonts w:ascii="Book Antiqua" w:hAnsi="Book Antiqua"/>
          <w:b/>
          <w:bCs/>
          <w:lang w:val="es-ES_tradnl"/>
        </w:rPr>
        <w:t>ROBLES</w:t>
      </w:r>
      <w:r w:rsidR="0085607D" w:rsidRPr="004069F3">
        <w:rPr>
          <w:rFonts w:ascii="Book Antiqua" w:hAnsi="Book Antiqua"/>
          <w:b/>
          <w:bCs/>
          <w:lang w:val="es-ES_tradnl"/>
        </w:rPr>
        <w:t xml:space="preserve"> RIVERA</w:t>
      </w:r>
    </w:p>
    <w:p w14:paraId="433BF3C4" w14:textId="3D789BD9" w:rsidR="009A25C7" w:rsidRPr="004069F3" w:rsidRDefault="009A25C7" w:rsidP="009A25C7">
      <w:pPr>
        <w:tabs>
          <w:tab w:val="left" w:pos="567"/>
        </w:tabs>
        <w:contextualSpacing/>
        <w:jc w:val="both"/>
        <w:rPr>
          <w:rFonts w:ascii="Book Antiqua" w:hAnsi="Book Antiqua"/>
          <w:lang w:val="es-ES_tradnl"/>
        </w:rPr>
      </w:pPr>
      <w:r w:rsidRPr="004069F3">
        <w:rPr>
          <w:rFonts w:ascii="Book Antiqua" w:hAnsi="Book Antiqua"/>
          <w:lang w:val="es-ES_tradnl"/>
        </w:rPr>
        <w:t>President</w:t>
      </w:r>
      <w:r w:rsidR="0085607D" w:rsidRPr="004069F3">
        <w:rPr>
          <w:rFonts w:ascii="Book Antiqua" w:hAnsi="Book Antiqua"/>
          <w:lang w:val="es-ES_tradnl"/>
        </w:rPr>
        <w:t>e</w:t>
      </w:r>
    </w:p>
    <w:p w14:paraId="7DC6BD7A" w14:textId="222893FE" w:rsidR="003547E9" w:rsidRPr="003E3E26" w:rsidRDefault="009A25C7" w:rsidP="00B90AE4">
      <w:pPr>
        <w:tabs>
          <w:tab w:val="left" w:pos="567"/>
        </w:tabs>
        <w:contextualSpacing/>
        <w:jc w:val="both"/>
        <w:rPr>
          <w:rFonts w:ascii="Book Antiqua" w:hAnsi="Book Antiqua"/>
          <w:lang w:val="es-ES"/>
        </w:rPr>
      </w:pPr>
      <w:r w:rsidRPr="004069F3">
        <w:rPr>
          <w:rFonts w:ascii="Book Antiqua" w:hAnsi="Book Antiqua"/>
          <w:lang w:val="es-ES_tradnl"/>
        </w:rPr>
        <w:t>Comisión de</w:t>
      </w:r>
      <w:r w:rsidR="0085607D" w:rsidRPr="004069F3">
        <w:rPr>
          <w:rFonts w:ascii="Book Antiqua" w:hAnsi="Book Antiqua"/>
          <w:lang w:val="es-ES_tradnl"/>
        </w:rPr>
        <w:t xml:space="preserve"> Asuntos del Consumidor</w:t>
      </w:r>
    </w:p>
    <w:sectPr w:rsidR="003547E9" w:rsidRPr="003E3E26"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45C43" w14:textId="77777777" w:rsidR="006067B6" w:rsidRDefault="006067B6">
      <w:r>
        <w:separator/>
      </w:r>
    </w:p>
  </w:endnote>
  <w:endnote w:type="continuationSeparator" w:id="0">
    <w:p w14:paraId="0EAC717E" w14:textId="77777777" w:rsidR="006067B6" w:rsidRDefault="006067B6">
      <w:r>
        <w:continuationSeparator/>
      </w:r>
    </w:p>
  </w:endnote>
  <w:endnote w:type="continuationNotice" w:id="1">
    <w:p w14:paraId="49CCDF6E" w14:textId="77777777" w:rsidR="006067B6" w:rsidRDefault="006067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K">
    <w:altName w:val="Calibri"/>
    <w:panose1 w:val="00000000000000000000"/>
    <w:charset w:val="4D"/>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CBD8B" w14:textId="77777777" w:rsidR="006067B6" w:rsidRDefault="006067B6">
      <w:r>
        <w:separator/>
      </w:r>
    </w:p>
  </w:footnote>
  <w:footnote w:type="continuationSeparator" w:id="0">
    <w:p w14:paraId="386BE0DF" w14:textId="77777777" w:rsidR="006067B6" w:rsidRDefault="006067B6">
      <w:r>
        <w:continuationSeparator/>
      </w:r>
    </w:p>
  </w:footnote>
  <w:footnote w:type="continuationNotice" w:id="1">
    <w:p w14:paraId="6B800159" w14:textId="77777777" w:rsidR="006067B6" w:rsidRDefault="006067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371F4BFA" w:rsidR="00FF743C" w:rsidRPr="00F96706"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6545C1">
      <w:rPr>
        <w:rFonts w:ascii="Book Antiqua" w:hAnsi="Book Antiqua"/>
        <w:b/>
        <w:i/>
        <w:color w:val="7F7F7F" w:themeColor="text1" w:themeTint="80"/>
        <w:spacing w:val="60"/>
        <w:lang w:val="es-PR"/>
      </w:rPr>
      <w:t>Final</w:t>
    </w:r>
    <w:r w:rsidR="0015377F">
      <w:rPr>
        <w:rFonts w:ascii="Book Antiqua" w:hAnsi="Book Antiqua"/>
        <w:b/>
        <w:i/>
        <w:color w:val="7F7F7F" w:themeColor="text1" w:themeTint="80"/>
        <w:spacing w:val="60"/>
        <w:lang w:val="es-PR"/>
      </w:rPr>
      <w:t xml:space="preserve"> </w:t>
    </w:r>
    <w:r w:rsidR="00450AA9">
      <w:rPr>
        <w:rFonts w:ascii="Book Antiqua" w:hAnsi="Book Antiqua"/>
        <w:b/>
        <w:i/>
        <w:color w:val="7F7F7F" w:themeColor="text1" w:themeTint="80"/>
        <w:spacing w:val="60"/>
        <w:lang w:val="es-PR"/>
      </w:rPr>
      <w:t>P. del S. 1086</w:t>
    </w:r>
    <w:r w:rsidR="007B3187">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w:t>
    </w:r>
    <w:r w:rsidR="00F96706">
      <w:rPr>
        <w:rFonts w:ascii="Book Antiqua" w:hAnsi="Book Antiqua"/>
        <w:b/>
        <w:i/>
        <w:color w:val="7F7F7F" w:themeColor="text1" w:themeTint="80"/>
        <w:spacing w:val="60"/>
        <w:lang w:val="es-PR"/>
      </w:rPr>
      <w:t>a</w:t>
    </w:r>
    <w:r w:rsidRPr="00D80F47">
      <w:rPr>
        <w:rFonts w:ascii="Book Antiqua" w:hAnsi="Book Antiqua"/>
        <w:b/>
        <w:i/>
        <w:color w:val="7F7F7F" w:themeColor="text1" w:themeTint="80"/>
        <w:lang w:val="es-PR"/>
      </w:rPr>
      <w:t xml:space="preserve">| </w:t>
    </w:r>
    <w:r w:rsidRPr="00F96706">
      <w:rPr>
        <w:rFonts w:ascii="Book Antiqua" w:hAnsi="Book Antiqua"/>
        <w:b/>
        <w:i/>
        <w:color w:val="7F7F7F" w:themeColor="text1" w:themeTint="80"/>
        <w:lang w:val="es-PR"/>
      </w:rPr>
      <w:fldChar w:fldCharType="begin"/>
    </w:r>
    <w:r w:rsidRPr="00F96706">
      <w:rPr>
        <w:rFonts w:ascii="Book Antiqua" w:hAnsi="Book Antiqua"/>
        <w:b/>
        <w:i/>
        <w:color w:val="7F7F7F" w:themeColor="text1" w:themeTint="80"/>
        <w:lang w:val="es-PR"/>
      </w:rPr>
      <w:instrText xml:space="preserve"> PAGE   \* MERGEFORMAT </w:instrText>
    </w:r>
    <w:r w:rsidRPr="00F96706">
      <w:rPr>
        <w:rFonts w:ascii="Book Antiqua" w:hAnsi="Book Antiqua"/>
        <w:b/>
        <w:i/>
        <w:color w:val="7F7F7F" w:themeColor="text1" w:themeTint="80"/>
        <w:lang w:val="es-PR"/>
      </w:rPr>
      <w:fldChar w:fldCharType="separate"/>
    </w:r>
    <w:r w:rsidRPr="00F96706">
      <w:rPr>
        <w:rFonts w:ascii="Book Antiqua" w:hAnsi="Book Antiqua"/>
        <w:b/>
        <w:i/>
        <w:color w:val="7F7F7F" w:themeColor="text1" w:themeTint="80"/>
        <w:lang w:val="es-PR"/>
      </w:rPr>
      <w:t>2</w:t>
    </w:r>
    <w:r w:rsidRPr="00F96706">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243"/>
    <w:multiLevelType w:val="hybridMultilevel"/>
    <w:tmpl w:val="5C3829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E468A4"/>
    <w:multiLevelType w:val="hybridMultilevel"/>
    <w:tmpl w:val="5BE282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7832517"/>
    <w:multiLevelType w:val="hybridMultilevel"/>
    <w:tmpl w:val="2B1C2B94"/>
    <w:lvl w:ilvl="0" w:tplc="FFFFFFFF">
      <w:start w:val="1"/>
      <w:numFmt w:val="decimal"/>
      <w:lvlText w:val="%1."/>
      <w:lvlJc w:val="left"/>
      <w:pPr>
        <w:ind w:left="720" w:hanging="360"/>
      </w:pPr>
      <w:rPr>
        <w:rFonts w:hint="default"/>
        <w:b w:val="0"/>
        <w:color w:val="auto"/>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5C6031"/>
    <w:multiLevelType w:val="hybridMultilevel"/>
    <w:tmpl w:val="2B1C2B94"/>
    <w:lvl w:ilvl="0" w:tplc="FFFFFFFF">
      <w:start w:val="1"/>
      <w:numFmt w:val="decimal"/>
      <w:lvlText w:val="%1."/>
      <w:lvlJc w:val="left"/>
      <w:pPr>
        <w:ind w:left="720" w:hanging="360"/>
      </w:pPr>
      <w:rPr>
        <w:rFonts w:hint="default"/>
        <w:b w:val="0"/>
        <w:color w:val="auto"/>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764B0F"/>
    <w:multiLevelType w:val="hybridMultilevel"/>
    <w:tmpl w:val="F85EE1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9B44551"/>
    <w:multiLevelType w:val="hybridMultilevel"/>
    <w:tmpl w:val="2B1C2B94"/>
    <w:lvl w:ilvl="0" w:tplc="0409000F">
      <w:start w:val="1"/>
      <w:numFmt w:val="decimal"/>
      <w:lvlText w:val="%1."/>
      <w:lvlJc w:val="left"/>
      <w:pPr>
        <w:ind w:left="720" w:hanging="360"/>
      </w:pPr>
      <w:rPr>
        <w:rFonts w:hint="default"/>
        <w:b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74A04"/>
    <w:multiLevelType w:val="hybridMultilevel"/>
    <w:tmpl w:val="4AECD67A"/>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0D5ED2"/>
    <w:multiLevelType w:val="hybridMultilevel"/>
    <w:tmpl w:val="4AECD67A"/>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3C29E7"/>
    <w:multiLevelType w:val="hybridMultilevel"/>
    <w:tmpl w:val="4AECD67A"/>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A6E481A"/>
    <w:multiLevelType w:val="multilevel"/>
    <w:tmpl w:val="9AAC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8B1E82"/>
    <w:multiLevelType w:val="hybridMultilevel"/>
    <w:tmpl w:val="72547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6C4053"/>
    <w:multiLevelType w:val="hybridMultilevel"/>
    <w:tmpl w:val="5C38290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BF0E66"/>
    <w:multiLevelType w:val="hybridMultilevel"/>
    <w:tmpl w:val="7254744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EA06C1"/>
    <w:multiLevelType w:val="hybridMultilevel"/>
    <w:tmpl w:val="FFC26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763739">
    <w:abstractNumId w:val="20"/>
  </w:num>
  <w:num w:numId="2" w16cid:durableId="61176380">
    <w:abstractNumId w:val="12"/>
  </w:num>
  <w:num w:numId="3" w16cid:durableId="1059595349">
    <w:abstractNumId w:val="8"/>
  </w:num>
  <w:num w:numId="4" w16cid:durableId="2061787766">
    <w:abstractNumId w:val="30"/>
  </w:num>
  <w:num w:numId="5" w16cid:durableId="1979995804">
    <w:abstractNumId w:val="18"/>
  </w:num>
  <w:num w:numId="6" w16cid:durableId="248587837">
    <w:abstractNumId w:val="21"/>
  </w:num>
  <w:num w:numId="7" w16cid:durableId="1013386577">
    <w:abstractNumId w:val="27"/>
  </w:num>
  <w:num w:numId="8" w16cid:durableId="192153168">
    <w:abstractNumId w:val="31"/>
  </w:num>
  <w:num w:numId="9" w16cid:durableId="1334843169">
    <w:abstractNumId w:val="29"/>
  </w:num>
  <w:num w:numId="10" w16cid:durableId="1816602797">
    <w:abstractNumId w:val="13"/>
  </w:num>
  <w:num w:numId="11" w16cid:durableId="1897281236">
    <w:abstractNumId w:val="2"/>
  </w:num>
  <w:num w:numId="12" w16cid:durableId="1776559535">
    <w:abstractNumId w:val="19"/>
  </w:num>
  <w:num w:numId="13" w16cid:durableId="842739094">
    <w:abstractNumId w:val="9"/>
  </w:num>
  <w:num w:numId="14" w16cid:durableId="2054965977">
    <w:abstractNumId w:val="7"/>
  </w:num>
  <w:num w:numId="15" w16cid:durableId="1499687520">
    <w:abstractNumId w:val="11"/>
  </w:num>
  <w:num w:numId="16" w16cid:durableId="651904608">
    <w:abstractNumId w:val="10"/>
  </w:num>
  <w:num w:numId="17" w16cid:durableId="917792716">
    <w:abstractNumId w:val="15"/>
  </w:num>
  <w:num w:numId="18" w16cid:durableId="1892884976">
    <w:abstractNumId w:val="6"/>
  </w:num>
  <w:num w:numId="19" w16cid:durableId="1388990430">
    <w:abstractNumId w:val="14"/>
  </w:num>
  <w:num w:numId="20" w16cid:durableId="1823541469">
    <w:abstractNumId w:val="25"/>
  </w:num>
  <w:num w:numId="21" w16cid:durableId="1993170779">
    <w:abstractNumId w:val="32"/>
  </w:num>
  <w:num w:numId="22" w16cid:durableId="1393387174">
    <w:abstractNumId w:val="0"/>
  </w:num>
  <w:num w:numId="23" w16cid:durableId="454643414">
    <w:abstractNumId w:val="28"/>
  </w:num>
  <w:num w:numId="24" w16cid:durableId="1277103195">
    <w:abstractNumId w:val="5"/>
  </w:num>
  <w:num w:numId="25" w16cid:durableId="2145077840">
    <w:abstractNumId w:val="26"/>
  </w:num>
  <w:num w:numId="26" w16cid:durableId="1176118678">
    <w:abstractNumId w:val="17"/>
  </w:num>
  <w:num w:numId="27" w16cid:durableId="1297177688">
    <w:abstractNumId w:val="23"/>
  </w:num>
  <w:num w:numId="28" w16cid:durableId="1183977876">
    <w:abstractNumId w:val="16"/>
  </w:num>
  <w:num w:numId="29" w16cid:durableId="1605915523">
    <w:abstractNumId w:val="22"/>
  </w:num>
  <w:num w:numId="30" w16cid:durableId="288433629">
    <w:abstractNumId w:val="4"/>
  </w:num>
  <w:num w:numId="31" w16cid:durableId="618535738">
    <w:abstractNumId w:val="3"/>
  </w:num>
  <w:num w:numId="32" w16cid:durableId="1664577677">
    <w:abstractNumId w:val="1"/>
  </w:num>
  <w:num w:numId="33" w16cid:durableId="13715644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483A"/>
    <w:rsid w:val="0000726D"/>
    <w:rsid w:val="00010035"/>
    <w:rsid w:val="0001109F"/>
    <w:rsid w:val="00015F9B"/>
    <w:rsid w:val="0001634C"/>
    <w:rsid w:val="000238E7"/>
    <w:rsid w:val="000304B5"/>
    <w:rsid w:val="00032057"/>
    <w:rsid w:val="000332B4"/>
    <w:rsid w:val="00033FC1"/>
    <w:rsid w:val="00040B2F"/>
    <w:rsid w:val="00042087"/>
    <w:rsid w:val="000422D9"/>
    <w:rsid w:val="00042A23"/>
    <w:rsid w:val="0004406F"/>
    <w:rsid w:val="00045B5B"/>
    <w:rsid w:val="00045B94"/>
    <w:rsid w:val="000471C1"/>
    <w:rsid w:val="00047A01"/>
    <w:rsid w:val="00050EA2"/>
    <w:rsid w:val="00053E52"/>
    <w:rsid w:val="00055F2A"/>
    <w:rsid w:val="00061727"/>
    <w:rsid w:val="00063732"/>
    <w:rsid w:val="000643F3"/>
    <w:rsid w:val="00064B89"/>
    <w:rsid w:val="00065F8A"/>
    <w:rsid w:val="00070369"/>
    <w:rsid w:val="00073F7F"/>
    <w:rsid w:val="00075375"/>
    <w:rsid w:val="00075E8A"/>
    <w:rsid w:val="00077928"/>
    <w:rsid w:val="00080CE3"/>
    <w:rsid w:val="00082E27"/>
    <w:rsid w:val="00084777"/>
    <w:rsid w:val="00084D4B"/>
    <w:rsid w:val="00086DA1"/>
    <w:rsid w:val="00087891"/>
    <w:rsid w:val="0009177F"/>
    <w:rsid w:val="0009268B"/>
    <w:rsid w:val="000939F8"/>
    <w:rsid w:val="000A00A2"/>
    <w:rsid w:val="000A026F"/>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0974"/>
    <w:rsid w:val="000E4076"/>
    <w:rsid w:val="000E48B7"/>
    <w:rsid w:val="000E5BA2"/>
    <w:rsid w:val="000E5FD5"/>
    <w:rsid w:val="000F1464"/>
    <w:rsid w:val="000F1DB9"/>
    <w:rsid w:val="000F2C52"/>
    <w:rsid w:val="000F4696"/>
    <w:rsid w:val="00100979"/>
    <w:rsid w:val="00104CFC"/>
    <w:rsid w:val="001053AD"/>
    <w:rsid w:val="00114E04"/>
    <w:rsid w:val="00115530"/>
    <w:rsid w:val="0011677E"/>
    <w:rsid w:val="00117919"/>
    <w:rsid w:val="00117E0F"/>
    <w:rsid w:val="00124C65"/>
    <w:rsid w:val="0012509B"/>
    <w:rsid w:val="00125E9E"/>
    <w:rsid w:val="001270C2"/>
    <w:rsid w:val="00137432"/>
    <w:rsid w:val="00143A5F"/>
    <w:rsid w:val="00146D4D"/>
    <w:rsid w:val="00150327"/>
    <w:rsid w:val="00151761"/>
    <w:rsid w:val="0015288A"/>
    <w:rsid w:val="00152C0B"/>
    <w:rsid w:val="0015377F"/>
    <w:rsid w:val="001574B4"/>
    <w:rsid w:val="00164FDF"/>
    <w:rsid w:val="00166898"/>
    <w:rsid w:val="00170214"/>
    <w:rsid w:val="00172D4D"/>
    <w:rsid w:val="0017514B"/>
    <w:rsid w:val="0017673D"/>
    <w:rsid w:val="00176C61"/>
    <w:rsid w:val="0018253F"/>
    <w:rsid w:val="00186ECD"/>
    <w:rsid w:val="0018752B"/>
    <w:rsid w:val="00193B05"/>
    <w:rsid w:val="00194554"/>
    <w:rsid w:val="0019467B"/>
    <w:rsid w:val="001955D2"/>
    <w:rsid w:val="001A16E7"/>
    <w:rsid w:val="001A296C"/>
    <w:rsid w:val="001A615D"/>
    <w:rsid w:val="001A76D6"/>
    <w:rsid w:val="001B0F6E"/>
    <w:rsid w:val="001B2DB5"/>
    <w:rsid w:val="001B5D39"/>
    <w:rsid w:val="001B6E59"/>
    <w:rsid w:val="001C545F"/>
    <w:rsid w:val="001C7E62"/>
    <w:rsid w:val="001D2F9B"/>
    <w:rsid w:val="001D4D02"/>
    <w:rsid w:val="001E470C"/>
    <w:rsid w:val="001E6F1F"/>
    <w:rsid w:val="001F0CE2"/>
    <w:rsid w:val="001F60C9"/>
    <w:rsid w:val="00200B93"/>
    <w:rsid w:val="00203FA2"/>
    <w:rsid w:val="00205C7D"/>
    <w:rsid w:val="00206FEF"/>
    <w:rsid w:val="00207FDA"/>
    <w:rsid w:val="00212FA6"/>
    <w:rsid w:val="00214247"/>
    <w:rsid w:val="00215857"/>
    <w:rsid w:val="00222E3B"/>
    <w:rsid w:val="0022306F"/>
    <w:rsid w:val="00224B34"/>
    <w:rsid w:val="002258E0"/>
    <w:rsid w:val="0023263A"/>
    <w:rsid w:val="00241A7D"/>
    <w:rsid w:val="00242400"/>
    <w:rsid w:val="00242743"/>
    <w:rsid w:val="00244846"/>
    <w:rsid w:val="00245B65"/>
    <w:rsid w:val="00246238"/>
    <w:rsid w:val="00246A0D"/>
    <w:rsid w:val="002523F1"/>
    <w:rsid w:val="00252895"/>
    <w:rsid w:val="00252EE9"/>
    <w:rsid w:val="002531D9"/>
    <w:rsid w:val="00254DA8"/>
    <w:rsid w:val="00256B0A"/>
    <w:rsid w:val="002573CC"/>
    <w:rsid w:val="00257F98"/>
    <w:rsid w:val="00260526"/>
    <w:rsid w:val="0026315B"/>
    <w:rsid w:val="0026365C"/>
    <w:rsid w:val="00265E43"/>
    <w:rsid w:val="00270095"/>
    <w:rsid w:val="00271F57"/>
    <w:rsid w:val="0027425D"/>
    <w:rsid w:val="0027486C"/>
    <w:rsid w:val="00274930"/>
    <w:rsid w:val="0028263E"/>
    <w:rsid w:val="00291E60"/>
    <w:rsid w:val="0029577C"/>
    <w:rsid w:val="00296371"/>
    <w:rsid w:val="0029730D"/>
    <w:rsid w:val="002A5740"/>
    <w:rsid w:val="002A65AE"/>
    <w:rsid w:val="002A78E9"/>
    <w:rsid w:val="002B1945"/>
    <w:rsid w:val="002B1ABC"/>
    <w:rsid w:val="002B417D"/>
    <w:rsid w:val="002B4D4B"/>
    <w:rsid w:val="002B5271"/>
    <w:rsid w:val="002B5CAD"/>
    <w:rsid w:val="002B6F5D"/>
    <w:rsid w:val="002C42AD"/>
    <w:rsid w:val="002C5FA3"/>
    <w:rsid w:val="002C69CA"/>
    <w:rsid w:val="002C73CA"/>
    <w:rsid w:val="002D12EA"/>
    <w:rsid w:val="002D4046"/>
    <w:rsid w:val="002D4300"/>
    <w:rsid w:val="002D6515"/>
    <w:rsid w:val="002D79D4"/>
    <w:rsid w:val="002D7B2D"/>
    <w:rsid w:val="002E1CA2"/>
    <w:rsid w:val="002E1CD3"/>
    <w:rsid w:val="002F3F0B"/>
    <w:rsid w:val="00303634"/>
    <w:rsid w:val="00311262"/>
    <w:rsid w:val="00311DBC"/>
    <w:rsid w:val="00312A8C"/>
    <w:rsid w:val="00314244"/>
    <w:rsid w:val="00315A56"/>
    <w:rsid w:val="0031713B"/>
    <w:rsid w:val="00320108"/>
    <w:rsid w:val="0032169C"/>
    <w:rsid w:val="00321DEE"/>
    <w:rsid w:val="0032375B"/>
    <w:rsid w:val="003258E9"/>
    <w:rsid w:val="00331A74"/>
    <w:rsid w:val="00334DC6"/>
    <w:rsid w:val="0033626E"/>
    <w:rsid w:val="003401E4"/>
    <w:rsid w:val="0034091C"/>
    <w:rsid w:val="0034248B"/>
    <w:rsid w:val="00345210"/>
    <w:rsid w:val="00345B19"/>
    <w:rsid w:val="003468C5"/>
    <w:rsid w:val="00350561"/>
    <w:rsid w:val="0035079E"/>
    <w:rsid w:val="003537E8"/>
    <w:rsid w:val="003542B5"/>
    <w:rsid w:val="003547E9"/>
    <w:rsid w:val="003548DB"/>
    <w:rsid w:val="00355816"/>
    <w:rsid w:val="0035744E"/>
    <w:rsid w:val="003579CA"/>
    <w:rsid w:val="00360C58"/>
    <w:rsid w:val="00360DE1"/>
    <w:rsid w:val="0036337F"/>
    <w:rsid w:val="003657E1"/>
    <w:rsid w:val="00365EF8"/>
    <w:rsid w:val="003677BB"/>
    <w:rsid w:val="00372B11"/>
    <w:rsid w:val="00373DAB"/>
    <w:rsid w:val="0037424B"/>
    <w:rsid w:val="00381646"/>
    <w:rsid w:val="00382143"/>
    <w:rsid w:val="00383202"/>
    <w:rsid w:val="00383B9C"/>
    <w:rsid w:val="003919F9"/>
    <w:rsid w:val="003929FE"/>
    <w:rsid w:val="00394B8D"/>
    <w:rsid w:val="00396185"/>
    <w:rsid w:val="003A2B3D"/>
    <w:rsid w:val="003A38EE"/>
    <w:rsid w:val="003A47C3"/>
    <w:rsid w:val="003A5E6E"/>
    <w:rsid w:val="003A72A1"/>
    <w:rsid w:val="003A79C9"/>
    <w:rsid w:val="003B1FF2"/>
    <w:rsid w:val="003B2B79"/>
    <w:rsid w:val="003B3122"/>
    <w:rsid w:val="003B5380"/>
    <w:rsid w:val="003B5E55"/>
    <w:rsid w:val="003B7F97"/>
    <w:rsid w:val="003C086B"/>
    <w:rsid w:val="003C0A97"/>
    <w:rsid w:val="003C1B1D"/>
    <w:rsid w:val="003C2E71"/>
    <w:rsid w:val="003C5548"/>
    <w:rsid w:val="003C5CBD"/>
    <w:rsid w:val="003C7251"/>
    <w:rsid w:val="003C7E72"/>
    <w:rsid w:val="003D33C1"/>
    <w:rsid w:val="003E12EB"/>
    <w:rsid w:val="003E3E26"/>
    <w:rsid w:val="003F0CD5"/>
    <w:rsid w:val="003F2E94"/>
    <w:rsid w:val="003F5D18"/>
    <w:rsid w:val="0040112C"/>
    <w:rsid w:val="0040484F"/>
    <w:rsid w:val="00406232"/>
    <w:rsid w:val="004069F3"/>
    <w:rsid w:val="00406AC1"/>
    <w:rsid w:val="00410ECE"/>
    <w:rsid w:val="004122EE"/>
    <w:rsid w:val="00412348"/>
    <w:rsid w:val="004136A3"/>
    <w:rsid w:val="00414166"/>
    <w:rsid w:val="00416DD1"/>
    <w:rsid w:val="00416F11"/>
    <w:rsid w:val="00417EA5"/>
    <w:rsid w:val="00421D42"/>
    <w:rsid w:val="00421D9C"/>
    <w:rsid w:val="00422688"/>
    <w:rsid w:val="0042540A"/>
    <w:rsid w:val="00426402"/>
    <w:rsid w:val="00426600"/>
    <w:rsid w:val="00430942"/>
    <w:rsid w:val="00433B94"/>
    <w:rsid w:val="004351E0"/>
    <w:rsid w:val="00435945"/>
    <w:rsid w:val="00435D5C"/>
    <w:rsid w:val="00436364"/>
    <w:rsid w:val="004406D1"/>
    <w:rsid w:val="00442186"/>
    <w:rsid w:val="00445DB5"/>
    <w:rsid w:val="00447CEA"/>
    <w:rsid w:val="00450AA9"/>
    <w:rsid w:val="0045180E"/>
    <w:rsid w:val="00453020"/>
    <w:rsid w:val="00455AA8"/>
    <w:rsid w:val="004577FB"/>
    <w:rsid w:val="004620B0"/>
    <w:rsid w:val="004626CA"/>
    <w:rsid w:val="00464323"/>
    <w:rsid w:val="00467A36"/>
    <w:rsid w:val="00470B60"/>
    <w:rsid w:val="00470F3F"/>
    <w:rsid w:val="00472407"/>
    <w:rsid w:val="00472793"/>
    <w:rsid w:val="004753EF"/>
    <w:rsid w:val="00477BA6"/>
    <w:rsid w:val="0048070C"/>
    <w:rsid w:val="0048672E"/>
    <w:rsid w:val="00487B4C"/>
    <w:rsid w:val="00487E0B"/>
    <w:rsid w:val="00491786"/>
    <w:rsid w:val="00491844"/>
    <w:rsid w:val="004A2F2C"/>
    <w:rsid w:val="004A4A0A"/>
    <w:rsid w:val="004A593A"/>
    <w:rsid w:val="004B2EE4"/>
    <w:rsid w:val="004C0940"/>
    <w:rsid w:val="004C1C8B"/>
    <w:rsid w:val="004C2583"/>
    <w:rsid w:val="004C2D8F"/>
    <w:rsid w:val="004C4B22"/>
    <w:rsid w:val="004C7CB2"/>
    <w:rsid w:val="004D00E0"/>
    <w:rsid w:val="004D4B37"/>
    <w:rsid w:val="004D7DEF"/>
    <w:rsid w:val="004E36CD"/>
    <w:rsid w:val="004E4121"/>
    <w:rsid w:val="004E784A"/>
    <w:rsid w:val="004F136D"/>
    <w:rsid w:val="004F40E0"/>
    <w:rsid w:val="004F4F61"/>
    <w:rsid w:val="005021E4"/>
    <w:rsid w:val="00502B33"/>
    <w:rsid w:val="00503E24"/>
    <w:rsid w:val="00510739"/>
    <w:rsid w:val="00510996"/>
    <w:rsid w:val="0051286B"/>
    <w:rsid w:val="00514543"/>
    <w:rsid w:val="00515BA6"/>
    <w:rsid w:val="00515D22"/>
    <w:rsid w:val="0051774B"/>
    <w:rsid w:val="00517E64"/>
    <w:rsid w:val="005213F5"/>
    <w:rsid w:val="00521835"/>
    <w:rsid w:val="00530B50"/>
    <w:rsid w:val="005330A2"/>
    <w:rsid w:val="00533996"/>
    <w:rsid w:val="00533BD0"/>
    <w:rsid w:val="005446B2"/>
    <w:rsid w:val="00546183"/>
    <w:rsid w:val="0054689A"/>
    <w:rsid w:val="00547C7B"/>
    <w:rsid w:val="00550AEE"/>
    <w:rsid w:val="0055155D"/>
    <w:rsid w:val="005536DA"/>
    <w:rsid w:val="00557834"/>
    <w:rsid w:val="00560A4F"/>
    <w:rsid w:val="00560B27"/>
    <w:rsid w:val="00561732"/>
    <w:rsid w:val="005738D9"/>
    <w:rsid w:val="00581AA3"/>
    <w:rsid w:val="00582EEB"/>
    <w:rsid w:val="00583EE8"/>
    <w:rsid w:val="00584073"/>
    <w:rsid w:val="00590933"/>
    <w:rsid w:val="0059467F"/>
    <w:rsid w:val="005A45DD"/>
    <w:rsid w:val="005B0570"/>
    <w:rsid w:val="005B458F"/>
    <w:rsid w:val="005B4C72"/>
    <w:rsid w:val="005B5087"/>
    <w:rsid w:val="005B649D"/>
    <w:rsid w:val="005B65FE"/>
    <w:rsid w:val="005B7D24"/>
    <w:rsid w:val="005C10D1"/>
    <w:rsid w:val="005C4ABB"/>
    <w:rsid w:val="005C76B7"/>
    <w:rsid w:val="005E0023"/>
    <w:rsid w:val="005E194B"/>
    <w:rsid w:val="005E532D"/>
    <w:rsid w:val="005E667D"/>
    <w:rsid w:val="005F0622"/>
    <w:rsid w:val="005F3287"/>
    <w:rsid w:val="005F47AB"/>
    <w:rsid w:val="005F5044"/>
    <w:rsid w:val="005F7135"/>
    <w:rsid w:val="006005E2"/>
    <w:rsid w:val="00601F6D"/>
    <w:rsid w:val="00602468"/>
    <w:rsid w:val="006031F2"/>
    <w:rsid w:val="006067B6"/>
    <w:rsid w:val="00612BDA"/>
    <w:rsid w:val="00613838"/>
    <w:rsid w:val="00615A07"/>
    <w:rsid w:val="00616A32"/>
    <w:rsid w:val="00620F0B"/>
    <w:rsid w:val="006218B9"/>
    <w:rsid w:val="00622332"/>
    <w:rsid w:val="00623090"/>
    <w:rsid w:val="00625B53"/>
    <w:rsid w:val="006263C8"/>
    <w:rsid w:val="006264FA"/>
    <w:rsid w:val="006271A3"/>
    <w:rsid w:val="0063442C"/>
    <w:rsid w:val="00634C1E"/>
    <w:rsid w:val="00635DE6"/>
    <w:rsid w:val="0063739F"/>
    <w:rsid w:val="00640129"/>
    <w:rsid w:val="006415F8"/>
    <w:rsid w:val="00642B9B"/>
    <w:rsid w:val="00644AD2"/>
    <w:rsid w:val="0064617C"/>
    <w:rsid w:val="006471A0"/>
    <w:rsid w:val="006500AB"/>
    <w:rsid w:val="00650CE2"/>
    <w:rsid w:val="00651B48"/>
    <w:rsid w:val="00652772"/>
    <w:rsid w:val="00652CDE"/>
    <w:rsid w:val="0065441C"/>
    <w:rsid w:val="00654477"/>
    <w:rsid w:val="006545C1"/>
    <w:rsid w:val="00654AB3"/>
    <w:rsid w:val="0065513E"/>
    <w:rsid w:val="006560AF"/>
    <w:rsid w:val="0065616E"/>
    <w:rsid w:val="0065682F"/>
    <w:rsid w:val="006574EC"/>
    <w:rsid w:val="00666E22"/>
    <w:rsid w:val="0067067D"/>
    <w:rsid w:val="00672A16"/>
    <w:rsid w:val="00672C7E"/>
    <w:rsid w:val="00675903"/>
    <w:rsid w:val="006772BB"/>
    <w:rsid w:val="00677A22"/>
    <w:rsid w:val="00680204"/>
    <w:rsid w:val="00680B44"/>
    <w:rsid w:val="00681327"/>
    <w:rsid w:val="00686ED6"/>
    <w:rsid w:val="0069000A"/>
    <w:rsid w:val="00690604"/>
    <w:rsid w:val="00691A41"/>
    <w:rsid w:val="00695B6A"/>
    <w:rsid w:val="006A100B"/>
    <w:rsid w:val="006B031C"/>
    <w:rsid w:val="006B0455"/>
    <w:rsid w:val="006B125A"/>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F0BC0"/>
    <w:rsid w:val="006F58BD"/>
    <w:rsid w:val="006F603B"/>
    <w:rsid w:val="006F7088"/>
    <w:rsid w:val="0070050A"/>
    <w:rsid w:val="00702995"/>
    <w:rsid w:val="007039E3"/>
    <w:rsid w:val="00704C2F"/>
    <w:rsid w:val="0070733E"/>
    <w:rsid w:val="0071579E"/>
    <w:rsid w:val="007169BC"/>
    <w:rsid w:val="00717F99"/>
    <w:rsid w:val="00721472"/>
    <w:rsid w:val="00721BDE"/>
    <w:rsid w:val="00721E0A"/>
    <w:rsid w:val="00731329"/>
    <w:rsid w:val="007355C5"/>
    <w:rsid w:val="00751279"/>
    <w:rsid w:val="00755D0F"/>
    <w:rsid w:val="00764BA1"/>
    <w:rsid w:val="00766288"/>
    <w:rsid w:val="0076688F"/>
    <w:rsid w:val="007708BB"/>
    <w:rsid w:val="00774716"/>
    <w:rsid w:val="00774AC3"/>
    <w:rsid w:val="00774D75"/>
    <w:rsid w:val="00775B08"/>
    <w:rsid w:val="00776A21"/>
    <w:rsid w:val="007777A1"/>
    <w:rsid w:val="007806AE"/>
    <w:rsid w:val="00782DD7"/>
    <w:rsid w:val="00785BAD"/>
    <w:rsid w:val="00786AA8"/>
    <w:rsid w:val="00787BA2"/>
    <w:rsid w:val="0079767D"/>
    <w:rsid w:val="007A1C67"/>
    <w:rsid w:val="007A2351"/>
    <w:rsid w:val="007A5FBE"/>
    <w:rsid w:val="007A7A0A"/>
    <w:rsid w:val="007B0E5F"/>
    <w:rsid w:val="007B1258"/>
    <w:rsid w:val="007B1ED6"/>
    <w:rsid w:val="007B2CFB"/>
    <w:rsid w:val="007B3187"/>
    <w:rsid w:val="007B41A0"/>
    <w:rsid w:val="007B6081"/>
    <w:rsid w:val="007C0C4F"/>
    <w:rsid w:val="007C0E2E"/>
    <w:rsid w:val="007C3B43"/>
    <w:rsid w:val="007C4053"/>
    <w:rsid w:val="007C46E6"/>
    <w:rsid w:val="007D09E3"/>
    <w:rsid w:val="007D1990"/>
    <w:rsid w:val="007D20C5"/>
    <w:rsid w:val="007E09FA"/>
    <w:rsid w:val="007E344C"/>
    <w:rsid w:val="007E7F5A"/>
    <w:rsid w:val="007F143E"/>
    <w:rsid w:val="007F2B70"/>
    <w:rsid w:val="007F4530"/>
    <w:rsid w:val="007F6B77"/>
    <w:rsid w:val="007F6B80"/>
    <w:rsid w:val="00800B5C"/>
    <w:rsid w:val="00804C1C"/>
    <w:rsid w:val="00813DEF"/>
    <w:rsid w:val="00813E35"/>
    <w:rsid w:val="0081745A"/>
    <w:rsid w:val="00823135"/>
    <w:rsid w:val="008247E0"/>
    <w:rsid w:val="00824B96"/>
    <w:rsid w:val="00825C96"/>
    <w:rsid w:val="00832EB2"/>
    <w:rsid w:val="00836722"/>
    <w:rsid w:val="00840694"/>
    <w:rsid w:val="008440A0"/>
    <w:rsid w:val="0084498F"/>
    <w:rsid w:val="00845132"/>
    <w:rsid w:val="0084732F"/>
    <w:rsid w:val="00850D8F"/>
    <w:rsid w:val="008518F6"/>
    <w:rsid w:val="0085607D"/>
    <w:rsid w:val="00856BD4"/>
    <w:rsid w:val="00857A6A"/>
    <w:rsid w:val="00857C4D"/>
    <w:rsid w:val="0086481F"/>
    <w:rsid w:val="00865118"/>
    <w:rsid w:val="00870978"/>
    <w:rsid w:val="00875E48"/>
    <w:rsid w:val="00876B8E"/>
    <w:rsid w:val="0088037B"/>
    <w:rsid w:val="00885A17"/>
    <w:rsid w:val="00885D07"/>
    <w:rsid w:val="00891AA2"/>
    <w:rsid w:val="00892ACB"/>
    <w:rsid w:val="00894F91"/>
    <w:rsid w:val="008A3ED8"/>
    <w:rsid w:val="008A7491"/>
    <w:rsid w:val="008B4B7D"/>
    <w:rsid w:val="008B556E"/>
    <w:rsid w:val="008C01FF"/>
    <w:rsid w:val="008C1C17"/>
    <w:rsid w:val="008C2D0E"/>
    <w:rsid w:val="008C2E3C"/>
    <w:rsid w:val="008C56A2"/>
    <w:rsid w:val="008C676E"/>
    <w:rsid w:val="008C6BBE"/>
    <w:rsid w:val="008C79EC"/>
    <w:rsid w:val="008D728C"/>
    <w:rsid w:val="008E22AD"/>
    <w:rsid w:val="008E3937"/>
    <w:rsid w:val="008E3E81"/>
    <w:rsid w:val="008E5589"/>
    <w:rsid w:val="008E55D4"/>
    <w:rsid w:val="008F0D68"/>
    <w:rsid w:val="008F1D17"/>
    <w:rsid w:val="008F285D"/>
    <w:rsid w:val="008F42AC"/>
    <w:rsid w:val="008F5D92"/>
    <w:rsid w:val="008F5DED"/>
    <w:rsid w:val="00903341"/>
    <w:rsid w:val="00906246"/>
    <w:rsid w:val="0090679A"/>
    <w:rsid w:val="00906F79"/>
    <w:rsid w:val="0091103A"/>
    <w:rsid w:val="00912868"/>
    <w:rsid w:val="00914F89"/>
    <w:rsid w:val="0091508E"/>
    <w:rsid w:val="0091792A"/>
    <w:rsid w:val="0092099E"/>
    <w:rsid w:val="009259CF"/>
    <w:rsid w:val="009276C5"/>
    <w:rsid w:val="0093150A"/>
    <w:rsid w:val="009340BE"/>
    <w:rsid w:val="0093434C"/>
    <w:rsid w:val="00934DEB"/>
    <w:rsid w:val="0093531F"/>
    <w:rsid w:val="00936511"/>
    <w:rsid w:val="00936C03"/>
    <w:rsid w:val="00954332"/>
    <w:rsid w:val="00956C43"/>
    <w:rsid w:val="00957442"/>
    <w:rsid w:val="0096056B"/>
    <w:rsid w:val="00960FEB"/>
    <w:rsid w:val="009636A1"/>
    <w:rsid w:val="00963E72"/>
    <w:rsid w:val="00963F5D"/>
    <w:rsid w:val="00971320"/>
    <w:rsid w:val="00975363"/>
    <w:rsid w:val="009802D0"/>
    <w:rsid w:val="00982266"/>
    <w:rsid w:val="00982654"/>
    <w:rsid w:val="009866E0"/>
    <w:rsid w:val="00991CC5"/>
    <w:rsid w:val="00992D25"/>
    <w:rsid w:val="00993115"/>
    <w:rsid w:val="00996905"/>
    <w:rsid w:val="009974DE"/>
    <w:rsid w:val="009A064A"/>
    <w:rsid w:val="009A25C7"/>
    <w:rsid w:val="009A42DC"/>
    <w:rsid w:val="009A5F8F"/>
    <w:rsid w:val="009A601C"/>
    <w:rsid w:val="009A6546"/>
    <w:rsid w:val="009A7177"/>
    <w:rsid w:val="009B0280"/>
    <w:rsid w:val="009B2CAD"/>
    <w:rsid w:val="009B364F"/>
    <w:rsid w:val="009B61E8"/>
    <w:rsid w:val="009C0504"/>
    <w:rsid w:val="009C1DD7"/>
    <w:rsid w:val="009C21A6"/>
    <w:rsid w:val="009C233F"/>
    <w:rsid w:val="009C2F50"/>
    <w:rsid w:val="009C467F"/>
    <w:rsid w:val="009C468C"/>
    <w:rsid w:val="009C4A57"/>
    <w:rsid w:val="009C58C8"/>
    <w:rsid w:val="009D1631"/>
    <w:rsid w:val="009D1E43"/>
    <w:rsid w:val="009D27AC"/>
    <w:rsid w:val="009D4592"/>
    <w:rsid w:val="009D5074"/>
    <w:rsid w:val="009D6158"/>
    <w:rsid w:val="009D6C16"/>
    <w:rsid w:val="009D708D"/>
    <w:rsid w:val="009E4BBB"/>
    <w:rsid w:val="009E4D8F"/>
    <w:rsid w:val="009F4DAC"/>
    <w:rsid w:val="00A00AAC"/>
    <w:rsid w:val="00A01236"/>
    <w:rsid w:val="00A02F94"/>
    <w:rsid w:val="00A075CE"/>
    <w:rsid w:val="00A1077A"/>
    <w:rsid w:val="00A22FDC"/>
    <w:rsid w:val="00A246E2"/>
    <w:rsid w:val="00A2560C"/>
    <w:rsid w:val="00A269E6"/>
    <w:rsid w:val="00A272AE"/>
    <w:rsid w:val="00A274D3"/>
    <w:rsid w:val="00A30719"/>
    <w:rsid w:val="00A33C0F"/>
    <w:rsid w:val="00A351A4"/>
    <w:rsid w:val="00A35ADF"/>
    <w:rsid w:val="00A3786E"/>
    <w:rsid w:val="00A40D3C"/>
    <w:rsid w:val="00A40DDB"/>
    <w:rsid w:val="00A411DE"/>
    <w:rsid w:val="00A41DA6"/>
    <w:rsid w:val="00A42EA8"/>
    <w:rsid w:val="00A442AC"/>
    <w:rsid w:val="00A46626"/>
    <w:rsid w:val="00A46AD9"/>
    <w:rsid w:val="00A472C5"/>
    <w:rsid w:val="00A4749A"/>
    <w:rsid w:val="00A52B84"/>
    <w:rsid w:val="00A62AC6"/>
    <w:rsid w:val="00A62BE8"/>
    <w:rsid w:val="00A67CF5"/>
    <w:rsid w:val="00A71C45"/>
    <w:rsid w:val="00A74FA0"/>
    <w:rsid w:val="00A77B02"/>
    <w:rsid w:val="00A80C87"/>
    <w:rsid w:val="00A81AC5"/>
    <w:rsid w:val="00A8282B"/>
    <w:rsid w:val="00A85B80"/>
    <w:rsid w:val="00A877B1"/>
    <w:rsid w:val="00A87E22"/>
    <w:rsid w:val="00A902A3"/>
    <w:rsid w:val="00A92B10"/>
    <w:rsid w:val="00A94422"/>
    <w:rsid w:val="00A955CC"/>
    <w:rsid w:val="00AA060B"/>
    <w:rsid w:val="00AA3956"/>
    <w:rsid w:val="00AA6DB7"/>
    <w:rsid w:val="00AB2223"/>
    <w:rsid w:val="00AB2704"/>
    <w:rsid w:val="00AB2A46"/>
    <w:rsid w:val="00AB4E48"/>
    <w:rsid w:val="00AB5613"/>
    <w:rsid w:val="00AC041C"/>
    <w:rsid w:val="00AC0F7C"/>
    <w:rsid w:val="00AC1526"/>
    <w:rsid w:val="00AC28C1"/>
    <w:rsid w:val="00AC3607"/>
    <w:rsid w:val="00AC5728"/>
    <w:rsid w:val="00AC7637"/>
    <w:rsid w:val="00AD37CB"/>
    <w:rsid w:val="00AD4371"/>
    <w:rsid w:val="00AD6DF6"/>
    <w:rsid w:val="00AE34C7"/>
    <w:rsid w:val="00AE41E8"/>
    <w:rsid w:val="00AE4BCC"/>
    <w:rsid w:val="00AE5DEC"/>
    <w:rsid w:val="00AE6E12"/>
    <w:rsid w:val="00AE710F"/>
    <w:rsid w:val="00AE716B"/>
    <w:rsid w:val="00AE78A6"/>
    <w:rsid w:val="00AF0CEF"/>
    <w:rsid w:val="00AF4E9C"/>
    <w:rsid w:val="00AF5CBC"/>
    <w:rsid w:val="00B01A31"/>
    <w:rsid w:val="00B03008"/>
    <w:rsid w:val="00B03370"/>
    <w:rsid w:val="00B035FD"/>
    <w:rsid w:val="00B0515B"/>
    <w:rsid w:val="00B130F1"/>
    <w:rsid w:val="00B16E0E"/>
    <w:rsid w:val="00B17A2F"/>
    <w:rsid w:val="00B202DD"/>
    <w:rsid w:val="00B2035F"/>
    <w:rsid w:val="00B2137E"/>
    <w:rsid w:val="00B2328A"/>
    <w:rsid w:val="00B23C14"/>
    <w:rsid w:val="00B2513D"/>
    <w:rsid w:val="00B25AEF"/>
    <w:rsid w:val="00B2623B"/>
    <w:rsid w:val="00B27CAF"/>
    <w:rsid w:val="00B30598"/>
    <w:rsid w:val="00B306EA"/>
    <w:rsid w:val="00B31778"/>
    <w:rsid w:val="00B32713"/>
    <w:rsid w:val="00B32A84"/>
    <w:rsid w:val="00B32D5B"/>
    <w:rsid w:val="00B34032"/>
    <w:rsid w:val="00B426DC"/>
    <w:rsid w:val="00B46263"/>
    <w:rsid w:val="00B541DE"/>
    <w:rsid w:val="00B548DD"/>
    <w:rsid w:val="00B54C95"/>
    <w:rsid w:val="00B7102C"/>
    <w:rsid w:val="00B710C7"/>
    <w:rsid w:val="00B71759"/>
    <w:rsid w:val="00B72D6D"/>
    <w:rsid w:val="00B73F26"/>
    <w:rsid w:val="00B74176"/>
    <w:rsid w:val="00B86028"/>
    <w:rsid w:val="00B87D26"/>
    <w:rsid w:val="00B90AE4"/>
    <w:rsid w:val="00B951BC"/>
    <w:rsid w:val="00B9643E"/>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429D"/>
    <w:rsid w:val="00BE4F3F"/>
    <w:rsid w:val="00BE5B3F"/>
    <w:rsid w:val="00BF05C9"/>
    <w:rsid w:val="00BF1528"/>
    <w:rsid w:val="00BF193B"/>
    <w:rsid w:val="00BF2010"/>
    <w:rsid w:val="00BF449E"/>
    <w:rsid w:val="00BF6143"/>
    <w:rsid w:val="00C003AF"/>
    <w:rsid w:val="00C06548"/>
    <w:rsid w:val="00C10019"/>
    <w:rsid w:val="00C1093C"/>
    <w:rsid w:val="00C109B5"/>
    <w:rsid w:val="00C10A81"/>
    <w:rsid w:val="00C10EC0"/>
    <w:rsid w:val="00C12E7C"/>
    <w:rsid w:val="00C12EAA"/>
    <w:rsid w:val="00C16A9C"/>
    <w:rsid w:val="00C21052"/>
    <w:rsid w:val="00C219CA"/>
    <w:rsid w:val="00C23BB2"/>
    <w:rsid w:val="00C244E1"/>
    <w:rsid w:val="00C26A6A"/>
    <w:rsid w:val="00C26D35"/>
    <w:rsid w:val="00C34E78"/>
    <w:rsid w:val="00C3740E"/>
    <w:rsid w:val="00C46614"/>
    <w:rsid w:val="00C50071"/>
    <w:rsid w:val="00C520BA"/>
    <w:rsid w:val="00C5556C"/>
    <w:rsid w:val="00C55B6F"/>
    <w:rsid w:val="00C61D64"/>
    <w:rsid w:val="00C63760"/>
    <w:rsid w:val="00C70D32"/>
    <w:rsid w:val="00C70EBC"/>
    <w:rsid w:val="00C72EF4"/>
    <w:rsid w:val="00C740B5"/>
    <w:rsid w:val="00C7600A"/>
    <w:rsid w:val="00C76BFC"/>
    <w:rsid w:val="00C77DA5"/>
    <w:rsid w:val="00C80A21"/>
    <w:rsid w:val="00C83FDF"/>
    <w:rsid w:val="00C8670B"/>
    <w:rsid w:val="00C9033D"/>
    <w:rsid w:val="00C95B4C"/>
    <w:rsid w:val="00C95D97"/>
    <w:rsid w:val="00CA2302"/>
    <w:rsid w:val="00CA7042"/>
    <w:rsid w:val="00CA7298"/>
    <w:rsid w:val="00CB0189"/>
    <w:rsid w:val="00CB2CE6"/>
    <w:rsid w:val="00CB6663"/>
    <w:rsid w:val="00CB674E"/>
    <w:rsid w:val="00CC0F42"/>
    <w:rsid w:val="00CC12B8"/>
    <w:rsid w:val="00CC12EA"/>
    <w:rsid w:val="00CC1801"/>
    <w:rsid w:val="00CC21E1"/>
    <w:rsid w:val="00CC2EDA"/>
    <w:rsid w:val="00CC7420"/>
    <w:rsid w:val="00CD03AD"/>
    <w:rsid w:val="00CD2053"/>
    <w:rsid w:val="00CD337C"/>
    <w:rsid w:val="00CD6F07"/>
    <w:rsid w:val="00CD7BA6"/>
    <w:rsid w:val="00CE293D"/>
    <w:rsid w:val="00CE2F7D"/>
    <w:rsid w:val="00CF0CC1"/>
    <w:rsid w:val="00CF348D"/>
    <w:rsid w:val="00CF4647"/>
    <w:rsid w:val="00CF583F"/>
    <w:rsid w:val="00CF699D"/>
    <w:rsid w:val="00CF6FA6"/>
    <w:rsid w:val="00D01635"/>
    <w:rsid w:val="00D0422A"/>
    <w:rsid w:val="00D0486F"/>
    <w:rsid w:val="00D0635C"/>
    <w:rsid w:val="00D0746A"/>
    <w:rsid w:val="00D07F57"/>
    <w:rsid w:val="00D12404"/>
    <w:rsid w:val="00D1485D"/>
    <w:rsid w:val="00D20C28"/>
    <w:rsid w:val="00D21F1D"/>
    <w:rsid w:val="00D25847"/>
    <w:rsid w:val="00D27220"/>
    <w:rsid w:val="00D27704"/>
    <w:rsid w:val="00D301C6"/>
    <w:rsid w:val="00D3213B"/>
    <w:rsid w:val="00D32D5A"/>
    <w:rsid w:val="00D36D3A"/>
    <w:rsid w:val="00D41838"/>
    <w:rsid w:val="00D42E9C"/>
    <w:rsid w:val="00D4658E"/>
    <w:rsid w:val="00D5045B"/>
    <w:rsid w:val="00D526C6"/>
    <w:rsid w:val="00D537E1"/>
    <w:rsid w:val="00D57742"/>
    <w:rsid w:val="00D578A4"/>
    <w:rsid w:val="00D63605"/>
    <w:rsid w:val="00D65881"/>
    <w:rsid w:val="00D6600D"/>
    <w:rsid w:val="00D71552"/>
    <w:rsid w:val="00D7610D"/>
    <w:rsid w:val="00D80F47"/>
    <w:rsid w:val="00D811C2"/>
    <w:rsid w:val="00D84FBD"/>
    <w:rsid w:val="00D8549B"/>
    <w:rsid w:val="00D85B94"/>
    <w:rsid w:val="00D8709F"/>
    <w:rsid w:val="00D87F37"/>
    <w:rsid w:val="00D92151"/>
    <w:rsid w:val="00D928A7"/>
    <w:rsid w:val="00D93450"/>
    <w:rsid w:val="00D94489"/>
    <w:rsid w:val="00D95894"/>
    <w:rsid w:val="00D96B2E"/>
    <w:rsid w:val="00D97AF4"/>
    <w:rsid w:val="00DA2A2D"/>
    <w:rsid w:val="00DA32D4"/>
    <w:rsid w:val="00DA4527"/>
    <w:rsid w:val="00DA5A1D"/>
    <w:rsid w:val="00DA7FC2"/>
    <w:rsid w:val="00DB4669"/>
    <w:rsid w:val="00DB47CF"/>
    <w:rsid w:val="00DB4915"/>
    <w:rsid w:val="00DB4E3D"/>
    <w:rsid w:val="00DB6043"/>
    <w:rsid w:val="00DC1822"/>
    <w:rsid w:val="00DC6EF6"/>
    <w:rsid w:val="00DC7AB9"/>
    <w:rsid w:val="00DD0431"/>
    <w:rsid w:val="00DE0F64"/>
    <w:rsid w:val="00DE2FC5"/>
    <w:rsid w:val="00DE694D"/>
    <w:rsid w:val="00DF181D"/>
    <w:rsid w:val="00DF3586"/>
    <w:rsid w:val="00DF66A6"/>
    <w:rsid w:val="00DF76B3"/>
    <w:rsid w:val="00E0392B"/>
    <w:rsid w:val="00E0723E"/>
    <w:rsid w:val="00E07576"/>
    <w:rsid w:val="00E1392B"/>
    <w:rsid w:val="00E1723A"/>
    <w:rsid w:val="00E208BE"/>
    <w:rsid w:val="00E226F1"/>
    <w:rsid w:val="00E276E6"/>
    <w:rsid w:val="00E312A7"/>
    <w:rsid w:val="00E36DEC"/>
    <w:rsid w:val="00E41C75"/>
    <w:rsid w:val="00E4212F"/>
    <w:rsid w:val="00E43951"/>
    <w:rsid w:val="00E43C17"/>
    <w:rsid w:val="00E4460F"/>
    <w:rsid w:val="00E457D9"/>
    <w:rsid w:val="00E47727"/>
    <w:rsid w:val="00E50259"/>
    <w:rsid w:val="00E51B2C"/>
    <w:rsid w:val="00E52E31"/>
    <w:rsid w:val="00E54C54"/>
    <w:rsid w:val="00E55005"/>
    <w:rsid w:val="00E57562"/>
    <w:rsid w:val="00E621BC"/>
    <w:rsid w:val="00E6365A"/>
    <w:rsid w:val="00E642D5"/>
    <w:rsid w:val="00E65C8F"/>
    <w:rsid w:val="00E6738B"/>
    <w:rsid w:val="00E6795B"/>
    <w:rsid w:val="00E7020B"/>
    <w:rsid w:val="00E71A43"/>
    <w:rsid w:val="00E72B53"/>
    <w:rsid w:val="00E731C8"/>
    <w:rsid w:val="00E737AF"/>
    <w:rsid w:val="00E75134"/>
    <w:rsid w:val="00E75AF4"/>
    <w:rsid w:val="00E811FF"/>
    <w:rsid w:val="00E81DC8"/>
    <w:rsid w:val="00E83E7B"/>
    <w:rsid w:val="00E86895"/>
    <w:rsid w:val="00E928C8"/>
    <w:rsid w:val="00E93811"/>
    <w:rsid w:val="00E95AB4"/>
    <w:rsid w:val="00E96449"/>
    <w:rsid w:val="00E96C8C"/>
    <w:rsid w:val="00EA1061"/>
    <w:rsid w:val="00EA2317"/>
    <w:rsid w:val="00EA6BD5"/>
    <w:rsid w:val="00EA7D87"/>
    <w:rsid w:val="00EB1719"/>
    <w:rsid w:val="00EB3559"/>
    <w:rsid w:val="00EB3824"/>
    <w:rsid w:val="00EB7241"/>
    <w:rsid w:val="00EC05A2"/>
    <w:rsid w:val="00EC32B1"/>
    <w:rsid w:val="00EC659A"/>
    <w:rsid w:val="00EC767B"/>
    <w:rsid w:val="00ED0DDE"/>
    <w:rsid w:val="00ED15C8"/>
    <w:rsid w:val="00ED17CB"/>
    <w:rsid w:val="00ED2DE1"/>
    <w:rsid w:val="00ED45D3"/>
    <w:rsid w:val="00EE15E0"/>
    <w:rsid w:val="00EE2682"/>
    <w:rsid w:val="00EE4A14"/>
    <w:rsid w:val="00EE5DF0"/>
    <w:rsid w:val="00EF4097"/>
    <w:rsid w:val="00EF5320"/>
    <w:rsid w:val="00F00F54"/>
    <w:rsid w:val="00F02C19"/>
    <w:rsid w:val="00F02DE0"/>
    <w:rsid w:val="00F07A77"/>
    <w:rsid w:val="00F1152E"/>
    <w:rsid w:val="00F148E2"/>
    <w:rsid w:val="00F15D08"/>
    <w:rsid w:val="00F17C16"/>
    <w:rsid w:val="00F270E8"/>
    <w:rsid w:val="00F41DCD"/>
    <w:rsid w:val="00F44107"/>
    <w:rsid w:val="00F50AA1"/>
    <w:rsid w:val="00F50E33"/>
    <w:rsid w:val="00F5141C"/>
    <w:rsid w:val="00F51E02"/>
    <w:rsid w:val="00F530A0"/>
    <w:rsid w:val="00F53F05"/>
    <w:rsid w:val="00F562AA"/>
    <w:rsid w:val="00F56B36"/>
    <w:rsid w:val="00F609A0"/>
    <w:rsid w:val="00F61DBC"/>
    <w:rsid w:val="00F649D4"/>
    <w:rsid w:val="00F65F7B"/>
    <w:rsid w:val="00F6639A"/>
    <w:rsid w:val="00F66BFD"/>
    <w:rsid w:val="00F67784"/>
    <w:rsid w:val="00F7077C"/>
    <w:rsid w:val="00F71D0C"/>
    <w:rsid w:val="00F814EF"/>
    <w:rsid w:val="00F8219F"/>
    <w:rsid w:val="00F8269B"/>
    <w:rsid w:val="00F82A9A"/>
    <w:rsid w:val="00F83704"/>
    <w:rsid w:val="00F93D79"/>
    <w:rsid w:val="00F95A22"/>
    <w:rsid w:val="00F96706"/>
    <w:rsid w:val="00FA028D"/>
    <w:rsid w:val="00FA0B9E"/>
    <w:rsid w:val="00FA499E"/>
    <w:rsid w:val="00FA5586"/>
    <w:rsid w:val="00FA7093"/>
    <w:rsid w:val="00FB20AF"/>
    <w:rsid w:val="00FB4D06"/>
    <w:rsid w:val="00FB5682"/>
    <w:rsid w:val="00FB7A0F"/>
    <w:rsid w:val="00FB7C77"/>
    <w:rsid w:val="00FD0A86"/>
    <w:rsid w:val="00FD2DE6"/>
    <w:rsid w:val="00FD385C"/>
    <w:rsid w:val="00FD4A10"/>
    <w:rsid w:val="00FD65E7"/>
    <w:rsid w:val="00FE0B0E"/>
    <w:rsid w:val="00FE4721"/>
    <w:rsid w:val="00FE4C21"/>
    <w:rsid w:val="00FE6DD7"/>
    <w:rsid w:val="00FF05BB"/>
    <w:rsid w:val="00FF231A"/>
    <w:rsid w:val="00FF2A00"/>
    <w:rsid w:val="00FF30A9"/>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52"/>
    <w:rPr>
      <w:rFonts w:ascii="Times New Roman" w:eastAsia="Times New Roman" w:hAnsi="Times New Roman" w:cs="Times New Roman"/>
      <w:sz w:val="24"/>
      <w:szCs w:val="24"/>
    </w:rPr>
  </w:style>
  <w:style w:type="paragraph" w:styleId="Heading2">
    <w:name w:val="heading 2"/>
    <w:basedOn w:val="Normal"/>
    <w:next w:val="Normal"/>
    <w:link w:val="Heading2Char"/>
    <w:uiPriority w:val="9"/>
    <w:qFormat/>
    <w:rsid w:val="00421D9C"/>
    <w:pPr>
      <w:keepNext/>
      <w:jc w:val="center"/>
      <w:outlineLvl w:val="1"/>
    </w:pPr>
    <w:rPr>
      <w:b/>
      <w:bCs/>
      <w:lang w:eastAsia="x-none"/>
    </w:rPr>
  </w:style>
  <w:style w:type="paragraph" w:styleId="Heading3">
    <w:name w:val="heading 3"/>
    <w:basedOn w:val="Normal"/>
    <w:next w:val="Normal"/>
    <w:link w:val="Heading3Char"/>
    <w:uiPriority w:val="9"/>
    <w:qFormat/>
    <w:rsid w:val="00421D9C"/>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nhideWhenUsed/>
    <w:rsid w:val="00D94489"/>
    <w:pPr>
      <w:spacing w:before="100" w:beforeAutospacing="1" w:after="100" w:afterAutospacing="1"/>
    </w:p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jc w:val="both"/>
    </w:pPr>
    <w:rPr>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styleId="Strong">
    <w:name w:val="Strong"/>
    <w:basedOn w:val="DefaultParagraphFont"/>
    <w:uiPriority w:val="22"/>
    <w:qFormat/>
    <w:rsid w:val="007169BC"/>
    <w:rPr>
      <w:b/>
      <w:bCs/>
    </w:rPr>
  </w:style>
  <w:style w:type="paragraph" w:customStyle="1" w:styleId="font-claude-response-body">
    <w:name w:val="font-claude-response-body"/>
    <w:basedOn w:val="Normal"/>
    <w:rsid w:val="00421D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9D8FB9A1-3FEE-438B-8ADF-8672C6ABEBA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3141</Words>
  <Characters>17907</Characters>
  <Application>Microsoft Office Word</Application>
  <DocSecurity>4</DocSecurity>
  <Lines>149</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2026-06-22T18:17:00Z</dcterms:created>
  <dcterms:modified xsi:type="dcterms:W3CDTF">2026-06-22T18:17:00Z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