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6B6B87" w:rsidRDefault="0038510E">
      <w:pPr>
        <w:tabs>
          <w:tab w:val="center" w:pos="4680"/>
        </w:tabs>
        <w:rPr>
          <w:rFonts w:ascii="Book Antiqua" w:eastAsia="Book Antiqua" w:hAnsi="Book Antiqua" w:cs="Book Antiqua"/>
          <w:color w:val="000000" w:themeColor="text1"/>
          <w:spacing w:val="12"/>
          <w:sz w:val="28"/>
          <w:szCs w:val="28"/>
        </w:rPr>
      </w:pPr>
      <w:r w:rsidRPr="001711E6">
        <w:rPr>
          <w:rFonts w:ascii="Book Antiqua" w:eastAsia="Book Antiqua" w:hAnsi="Book Antiqua" w:cs="Book Antiqua"/>
          <w:color w:val="000000" w:themeColor="text1"/>
          <w:sz w:val="28"/>
          <w:szCs w:val="28"/>
        </w:rPr>
        <w:tab/>
      </w:r>
      <w:r w:rsidR="00B45797" w:rsidRPr="006B6B87">
        <w:rPr>
          <w:rFonts w:ascii="Book Antiqua" w:eastAsia="Book Antiqua" w:hAnsi="Book Antiqua" w:cs="Book Antiqua"/>
          <w:color w:val="000000" w:themeColor="text1"/>
          <w:spacing w:val="12"/>
          <w:sz w:val="28"/>
          <w:szCs w:val="28"/>
        </w:rPr>
        <w:t>GOBIERNO</w:t>
      </w:r>
      <w:r w:rsidRPr="006B6B87">
        <w:rPr>
          <w:rFonts w:ascii="Book Antiqua" w:eastAsia="Book Antiqua" w:hAnsi="Book Antiqua" w:cs="Book Antiqua"/>
          <w:color w:val="000000" w:themeColor="text1"/>
          <w:spacing w:val="12"/>
          <w:sz w:val="28"/>
          <w:szCs w:val="28"/>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rPr>
      </w:pPr>
    </w:p>
    <w:p w14:paraId="026B7A4E" w14:textId="7D27361B" w:rsidR="00DF7D86" w:rsidRPr="001711E6" w:rsidRDefault="00B45797">
      <w:pPr>
        <w:tabs>
          <w:tab w:val="left" w:pos="720"/>
          <w:tab w:val="left" w:pos="7560"/>
          <w:tab w:val="left" w:pos="8100"/>
        </w:tabs>
        <w:rPr>
          <w:rFonts w:ascii="Book Antiqua" w:eastAsia="Book Antiqua" w:hAnsi="Book Antiqua" w:cs="Book Antiqua"/>
          <w:color w:val="000000" w:themeColor="text1"/>
        </w:rPr>
      </w:pPr>
      <w:r w:rsidRPr="001711E6">
        <w:rPr>
          <w:rFonts w:ascii="Book Antiqua" w:eastAsia="Book Antiqua" w:hAnsi="Book Antiqua" w:cs="Book Antiqua"/>
          <w:color w:val="000000" w:themeColor="text1"/>
        </w:rPr>
        <w:t>20</w:t>
      </w:r>
      <w:r w:rsidRPr="001711E6">
        <w:rPr>
          <w:rFonts w:ascii="Book Antiqua" w:eastAsia="Book Antiqua" w:hAnsi="Book Antiqua" w:cs="Book Antiqua"/>
          <w:color w:val="000000" w:themeColor="text1"/>
          <w:vertAlign w:val="superscript"/>
        </w:rPr>
        <w:t>m</w:t>
      </w:r>
      <w:r w:rsidR="0038510E" w:rsidRPr="001711E6">
        <w:rPr>
          <w:rFonts w:ascii="Book Antiqua" w:eastAsia="Book Antiqua" w:hAnsi="Book Antiqua" w:cs="Book Antiqua"/>
          <w:color w:val="000000" w:themeColor="text1"/>
          <w:vertAlign w:val="superscript"/>
        </w:rPr>
        <w:t>a</w:t>
      </w:r>
      <w:r w:rsidR="00C54AD6" w:rsidRPr="001711E6">
        <w:rPr>
          <w:rFonts w:ascii="Book Antiqua" w:eastAsia="Book Antiqua" w:hAnsi="Book Antiqua" w:cs="Book Antiqua"/>
          <w:color w:val="000000" w:themeColor="text1"/>
        </w:rPr>
        <w:t xml:space="preserve"> </w:t>
      </w:r>
      <w:r w:rsidR="00C54AD6" w:rsidRPr="001711E6">
        <w:rPr>
          <w:rFonts w:ascii="Book Antiqua" w:eastAsia="Book Antiqua" w:hAnsi="Book Antiqua" w:cs="Book Antiqua"/>
          <w:color w:val="000000" w:themeColor="text1"/>
        </w:rPr>
        <w:tab/>
        <w:t>Asamblea</w:t>
      </w:r>
      <w:r w:rsidR="00C54AD6" w:rsidRPr="001711E6">
        <w:rPr>
          <w:rFonts w:ascii="Book Antiqua" w:eastAsia="Book Antiqua" w:hAnsi="Book Antiqua" w:cs="Book Antiqua"/>
          <w:color w:val="000000" w:themeColor="text1"/>
        </w:rPr>
        <w:tab/>
      </w:r>
      <w:r w:rsidR="00C919BB">
        <w:rPr>
          <w:rFonts w:ascii="Book Antiqua" w:eastAsia="Book Antiqua" w:hAnsi="Book Antiqua" w:cs="Book Antiqua"/>
          <w:color w:val="000000" w:themeColor="text1"/>
        </w:rPr>
        <w:t>3</w:t>
      </w:r>
      <w:r w:rsidR="00C919BB">
        <w:rPr>
          <w:rFonts w:ascii="Book Antiqua" w:eastAsia="Book Antiqua" w:hAnsi="Book Antiqua" w:cs="Book Antiqua"/>
          <w:color w:val="000000" w:themeColor="text1"/>
          <w:vertAlign w:val="superscript"/>
        </w:rPr>
        <w:t>ra</w:t>
      </w:r>
      <w:r w:rsidR="0038510E" w:rsidRPr="001711E6">
        <w:rPr>
          <w:rFonts w:ascii="Book Antiqua" w:eastAsia="Book Antiqua" w:hAnsi="Book Antiqua" w:cs="Book Antiqua"/>
          <w:color w:val="000000" w:themeColor="text1"/>
        </w:rPr>
        <w:t xml:space="preserve"> </w:t>
      </w:r>
      <w:r w:rsidR="0038510E" w:rsidRPr="001711E6">
        <w:rPr>
          <w:rFonts w:ascii="Book Antiqua" w:eastAsia="Book Antiqua" w:hAnsi="Book Antiqua" w:cs="Book Antiqua"/>
          <w:color w:val="000000" w:themeColor="text1"/>
        </w:rPr>
        <w:tab/>
        <w:t>Sesión</w:t>
      </w:r>
    </w:p>
    <w:p w14:paraId="703FA46E" w14:textId="77777777"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rPr>
      </w:pPr>
      <w:r w:rsidRPr="001711E6">
        <w:rPr>
          <w:rFonts w:ascii="Book Antiqua" w:eastAsia="Book Antiqua" w:hAnsi="Book Antiqua" w:cs="Book Antiqua"/>
          <w:color w:val="000000" w:themeColor="text1"/>
        </w:rPr>
        <w:tab/>
        <w:t>Legislativa</w:t>
      </w:r>
      <w:r w:rsidRPr="001711E6">
        <w:rPr>
          <w:rFonts w:ascii="Book Antiqua" w:eastAsia="Book Antiqua" w:hAnsi="Book Antiqua" w:cs="Book Antiqua"/>
          <w:color w:val="000000" w:themeColor="text1"/>
        </w:rPr>
        <w:tab/>
      </w:r>
      <w:r w:rsidRPr="001711E6">
        <w:rPr>
          <w:rFonts w:ascii="Book Antiqua" w:eastAsia="Book Antiqua" w:hAnsi="Book Antiqua" w:cs="Book Antiqua"/>
          <w:color w:val="000000" w:themeColor="text1"/>
        </w:rPr>
        <w:tab/>
      </w:r>
      <w:r w:rsidRPr="001711E6">
        <w:rPr>
          <w:rFonts w:ascii="Book Antiqua" w:eastAsia="Book Antiqua" w:hAnsi="Book Antiqua" w:cs="Book Antiqua"/>
          <w:color w:val="000000" w:themeColor="text1"/>
        </w:rPr>
        <w:tab/>
        <w:t>Ordinaria</w:t>
      </w:r>
    </w:p>
    <w:p w14:paraId="5493F33C" w14:textId="77777777" w:rsidR="00DF7D86" w:rsidRPr="001711E6" w:rsidRDefault="00DF7D86">
      <w:pPr>
        <w:spacing w:line="360" w:lineRule="auto"/>
        <w:jc w:val="center"/>
        <w:rPr>
          <w:rFonts w:ascii="Book Antiqua" w:eastAsia="Book Antiqua" w:hAnsi="Book Antiqua" w:cs="Book Antiqua"/>
          <w:b/>
          <w:color w:val="000000" w:themeColor="text1"/>
          <w:sz w:val="36"/>
          <w:szCs w:val="36"/>
        </w:rPr>
      </w:pPr>
    </w:p>
    <w:p w14:paraId="4AE730EB" w14:textId="77777777" w:rsidR="00DF7D86" w:rsidRPr="00251481" w:rsidRDefault="0038510E">
      <w:pPr>
        <w:spacing w:line="360" w:lineRule="auto"/>
        <w:jc w:val="center"/>
        <w:rPr>
          <w:rFonts w:ascii="Book Antiqua" w:eastAsia="Book Antiqua" w:hAnsi="Book Antiqua" w:cs="Book Antiqua"/>
          <w:b/>
          <w:color w:val="000000" w:themeColor="text1"/>
          <w:spacing w:val="12"/>
          <w:sz w:val="36"/>
          <w:szCs w:val="36"/>
        </w:rPr>
      </w:pPr>
      <w:r w:rsidRPr="00251481">
        <w:rPr>
          <w:rFonts w:ascii="Book Antiqua" w:eastAsia="Book Antiqua" w:hAnsi="Book Antiqua" w:cs="Book Antiqua"/>
          <w:b/>
          <w:color w:val="000000" w:themeColor="text1"/>
          <w:spacing w:val="12"/>
          <w:sz w:val="36"/>
          <w:szCs w:val="36"/>
        </w:rPr>
        <w:t>CÁMARA DE REPRESENTANTES</w:t>
      </w:r>
    </w:p>
    <w:p w14:paraId="224C8555" w14:textId="24957697" w:rsidR="00DF7D86" w:rsidRDefault="00611979">
      <w:pPr>
        <w:spacing w:line="360" w:lineRule="auto"/>
        <w:jc w:val="center"/>
        <w:rPr>
          <w:rFonts w:ascii="Book Antiqua" w:eastAsia="Book Antiqua" w:hAnsi="Book Antiqua" w:cs="Book Antiqua"/>
          <w:b/>
          <w:color w:val="000000" w:themeColor="text1"/>
          <w:sz w:val="52"/>
          <w:szCs w:val="52"/>
        </w:rPr>
      </w:pPr>
      <w:r w:rsidRPr="001711E6">
        <w:rPr>
          <w:rFonts w:ascii="Book Antiqua" w:eastAsia="Book Antiqua" w:hAnsi="Book Antiqua" w:cs="Book Antiqua"/>
          <w:b/>
          <w:color w:val="000000" w:themeColor="text1"/>
          <w:sz w:val="52"/>
          <w:szCs w:val="52"/>
        </w:rPr>
        <w:t xml:space="preserve">P. de la C. </w:t>
      </w:r>
      <w:r w:rsidR="00CB055B">
        <w:rPr>
          <w:rFonts w:ascii="Book Antiqua" w:eastAsia="Book Antiqua" w:hAnsi="Book Antiqua" w:cs="Book Antiqua"/>
          <w:b/>
          <w:color w:val="000000" w:themeColor="text1"/>
          <w:sz w:val="52"/>
          <w:szCs w:val="52"/>
        </w:rPr>
        <w:t>1138</w:t>
      </w:r>
    </w:p>
    <w:p w14:paraId="6CA3DF2C" w14:textId="77777777" w:rsidR="00DF7D86" w:rsidRPr="00251481" w:rsidRDefault="0038510E" w:rsidP="00FC1C6B">
      <w:pPr>
        <w:spacing w:after="160" w:line="360" w:lineRule="auto"/>
        <w:jc w:val="center"/>
        <w:rPr>
          <w:rFonts w:ascii="Book Antiqua" w:eastAsia="Book Antiqua" w:hAnsi="Book Antiqua" w:cs="Book Antiqua"/>
          <w:b/>
          <w:color w:val="000000" w:themeColor="text1"/>
          <w:spacing w:val="12"/>
          <w:sz w:val="28"/>
          <w:szCs w:val="28"/>
        </w:rPr>
      </w:pPr>
      <w:r w:rsidRPr="00251481">
        <w:rPr>
          <w:rFonts w:ascii="Book Antiqua" w:eastAsia="Book Antiqua" w:hAnsi="Book Antiqua" w:cs="Book Antiqua"/>
          <w:b/>
          <w:color w:val="000000" w:themeColor="text1"/>
          <w:spacing w:val="12"/>
          <w:sz w:val="28"/>
          <w:szCs w:val="28"/>
        </w:rPr>
        <w:t>INFORME POSITIVO</w:t>
      </w:r>
    </w:p>
    <w:p w14:paraId="65B59E42" w14:textId="144DE000" w:rsidR="00DF7D86" w:rsidRDefault="00E73E1C" w:rsidP="00120C7F">
      <w:pPr>
        <w:spacing w:after="160" w:line="360" w:lineRule="auto"/>
        <w:jc w:val="center"/>
        <w:rPr>
          <w:rFonts w:ascii="Book Antiqua" w:eastAsia="Book Antiqua" w:hAnsi="Book Antiqua" w:cs="Book Antiqua"/>
          <w:color w:val="000000" w:themeColor="text1"/>
        </w:rPr>
      </w:pPr>
      <w:r>
        <w:rPr>
          <w:rFonts w:ascii="Book Antiqua" w:eastAsia="Book Antiqua" w:hAnsi="Book Antiqua" w:cs="Book Antiqua"/>
          <w:color w:val="000000" w:themeColor="text1"/>
        </w:rPr>
        <w:t xml:space="preserve">22 </w:t>
      </w:r>
      <w:r w:rsidR="0038510E" w:rsidRPr="001711E6">
        <w:rPr>
          <w:rFonts w:ascii="Book Antiqua" w:eastAsia="Book Antiqua" w:hAnsi="Book Antiqua" w:cs="Book Antiqua"/>
          <w:color w:val="000000" w:themeColor="text1"/>
        </w:rPr>
        <w:t xml:space="preserve">de </w:t>
      </w:r>
      <w:r w:rsidR="0087688A">
        <w:rPr>
          <w:rFonts w:ascii="Book Antiqua" w:eastAsia="Book Antiqua" w:hAnsi="Book Antiqua" w:cs="Book Antiqua"/>
          <w:color w:val="000000" w:themeColor="text1"/>
        </w:rPr>
        <w:t>junio</w:t>
      </w:r>
      <w:r w:rsidR="00C54AD6" w:rsidRPr="001711E6">
        <w:rPr>
          <w:rFonts w:ascii="Book Antiqua" w:eastAsia="Book Antiqua" w:hAnsi="Book Antiqua" w:cs="Book Antiqua"/>
          <w:color w:val="000000" w:themeColor="text1"/>
        </w:rPr>
        <w:t xml:space="preserve"> de 202</w:t>
      </w:r>
      <w:r w:rsidR="0087688A">
        <w:rPr>
          <w:rFonts w:ascii="Book Antiqua" w:eastAsia="Book Antiqua" w:hAnsi="Book Antiqua" w:cs="Book Antiqua"/>
          <w:color w:val="000000" w:themeColor="text1"/>
        </w:rPr>
        <w:t>6</w:t>
      </w:r>
    </w:p>
    <w:p w14:paraId="2714CB15" w14:textId="77777777" w:rsidR="00DF7D86" w:rsidRPr="00251481" w:rsidRDefault="0038510E" w:rsidP="002A065A">
      <w:pPr>
        <w:spacing w:after="240"/>
        <w:jc w:val="both"/>
        <w:rPr>
          <w:rFonts w:ascii="Book Antiqua" w:eastAsia="Book Antiqua" w:hAnsi="Book Antiqua" w:cs="Book Antiqua"/>
          <w:b/>
          <w:color w:val="000000" w:themeColor="text1"/>
          <w:spacing w:val="12"/>
        </w:rPr>
      </w:pPr>
      <w:r w:rsidRPr="00251481">
        <w:rPr>
          <w:rFonts w:ascii="Book Antiqua" w:eastAsia="Book Antiqua" w:hAnsi="Book Antiqua" w:cs="Book Antiqua"/>
          <w:b/>
          <w:color w:val="000000" w:themeColor="text1"/>
          <w:spacing w:val="12"/>
        </w:rPr>
        <w:t>A LA CÁMARA DE REPRESENTANTES DE PUERTO RICO</w:t>
      </w:r>
    </w:p>
    <w:p w14:paraId="48CACF04" w14:textId="50EA3808" w:rsidR="00DF7D86" w:rsidRPr="005A6966" w:rsidRDefault="00436471" w:rsidP="004F3EF4">
      <w:pPr>
        <w:spacing w:after="360" w:line="288" w:lineRule="auto"/>
        <w:ind w:firstLine="720"/>
        <w:jc w:val="both"/>
        <w:rPr>
          <w:rFonts w:ascii="Book Antiqua" w:eastAsia="Book Antiqua" w:hAnsi="Book Antiqua" w:cs="Book Antiqua"/>
          <w:color w:val="000000" w:themeColor="text1"/>
          <w:szCs w:val="24"/>
        </w:rPr>
      </w:pPr>
      <w:r w:rsidRPr="005A6966">
        <w:rPr>
          <w:rFonts w:ascii="Book Antiqua" w:eastAsia="Book Antiqua" w:hAnsi="Book Antiqua" w:cs="Book Antiqua"/>
          <w:color w:val="000000" w:themeColor="text1"/>
          <w:szCs w:val="24"/>
        </w:rPr>
        <w:t xml:space="preserve">La </w:t>
      </w:r>
      <w:r w:rsidR="0038510E" w:rsidRPr="005A6966">
        <w:rPr>
          <w:rFonts w:ascii="Book Antiqua" w:eastAsia="Book Antiqua" w:hAnsi="Book Antiqua" w:cs="Book Antiqua"/>
          <w:color w:val="000000" w:themeColor="text1"/>
          <w:szCs w:val="24"/>
        </w:rPr>
        <w:t xml:space="preserve">Comisión </w:t>
      </w:r>
      <w:r w:rsidR="00B45797" w:rsidRPr="005A6966">
        <w:rPr>
          <w:rFonts w:ascii="Book Antiqua" w:eastAsia="Book Antiqua" w:hAnsi="Book Antiqua" w:cs="Book Antiqua"/>
          <w:color w:val="000000" w:themeColor="text1"/>
          <w:szCs w:val="24"/>
        </w:rPr>
        <w:t xml:space="preserve">de </w:t>
      </w:r>
      <w:r w:rsidR="00B6485C" w:rsidRPr="005A6966">
        <w:rPr>
          <w:rFonts w:ascii="Book Antiqua" w:eastAsia="Book Antiqua" w:hAnsi="Book Antiqua" w:cs="Book Antiqua"/>
          <w:color w:val="000000" w:themeColor="text1"/>
          <w:szCs w:val="24"/>
        </w:rPr>
        <w:t>Seguridad Pública</w:t>
      </w:r>
      <w:r w:rsidR="001015D5" w:rsidRPr="005A6966">
        <w:rPr>
          <w:rFonts w:ascii="Book Antiqua" w:eastAsia="Book Antiqua" w:hAnsi="Book Antiqua" w:cs="Book Antiqua"/>
          <w:color w:val="000000" w:themeColor="text1"/>
          <w:szCs w:val="24"/>
        </w:rPr>
        <w:t xml:space="preserve"> </w:t>
      </w:r>
      <w:r w:rsidR="0038510E" w:rsidRPr="005A6966">
        <w:rPr>
          <w:rFonts w:ascii="Book Antiqua" w:eastAsia="Book Antiqua" w:hAnsi="Book Antiqua" w:cs="Book Antiqua"/>
          <w:color w:val="000000" w:themeColor="text1"/>
          <w:szCs w:val="24"/>
        </w:rPr>
        <w:t>de la Cámara de Representantes, previo estudio y c</w:t>
      </w:r>
      <w:r w:rsidR="00611979" w:rsidRPr="005A6966">
        <w:rPr>
          <w:rFonts w:ascii="Book Antiqua" w:eastAsia="Book Antiqua" w:hAnsi="Book Antiqua" w:cs="Book Antiqua"/>
          <w:color w:val="000000" w:themeColor="text1"/>
          <w:szCs w:val="24"/>
        </w:rPr>
        <w:t xml:space="preserve">onsideración del P. de la C. </w:t>
      </w:r>
      <w:r w:rsidR="00CB055B">
        <w:rPr>
          <w:rFonts w:ascii="Book Antiqua" w:eastAsia="Book Antiqua" w:hAnsi="Book Antiqua" w:cs="Book Antiqua"/>
          <w:color w:val="000000" w:themeColor="text1"/>
          <w:szCs w:val="24"/>
        </w:rPr>
        <w:t>1138</w:t>
      </w:r>
      <w:r w:rsidR="00900740" w:rsidRPr="005A6966">
        <w:rPr>
          <w:rFonts w:ascii="Book Antiqua" w:eastAsia="Book Antiqua" w:hAnsi="Book Antiqua" w:cs="Book Antiqua"/>
          <w:color w:val="000000" w:themeColor="text1"/>
          <w:szCs w:val="24"/>
        </w:rPr>
        <w:t>,</w:t>
      </w:r>
      <w:r w:rsidR="0038510E" w:rsidRPr="005A6966">
        <w:rPr>
          <w:rFonts w:ascii="Book Antiqua" w:eastAsia="Book Antiqua" w:hAnsi="Book Antiqua" w:cs="Book Antiqua"/>
          <w:color w:val="000000" w:themeColor="text1"/>
          <w:szCs w:val="24"/>
        </w:rPr>
        <w:t xml:space="preserve"> </w:t>
      </w:r>
      <w:r w:rsidR="00D93990" w:rsidRPr="005A6966">
        <w:rPr>
          <w:rFonts w:ascii="Book Antiqua" w:eastAsia="Book Antiqua" w:hAnsi="Book Antiqua" w:cs="Book Antiqua"/>
          <w:color w:val="000000" w:themeColor="text1"/>
          <w:szCs w:val="24"/>
        </w:rPr>
        <w:t>recom</w:t>
      </w:r>
      <w:r w:rsidRPr="005A6966">
        <w:rPr>
          <w:rFonts w:ascii="Book Antiqua" w:eastAsia="Book Antiqua" w:hAnsi="Book Antiqua" w:cs="Book Antiqua"/>
          <w:color w:val="000000" w:themeColor="text1"/>
          <w:szCs w:val="24"/>
        </w:rPr>
        <w:t>i</w:t>
      </w:r>
      <w:r w:rsidR="00D93990" w:rsidRPr="005A6966">
        <w:rPr>
          <w:rFonts w:ascii="Book Antiqua" w:eastAsia="Book Antiqua" w:hAnsi="Book Antiqua" w:cs="Book Antiqua"/>
          <w:color w:val="000000" w:themeColor="text1"/>
          <w:szCs w:val="24"/>
        </w:rPr>
        <w:t xml:space="preserve">enda su </w:t>
      </w:r>
      <w:r w:rsidR="007B257D" w:rsidRPr="005A6966">
        <w:rPr>
          <w:rFonts w:ascii="Book Antiqua" w:eastAsia="Book Antiqua" w:hAnsi="Book Antiqua" w:cs="Book Antiqua"/>
          <w:color w:val="000000" w:themeColor="text1"/>
          <w:szCs w:val="24"/>
        </w:rPr>
        <w:t>aprobación</w:t>
      </w:r>
      <w:r w:rsidR="00021915">
        <w:rPr>
          <w:rFonts w:ascii="Book Antiqua" w:eastAsia="Book Antiqua" w:hAnsi="Book Antiqua" w:cs="Book Antiqua"/>
          <w:color w:val="000000" w:themeColor="text1"/>
          <w:szCs w:val="24"/>
        </w:rPr>
        <w:t>, con las enmiendas introducidas al entirillado electrónico que acompaña este informe.</w:t>
      </w:r>
      <w:r w:rsidR="00B55DDB" w:rsidRPr="005A6966">
        <w:rPr>
          <w:rFonts w:ascii="Book Antiqua" w:eastAsia="Book Antiqua" w:hAnsi="Book Antiqua" w:cs="Book Antiqua"/>
          <w:color w:val="000000" w:themeColor="text1"/>
          <w:szCs w:val="24"/>
        </w:rPr>
        <w:t xml:space="preserve"> </w:t>
      </w:r>
      <w:r w:rsidR="0038510E" w:rsidRPr="005A6966">
        <w:rPr>
          <w:rFonts w:ascii="Book Antiqua" w:eastAsia="Book Antiqua" w:hAnsi="Book Antiqua" w:cs="Book Antiqua"/>
          <w:color w:val="000000" w:themeColor="text1"/>
          <w:szCs w:val="24"/>
        </w:rPr>
        <w:t xml:space="preserve"> </w:t>
      </w:r>
    </w:p>
    <w:p w14:paraId="1C560ACC" w14:textId="691A9A65" w:rsidR="00C54AD6" w:rsidRPr="005A6966" w:rsidRDefault="003B38A4" w:rsidP="002A065A">
      <w:pPr>
        <w:spacing w:after="240"/>
        <w:jc w:val="center"/>
        <w:rPr>
          <w:rFonts w:ascii="Book Antiqua" w:eastAsia="Book Antiqua" w:hAnsi="Book Antiqua" w:cs="Book Antiqua"/>
          <w:color w:val="000000" w:themeColor="text1"/>
          <w:szCs w:val="24"/>
        </w:rPr>
      </w:pPr>
      <w:r w:rsidRPr="005A6966">
        <w:rPr>
          <w:rFonts w:ascii="Book Antiqua" w:eastAsia="Book Antiqua" w:hAnsi="Book Antiqua" w:cs="Book Antiqua"/>
          <w:b/>
          <w:bCs/>
          <w:color w:val="000000" w:themeColor="text1"/>
          <w:spacing w:val="12"/>
          <w:szCs w:val="24"/>
        </w:rPr>
        <w:t>ALCANCE DE LA MEDIDA</w:t>
      </w:r>
    </w:p>
    <w:p w14:paraId="79980CAA" w14:textId="71A944C5" w:rsidR="00DD01DF" w:rsidRDefault="003B38A4" w:rsidP="0071572C">
      <w:pPr>
        <w:spacing w:after="240"/>
        <w:ind w:firstLine="720"/>
        <w:jc w:val="both"/>
        <w:rPr>
          <w:rFonts w:ascii="Book Antiqua" w:eastAsia="Book Antiqua" w:hAnsi="Book Antiqua" w:cs="Book Antiqua"/>
          <w:color w:val="000000" w:themeColor="text1"/>
          <w:szCs w:val="24"/>
        </w:rPr>
      </w:pPr>
      <w:r w:rsidRPr="005A6966">
        <w:rPr>
          <w:rFonts w:ascii="Book Antiqua" w:eastAsia="Book Antiqua" w:hAnsi="Book Antiqua" w:cs="Book Antiqua"/>
          <w:color w:val="000000" w:themeColor="text1"/>
          <w:szCs w:val="24"/>
        </w:rPr>
        <w:t xml:space="preserve">El </w:t>
      </w:r>
      <w:r w:rsidR="00FC1C6B" w:rsidRPr="005A6966">
        <w:rPr>
          <w:rFonts w:ascii="Book Antiqua" w:eastAsia="Book Antiqua" w:hAnsi="Book Antiqua" w:cs="Book Antiqua"/>
          <w:color w:val="000000" w:themeColor="text1"/>
          <w:szCs w:val="24"/>
        </w:rPr>
        <w:t xml:space="preserve">P. de la C. </w:t>
      </w:r>
      <w:r w:rsidR="00CB055B">
        <w:rPr>
          <w:rFonts w:ascii="Book Antiqua" w:eastAsia="Book Antiqua" w:hAnsi="Book Antiqua" w:cs="Book Antiqua"/>
          <w:color w:val="000000" w:themeColor="text1"/>
          <w:szCs w:val="24"/>
        </w:rPr>
        <w:t>1138</w:t>
      </w:r>
      <w:r w:rsidR="008D32D5" w:rsidRPr="005A6966">
        <w:rPr>
          <w:rFonts w:ascii="Book Antiqua" w:eastAsia="Book Antiqua" w:hAnsi="Book Antiqua" w:cs="Book Antiqua"/>
          <w:color w:val="000000" w:themeColor="text1"/>
          <w:szCs w:val="24"/>
        </w:rPr>
        <w:t xml:space="preserve"> </w:t>
      </w:r>
      <w:r w:rsidR="00FD4DBB" w:rsidRPr="005A6966">
        <w:rPr>
          <w:rFonts w:ascii="Book Antiqua" w:eastAsia="Book Antiqua" w:hAnsi="Book Antiqua" w:cs="Book Antiqua"/>
          <w:color w:val="000000" w:themeColor="text1"/>
          <w:szCs w:val="24"/>
        </w:rPr>
        <w:t xml:space="preserve">propone </w:t>
      </w:r>
      <w:r w:rsidR="0095394E" w:rsidRPr="0076587D">
        <w:rPr>
          <w:rFonts w:ascii="Book Antiqua" w:hAnsi="Book Antiqua"/>
          <w:lang w:val="es-ES"/>
        </w:rPr>
        <w:t xml:space="preserve">enmendar </w:t>
      </w:r>
      <w:r w:rsidR="0095394E">
        <w:rPr>
          <w:rFonts w:ascii="Book Antiqua" w:hAnsi="Book Antiqua"/>
          <w:lang w:val="es-ES"/>
        </w:rPr>
        <w:t>el</w:t>
      </w:r>
      <w:r w:rsidR="0095394E" w:rsidRPr="0076587D">
        <w:rPr>
          <w:rFonts w:ascii="Book Antiqua" w:hAnsi="Book Antiqua"/>
          <w:lang w:val="es-ES"/>
        </w:rPr>
        <w:t xml:space="preserve"> Art</w:t>
      </w:r>
      <w:r w:rsidR="0095394E" w:rsidRPr="0076587D">
        <w:rPr>
          <w:rFonts w:ascii="Book Antiqua" w:hAnsi="Book Antiqua"/>
        </w:rPr>
        <w:t>í</w:t>
      </w:r>
      <w:r w:rsidR="0095394E" w:rsidRPr="0076587D">
        <w:rPr>
          <w:rFonts w:ascii="Book Antiqua" w:hAnsi="Book Antiqua"/>
          <w:lang w:val="es-ES"/>
        </w:rPr>
        <w:t>culo 2.02;</w:t>
      </w:r>
      <w:r w:rsidR="0095394E">
        <w:rPr>
          <w:rFonts w:ascii="Book Antiqua" w:hAnsi="Book Antiqua"/>
          <w:lang w:val="es-ES"/>
        </w:rPr>
        <w:t xml:space="preserve"> añadir un nuevo Artículo </w:t>
      </w:r>
      <w:r w:rsidR="0095394E" w:rsidRPr="0076587D">
        <w:rPr>
          <w:rFonts w:ascii="Book Antiqua" w:hAnsi="Book Antiqua"/>
          <w:lang w:val="es-ES"/>
        </w:rPr>
        <w:t xml:space="preserve"> 2.07</w:t>
      </w:r>
      <w:r w:rsidR="0095394E">
        <w:rPr>
          <w:rFonts w:ascii="Book Antiqua" w:hAnsi="Book Antiqua"/>
          <w:lang w:val="es-ES"/>
        </w:rPr>
        <w:t xml:space="preserve"> (a) y reenumerar el actual Artículo 2.07 como 2.07 (b)</w:t>
      </w:r>
      <w:r w:rsidR="0095394E" w:rsidRPr="0076587D">
        <w:rPr>
          <w:rFonts w:ascii="Book Antiqua" w:hAnsi="Book Antiqua"/>
          <w:lang w:val="es-ES"/>
        </w:rPr>
        <w:t>;</w:t>
      </w:r>
      <w:r w:rsidR="0095394E">
        <w:rPr>
          <w:rFonts w:ascii="Book Antiqua" w:hAnsi="Book Antiqua"/>
          <w:lang w:val="es-ES"/>
        </w:rPr>
        <w:t xml:space="preserve"> enmendar los Artículos</w:t>
      </w:r>
      <w:r w:rsidR="0095394E" w:rsidRPr="0076587D">
        <w:rPr>
          <w:rFonts w:ascii="Book Antiqua" w:hAnsi="Book Antiqua"/>
          <w:lang w:val="es-ES"/>
        </w:rPr>
        <w:t xml:space="preserve"> </w:t>
      </w:r>
      <w:r w:rsidR="0095394E" w:rsidRPr="00DF3886">
        <w:rPr>
          <w:rFonts w:ascii="Book Antiqua" w:hAnsi="Book Antiqua"/>
          <w:lang w:val="es-ES"/>
        </w:rPr>
        <w:t>2.08;</w:t>
      </w:r>
      <w:r w:rsidR="0095394E">
        <w:rPr>
          <w:rFonts w:ascii="Book Antiqua" w:hAnsi="Book Antiqua"/>
          <w:lang w:val="es-ES"/>
        </w:rPr>
        <w:t xml:space="preserve"> </w:t>
      </w:r>
      <w:r w:rsidR="0095394E" w:rsidRPr="0076587D">
        <w:rPr>
          <w:rFonts w:ascii="Book Antiqua" w:hAnsi="Book Antiqua"/>
          <w:lang w:val="es-ES"/>
        </w:rPr>
        <w:t xml:space="preserve">2.10; </w:t>
      </w:r>
      <w:r w:rsidR="0095394E" w:rsidRPr="00366540">
        <w:rPr>
          <w:rFonts w:ascii="Book Antiqua" w:hAnsi="Book Antiqua"/>
          <w:lang w:val="es-ES"/>
        </w:rPr>
        <w:t>2.13;</w:t>
      </w:r>
      <w:r w:rsidR="0095394E">
        <w:rPr>
          <w:rFonts w:ascii="Book Antiqua" w:hAnsi="Book Antiqua"/>
          <w:lang w:val="es-ES"/>
        </w:rPr>
        <w:t xml:space="preserve"> 2.14; </w:t>
      </w:r>
      <w:r w:rsidR="0095394E" w:rsidRPr="0076587D">
        <w:rPr>
          <w:rFonts w:ascii="Book Antiqua" w:hAnsi="Book Antiqua"/>
          <w:lang w:val="es-ES"/>
        </w:rPr>
        <w:t>4.01, 4.03 y 7.01 de la Ley 168-2019, según enmendada, a los fines de delimitar el alcance de la licencia de armas permitida para menores de veintiún (21) años;</w:t>
      </w:r>
      <w:r w:rsidR="0095394E" w:rsidRPr="0076587D">
        <w:rPr>
          <w:rFonts w:ascii="Book Antiqua" w:hAnsi="Book Antiqua"/>
        </w:rPr>
        <w:t xml:space="preserve"> </w:t>
      </w:r>
      <w:r w:rsidR="0095394E">
        <w:rPr>
          <w:rFonts w:ascii="Book Antiqua" w:hAnsi="Book Antiqua"/>
        </w:rPr>
        <w:t xml:space="preserve">delimitar instancias en que se verificarán sus antecedentes penales; </w:t>
      </w:r>
      <w:r w:rsidR="0095394E" w:rsidRPr="0076587D">
        <w:rPr>
          <w:rFonts w:ascii="Book Antiqua" w:hAnsi="Book Antiqua"/>
          <w:lang w:val="es-ES"/>
        </w:rPr>
        <w:t xml:space="preserve">atemperar disposiciones sobre reciprocidad; modificar requisitos en cuanto a instructores; </w:t>
      </w:r>
      <w:r w:rsidR="0095394E">
        <w:rPr>
          <w:rFonts w:ascii="Book Antiqua" w:hAnsi="Book Antiqua"/>
          <w:lang w:val="es-ES"/>
        </w:rPr>
        <w:t xml:space="preserve">disponer sobre la devolución de armas de fuego y municiones; </w:t>
      </w:r>
      <w:r w:rsidR="0095394E" w:rsidRPr="0076587D">
        <w:rPr>
          <w:rFonts w:ascii="Book Antiqua" w:hAnsi="Book Antiqua"/>
          <w:lang w:val="es-ES"/>
        </w:rPr>
        <w:t xml:space="preserve">disponer sobre el manejo de armas de personas declaradas desaparecidas; </w:t>
      </w:r>
      <w:r w:rsidR="0095394E">
        <w:rPr>
          <w:rFonts w:ascii="Book Antiqua" w:hAnsi="Book Antiqua"/>
          <w:lang w:val="es-ES"/>
        </w:rPr>
        <w:t xml:space="preserve">incorporar disposiciones sobre motivo fundado; proveer para </w:t>
      </w:r>
      <w:r w:rsidR="0095394E" w:rsidRPr="0076587D">
        <w:rPr>
          <w:rFonts w:ascii="Book Antiqua" w:hAnsi="Book Antiqua"/>
          <w:lang w:val="es-ES"/>
        </w:rPr>
        <w:t xml:space="preserve">inspecciones a armerías; </w:t>
      </w:r>
      <w:r w:rsidR="0095394E">
        <w:rPr>
          <w:rFonts w:ascii="Book Antiqua" w:hAnsi="Book Antiqua"/>
          <w:lang w:val="es-ES"/>
        </w:rPr>
        <w:t xml:space="preserve">aclarar conceptos sobre el negocio de armero y transacciones realizadas fuera del establecimiento; </w:t>
      </w:r>
      <w:r w:rsidR="0095394E" w:rsidRPr="00B703C7">
        <w:rPr>
          <w:rFonts w:ascii="Book Antiqua" w:hAnsi="Book Antiqua"/>
        </w:rPr>
        <w:t xml:space="preserve">autorizar a las armerías a mantener bajo su </w:t>
      </w:r>
      <w:r w:rsidR="0095394E" w:rsidRPr="00DD55A1">
        <w:rPr>
          <w:rFonts w:ascii="Book Antiqua" w:hAnsi="Book Antiqua"/>
        </w:rPr>
        <w:t>custodia armas de fuego que</w:t>
      </w:r>
      <w:r w:rsidR="0095394E">
        <w:rPr>
          <w:rFonts w:ascii="Book Antiqua" w:hAnsi="Book Antiqua"/>
        </w:rPr>
        <w:t xml:space="preserve"> hayan sido ocupadas incidentalmente</w:t>
      </w:r>
      <w:r w:rsidR="0095394E" w:rsidRPr="0076587D">
        <w:rPr>
          <w:rFonts w:ascii="Book Antiqua" w:hAnsi="Book Antiqua"/>
          <w:lang w:val="es-ES"/>
        </w:rPr>
        <w:t>; enmendar la Regla 19 de la Ley Núm. 87 de 26 de junio de 1963, según enmendada, a los fines de</w:t>
      </w:r>
      <w:r w:rsidR="0095394E">
        <w:rPr>
          <w:rFonts w:ascii="Book Antiqua" w:hAnsi="Book Antiqua"/>
          <w:lang w:val="es-ES"/>
        </w:rPr>
        <w:t>,</w:t>
      </w:r>
      <w:r w:rsidR="0095394E" w:rsidRPr="0076587D">
        <w:rPr>
          <w:rFonts w:ascii="Book Antiqua" w:hAnsi="Book Antiqua"/>
          <w:lang w:val="es-ES"/>
        </w:rPr>
        <w:t xml:space="preserve"> ante una determinación de no causa para arresto</w:t>
      </w:r>
      <w:r w:rsidR="0095394E">
        <w:rPr>
          <w:rFonts w:ascii="Book Antiqua" w:hAnsi="Book Antiqua"/>
          <w:lang w:val="es-ES"/>
        </w:rPr>
        <w:t>,</w:t>
      </w:r>
      <w:r w:rsidR="0095394E" w:rsidRPr="0076587D">
        <w:rPr>
          <w:rFonts w:ascii="Book Antiqua" w:hAnsi="Book Antiqua"/>
          <w:lang w:val="es-ES"/>
        </w:rPr>
        <w:t xml:space="preserve"> ordenar la devolución del arma incautada;</w:t>
      </w:r>
      <w:r w:rsidR="0095394E">
        <w:rPr>
          <w:rFonts w:ascii="Book Antiqua" w:hAnsi="Book Antiqua"/>
          <w:lang w:val="es-ES"/>
        </w:rPr>
        <w:t xml:space="preserve"> </w:t>
      </w:r>
      <w:r w:rsidR="0095394E" w:rsidRPr="0095394E">
        <w:rPr>
          <w:rStyle w:val="s2"/>
          <w:rFonts w:ascii="Book Antiqua" w:hAnsi="Book Antiqua"/>
          <w:lang w:val="es-ES"/>
        </w:rPr>
        <w:t>establecer la obligatoriedad de establecer acuerdos colaborativos entre la Policía de Puerto Rico y el Departamento de Recursos Naturales y Ambientales para el acceso a los registros de armas de caza;</w:t>
      </w:r>
      <w:r w:rsidR="0095394E">
        <w:rPr>
          <w:rStyle w:val="s2"/>
          <w:rFonts w:ascii="Book Antiqua" w:hAnsi="Book Antiqua"/>
          <w:lang w:val="es-ES"/>
        </w:rPr>
        <w:t xml:space="preserve"> y para otros fines relacionados</w:t>
      </w:r>
      <w:r w:rsidR="00A2640F" w:rsidRPr="005B0A01">
        <w:rPr>
          <w:rFonts w:ascii="Book Antiqua" w:eastAsia="Book Antiqua" w:hAnsi="Book Antiqua" w:cs="Book Antiqua"/>
          <w:color w:val="000000" w:themeColor="text1"/>
          <w:szCs w:val="24"/>
        </w:rPr>
        <w:t>.</w:t>
      </w:r>
    </w:p>
    <w:p w14:paraId="75E02CE1" w14:textId="77777777" w:rsidR="00AF10DE" w:rsidRPr="005A6966" w:rsidRDefault="00AF10DE" w:rsidP="0071572C">
      <w:pPr>
        <w:spacing w:after="240"/>
        <w:ind w:firstLine="720"/>
        <w:jc w:val="both"/>
        <w:rPr>
          <w:rFonts w:ascii="Book Antiqua" w:eastAsia="Book Antiqua" w:hAnsi="Book Antiqua" w:cs="Book Antiqua"/>
          <w:color w:val="000000" w:themeColor="text1"/>
          <w:szCs w:val="24"/>
        </w:rPr>
      </w:pPr>
    </w:p>
    <w:p w14:paraId="4595A8FA" w14:textId="6DF8B72C" w:rsidR="003B38A4" w:rsidRPr="005A6966" w:rsidRDefault="003B38A4" w:rsidP="0071572C">
      <w:pPr>
        <w:spacing w:after="240"/>
        <w:jc w:val="center"/>
        <w:rPr>
          <w:rFonts w:ascii="Book Antiqua" w:eastAsia="Book Antiqua" w:hAnsi="Book Antiqua" w:cs="Book Antiqua"/>
          <w:b/>
          <w:bCs/>
          <w:color w:val="000000" w:themeColor="text1"/>
          <w:spacing w:val="12"/>
          <w:szCs w:val="24"/>
        </w:rPr>
      </w:pPr>
      <w:r w:rsidRPr="005A6966">
        <w:rPr>
          <w:rFonts w:ascii="Book Antiqua" w:eastAsia="Book Antiqua" w:hAnsi="Book Antiqua" w:cs="Book Antiqua"/>
          <w:b/>
          <w:bCs/>
          <w:color w:val="000000" w:themeColor="text1"/>
          <w:spacing w:val="12"/>
          <w:szCs w:val="24"/>
        </w:rPr>
        <w:lastRenderedPageBreak/>
        <w:t>ANÁLISIS DE LA MEDIDA</w:t>
      </w:r>
    </w:p>
    <w:p w14:paraId="3B3453B7" w14:textId="77777777" w:rsidR="004300A0" w:rsidRDefault="001176A7" w:rsidP="00F216F3">
      <w:pPr>
        <w:spacing w:after="240"/>
        <w:ind w:firstLine="720"/>
        <w:jc w:val="both"/>
        <w:rPr>
          <w:rFonts w:ascii="Book Antiqua" w:hAnsi="Book Antiqua"/>
        </w:rPr>
      </w:pPr>
      <w:r w:rsidRPr="004300A0">
        <w:rPr>
          <w:rFonts w:ascii="Book Antiqua" w:hAnsi="Book Antiqua"/>
        </w:rPr>
        <w:t xml:space="preserve">Para evaluar con rigor técnico el impacto de la medida, esta Comisión solicitó y analizó minuciosamente las posturas de las principales agencias gubernamentales y sectores civiles interesados: </w:t>
      </w:r>
    </w:p>
    <w:p w14:paraId="7966F22C" w14:textId="20C80EBB" w:rsidR="009710A1" w:rsidRPr="00A30B42" w:rsidRDefault="001176A7" w:rsidP="009710A1">
      <w:pPr>
        <w:spacing w:after="240"/>
        <w:jc w:val="both"/>
        <w:rPr>
          <w:rFonts w:ascii="Book Antiqua" w:hAnsi="Book Antiqua"/>
        </w:rPr>
      </w:pPr>
      <w:r w:rsidRPr="00815802">
        <w:rPr>
          <w:rFonts w:ascii="Book Antiqua" w:hAnsi="Book Antiqua"/>
          <w:b/>
          <w:bCs/>
        </w:rPr>
        <w:t>Policía de Puerto Rico (PPR)</w:t>
      </w:r>
      <w:r w:rsidRPr="004300A0">
        <w:rPr>
          <w:rFonts w:ascii="Book Antiqua" w:hAnsi="Book Antiqua"/>
        </w:rPr>
        <w:t xml:space="preserve">: </w:t>
      </w:r>
      <w:r w:rsidR="00A30B42" w:rsidRPr="00A30B42">
        <w:rPr>
          <w:rFonts w:ascii="Book Antiqua" w:hAnsi="Book Antiqua"/>
        </w:rPr>
        <w:t>L</w:t>
      </w:r>
      <w:r w:rsidR="009710A1" w:rsidRPr="00A30B42">
        <w:rPr>
          <w:rFonts w:ascii="Book Antiqua" w:hAnsi="Book Antiqua"/>
        </w:rPr>
        <w:t xml:space="preserve">a Policía de Puerto Rico, por conducto del Superintendente Joseph González, expresó su posición a favor de la medida legislativa, reconociendo que moderniza la administración y el control fiscalizador de las armas de fuego en la isla. </w:t>
      </w:r>
      <w:r w:rsidR="00A30B42">
        <w:rPr>
          <w:rFonts w:ascii="Book Antiqua" w:hAnsi="Book Antiqua"/>
        </w:rPr>
        <w:t>La PPR</w:t>
      </w:r>
      <w:r w:rsidR="009710A1" w:rsidRPr="00A30B42">
        <w:rPr>
          <w:rFonts w:ascii="Book Antiqua" w:hAnsi="Book Antiqua"/>
        </w:rPr>
        <w:t xml:space="preserve"> catalogó como un avance operacional de alta valía la unificación e integración del registro de armas de caza dentro de su plataforma electrónica, lo cual potenciará la trazabilidad y la fiscalización en los distritos policiales. No obstante, en aras de salvaguardar el orden público, el Superintendente condicionó su endoso al requerimiento de enmiendas específicas en el texto técnico. </w:t>
      </w:r>
    </w:p>
    <w:p w14:paraId="37FB1A1B" w14:textId="77777777" w:rsidR="00AE78D9" w:rsidRDefault="009710A1" w:rsidP="009710A1">
      <w:pPr>
        <w:spacing w:after="240"/>
        <w:jc w:val="both"/>
        <w:rPr>
          <w:rFonts w:ascii="Book Antiqua" w:hAnsi="Book Antiqua"/>
        </w:rPr>
      </w:pPr>
      <w:r w:rsidRPr="00A30B42">
        <w:rPr>
          <w:rFonts w:ascii="Book Antiqua" w:hAnsi="Book Antiqua"/>
        </w:rPr>
        <w:t xml:space="preserve">En primer lugar, la Policía respaldó la eliminación de las tres referencias personales para el trámite de licencia por considerarlo un trámite burocrático redundante que no aporta valor real a las revisiones de antecedentes penales automatizadas. Por el contrario, </w:t>
      </w:r>
      <w:r w:rsidR="00A30B42">
        <w:rPr>
          <w:rFonts w:ascii="Book Antiqua" w:hAnsi="Book Antiqua"/>
        </w:rPr>
        <w:t>la PPR</w:t>
      </w:r>
      <w:r w:rsidRPr="00A30B42">
        <w:rPr>
          <w:rFonts w:ascii="Book Antiqua" w:hAnsi="Book Antiqua"/>
        </w:rPr>
        <w:t xml:space="preserve"> se opuso de forma categórica a que se permita a los ciudadanos la portación simultánea de una segunda arma de fuego, conocida comúnmente como arma de respaldo u oculta, argumentando que multiplicar el número de armas portadas en la vía pública por una misma persona eleva exponencialmente el riesgo estadístico de robos, extravíos fortuitos y descuidos operacionales que terminan alimentando los mercados criminales. </w:t>
      </w:r>
    </w:p>
    <w:p w14:paraId="7D656F9A" w14:textId="209AF568" w:rsidR="009710A1" w:rsidRPr="00A30B42" w:rsidRDefault="009710A1" w:rsidP="009710A1">
      <w:pPr>
        <w:spacing w:after="240"/>
        <w:jc w:val="both"/>
        <w:rPr>
          <w:rFonts w:ascii="Book Antiqua" w:hAnsi="Book Antiqua"/>
        </w:rPr>
      </w:pPr>
      <w:r w:rsidRPr="00A30B42">
        <w:rPr>
          <w:rFonts w:ascii="Book Antiqua" w:hAnsi="Book Antiqua"/>
        </w:rPr>
        <w:t xml:space="preserve">Asimismo, recomendó firmemente preservar la facultad de la Policía para realizar inspecciones locales sorpresivas y recurrentes sobre las armerías autorizadas, sosteniendo que, aun cuando la </w:t>
      </w:r>
      <w:r w:rsidRPr="00A30B42">
        <w:rPr>
          <w:rFonts w:ascii="Book Antiqua" w:hAnsi="Book Antiqua"/>
          <w:i/>
          <w:iCs/>
        </w:rPr>
        <w:t xml:space="preserve">Bureau </w:t>
      </w:r>
      <w:proofErr w:type="spellStart"/>
      <w:r w:rsidRPr="00A30B42">
        <w:rPr>
          <w:rFonts w:ascii="Book Antiqua" w:hAnsi="Book Antiqua"/>
          <w:i/>
          <w:iCs/>
        </w:rPr>
        <w:t>of</w:t>
      </w:r>
      <w:proofErr w:type="spellEnd"/>
      <w:r w:rsidRPr="00A30B42">
        <w:rPr>
          <w:rFonts w:ascii="Book Antiqua" w:hAnsi="Book Antiqua"/>
          <w:i/>
          <w:iCs/>
        </w:rPr>
        <w:t xml:space="preserve"> Alcohol, Tobacco, </w:t>
      </w:r>
      <w:proofErr w:type="spellStart"/>
      <w:r w:rsidRPr="00A30B42">
        <w:rPr>
          <w:rFonts w:ascii="Book Antiqua" w:hAnsi="Book Antiqua"/>
          <w:i/>
          <w:iCs/>
        </w:rPr>
        <w:t>Firearms</w:t>
      </w:r>
      <w:proofErr w:type="spellEnd"/>
      <w:r w:rsidRPr="00A30B42">
        <w:rPr>
          <w:rFonts w:ascii="Book Antiqua" w:hAnsi="Book Antiqua"/>
          <w:i/>
          <w:iCs/>
        </w:rPr>
        <w:t xml:space="preserve"> and Explosives</w:t>
      </w:r>
      <w:r w:rsidRPr="00A30B42">
        <w:rPr>
          <w:rFonts w:ascii="Book Antiqua" w:hAnsi="Book Antiqua"/>
        </w:rPr>
        <w:t xml:space="preserve"> ejerce una jurisdicción federal estricta, la Policía de Puerto Rico debe mantener competencia concurrente para inspeccionar las estructuras físicas, bóvedas y los libros de inventario locales en beneficio directo de las comunidades adyacentes. Con respecto a los instructores de tiro, </w:t>
      </w:r>
      <w:r w:rsidR="00AE78D9">
        <w:rPr>
          <w:rFonts w:ascii="Book Antiqua" w:hAnsi="Book Antiqua"/>
        </w:rPr>
        <w:t>la PPR</w:t>
      </w:r>
      <w:r w:rsidRPr="00A30B42">
        <w:rPr>
          <w:rFonts w:ascii="Book Antiqua" w:hAnsi="Book Antiqua"/>
        </w:rPr>
        <w:t xml:space="preserve"> catalogó la propuesta original como innecesariamente restrictiva y onerosa para el desarrollo de nuevos profesionales, sugiriendo reducir los requisitos de antigüedad para la certificación de instructores de diez a tres años de experiencia, y bajar la cuota de cursos dictados exigida de cien a cincuenta cursos. Finalmente, solicitó que se fije en un mínimo de noventa días naturales el término para que </w:t>
      </w:r>
      <w:r w:rsidR="00AE78D9">
        <w:rPr>
          <w:rFonts w:ascii="Book Antiqua" w:hAnsi="Book Antiqua"/>
        </w:rPr>
        <w:t>la PPR</w:t>
      </w:r>
      <w:r w:rsidRPr="00A30B42">
        <w:rPr>
          <w:rFonts w:ascii="Book Antiqua" w:hAnsi="Book Antiqua"/>
        </w:rPr>
        <w:t xml:space="preserve"> evalúe y apruebe los nuevos manuales de capacitación y uso de armas presentados por dichos instructores.</w:t>
      </w:r>
    </w:p>
    <w:p w14:paraId="787B6663" w14:textId="37775D42" w:rsidR="00815802" w:rsidRPr="009710A1" w:rsidRDefault="00815802" w:rsidP="004300A0">
      <w:pPr>
        <w:spacing w:after="240"/>
        <w:jc w:val="both"/>
        <w:rPr>
          <w:rFonts w:ascii="Book Antiqua" w:hAnsi="Book Antiqua"/>
        </w:rPr>
      </w:pPr>
    </w:p>
    <w:p w14:paraId="6092D50F" w14:textId="77777777" w:rsidR="00815802" w:rsidRDefault="001176A7" w:rsidP="004300A0">
      <w:pPr>
        <w:spacing w:after="240"/>
        <w:jc w:val="both"/>
        <w:rPr>
          <w:rFonts w:ascii="Book Antiqua" w:hAnsi="Book Antiqua"/>
        </w:rPr>
      </w:pPr>
      <w:r w:rsidRPr="00815802">
        <w:rPr>
          <w:rFonts w:ascii="Book Antiqua" w:hAnsi="Book Antiqua"/>
          <w:b/>
          <w:bCs/>
        </w:rPr>
        <w:t>Departamento de Justicia</w:t>
      </w:r>
      <w:r w:rsidRPr="004300A0">
        <w:rPr>
          <w:rFonts w:ascii="Book Antiqua" w:hAnsi="Book Antiqua"/>
        </w:rPr>
        <w:t xml:space="preserve">: Avaló las precisiones sobre la categoría de agentes del orden público y los protocolos para personas desaparecidas. No obstante, levantó serias reservas constitucionales y de seguridad respecto a la portación ilimitada de armas cortas de forma simultánea, las transacciones comerciales de armeros fuera de sus locales </w:t>
      </w:r>
      <w:r w:rsidRPr="004300A0">
        <w:rPr>
          <w:rFonts w:ascii="Book Antiqua" w:hAnsi="Book Antiqua"/>
        </w:rPr>
        <w:lastRenderedPageBreak/>
        <w:t xml:space="preserve">autorizados (por afectar la trazabilidad) y la extensión a 5 años del procedimiento expedito para víctimas de violencia doméstica, argumentando que desnaturaliza la rigurosidad fiscalizadora del Estado. </w:t>
      </w:r>
    </w:p>
    <w:p w14:paraId="45358C56" w14:textId="22798B6B" w:rsidR="00FC5C46" w:rsidRDefault="00FC5C46" w:rsidP="004300A0">
      <w:pPr>
        <w:spacing w:after="240"/>
        <w:jc w:val="both"/>
        <w:rPr>
          <w:rFonts w:ascii="Book Antiqua" w:hAnsi="Book Antiqua"/>
        </w:rPr>
      </w:pPr>
      <w:r w:rsidRPr="00FC5C46">
        <w:rPr>
          <w:rFonts w:ascii="Book Antiqua" w:hAnsi="Book Antiqua"/>
        </w:rPr>
        <w:t xml:space="preserve">El Departamento validó la plena facultad y el mandato que ostenta la Asamblea Legislativa de Puerto Rico para configurar, atemperar y transformar la política pública del Estado en materia de seguridad y control de armas de fuego de acuerdo con la evolución sociológica del país. Asimismo, enmarcó la validez jurídica del proyecto de ley dentro de las corrientes jurisprudenciales vigentes del Tribunal Supremo de los Estados Unidos relativas a la Segunda Enmienda, las cuales consagran la autodefensa como un componente medular del derecho individual a poseer y portar armas. El Departamento de Justicia concluyó que el estatuto propuesto se acopla formalmente a legislaciones federales superiores como el </w:t>
      </w:r>
      <w:r w:rsidRPr="00FC5C46">
        <w:rPr>
          <w:rFonts w:ascii="Book Antiqua" w:hAnsi="Book Antiqua"/>
          <w:i/>
          <w:iCs/>
        </w:rPr>
        <w:t xml:space="preserve">Gun Control </w:t>
      </w:r>
      <w:proofErr w:type="spellStart"/>
      <w:r w:rsidRPr="00FC5C46">
        <w:rPr>
          <w:rFonts w:ascii="Book Antiqua" w:hAnsi="Book Antiqua"/>
          <w:i/>
          <w:iCs/>
        </w:rPr>
        <w:t>Act</w:t>
      </w:r>
      <w:proofErr w:type="spellEnd"/>
      <w:r w:rsidRPr="00FC5C46">
        <w:rPr>
          <w:rFonts w:ascii="Book Antiqua" w:hAnsi="Book Antiqua"/>
          <w:i/>
          <w:iCs/>
        </w:rPr>
        <w:t xml:space="preserve"> </w:t>
      </w:r>
      <w:proofErr w:type="spellStart"/>
      <w:r w:rsidRPr="00FC5C46">
        <w:rPr>
          <w:rFonts w:ascii="Book Antiqua" w:hAnsi="Book Antiqua"/>
          <w:i/>
          <w:iCs/>
        </w:rPr>
        <w:t>of</w:t>
      </w:r>
      <w:proofErr w:type="spellEnd"/>
      <w:r w:rsidRPr="00FC5C46">
        <w:rPr>
          <w:rFonts w:ascii="Book Antiqua" w:hAnsi="Book Antiqua"/>
          <w:i/>
          <w:iCs/>
        </w:rPr>
        <w:t xml:space="preserve"> 1968</w:t>
      </w:r>
      <w:r w:rsidRPr="00FC5C46">
        <w:rPr>
          <w:rFonts w:ascii="Book Antiqua" w:hAnsi="Book Antiqua"/>
        </w:rPr>
        <w:t>, logrando una armónica coexistencia jurídica donde el marco local no interfiere con las prerrogativas federales sobre el comercio interestatal de armas de fuego.</w:t>
      </w:r>
    </w:p>
    <w:p w14:paraId="127B9167" w14:textId="77777777" w:rsidR="003C1FDE" w:rsidRDefault="001176A7" w:rsidP="004300A0">
      <w:pPr>
        <w:spacing w:after="240"/>
        <w:jc w:val="both"/>
        <w:rPr>
          <w:rFonts w:ascii="Book Antiqua" w:hAnsi="Book Antiqua"/>
        </w:rPr>
      </w:pPr>
      <w:r w:rsidRPr="00815802">
        <w:rPr>
          <w:rFonts w:ascii="Book Antiqua" w:hAnsi="Book Antiqua"/>
          <w:b/>
          <w:bCs/>
        </w:rPr>
        <w:t>Departamento de Recursos Naturales y Ambientales (DRNA)</w:t>
      </w:r>
      <w:r w:rsidRPr="004300A0">
        <w:rPr>
          <w:rFonts w:ascii="Book Antiqua" w:hAnsi="Book Antiqua"/>
        </w:rPr>
        <w:t xml:space="preserve">: </w:t>
      </w:r>
      <w:r w:rsidR="003C1FDE" w:rsidRPr="003C1FDE">
        <w:rPr>
          <w:rFonts w:ascii="Book Antiqua" w:hAnsi="Book Antiqua"/>
        </w:rPr>
        <w:t xml:space="preserve">El Departamento de Recursos Naturales y Ambientales, representado por su </w:t>
      </w:r>
      <w:proofErr w:type="gramStart"/>
      <w:r w:rsidR="003C1FDE" w:rsidRPr="003C1FDE">
        <w:rPr>
          <w:rFonts w:ascii="Book Antiqua" w:hAnsi="Book Antiqua"/>
        </w:rPr>
        <w:t>Secretario</w:t>
      </w:r>
      <w:proofErr w:type="gramEnd"/>
      <w:r w:rsidR="003C1FDE" w:rsidRPr="003C1FDE">
        <w:rPr>
          <w:rFonts w:ascii="Book Antiqua" w:hAnsi="Book Antiqua"/>
        </w:rPr>
        <w:t xml:space="preserve"> Waldemar Quiles Pérez, presentó un memorial de fuerte y fundamentada oposición a las enmiendas que alteraban la Ley 241-1999, conocida como la Ley de Vida Silvestre, arrojando luz sobre un riesgo financiero de proporciones mayúsculas para el </w:t>
      </w:r>
      <w:proofErr w:type="gramStart"/>
      <w:r w:rsidR="003C1FDE" w:rsidRPr="003C1FDE">
        <w:rPr>
          <w:rFonts w:ascii="Book Antiqua" w:hAnsi="Book Antiqua"/>
        </w:rPr>
        <w:t>erario público</w:t>
      </w:r>
      <w:proofErr w:type="gramEnd"/>
      <w:r w:rsidR="003C1FDE" w:rsidRPr="003C1FDE">
        <w:rPr>
          <w:rFonts w:ascii="Book Antiqua" w:hAnsi="Book Antiqua"/>
        </w:rPr>
        <w:t xml:space="preserve">. El Secretario advirtió de manera contundente que segregar las competencias de la actividad de caza, otorgándole a la Policía el control de los cazadores que portan escopetas y armas de fuego, y confinando al DRNA únicamente a los cazadores con arco y flecha, constituye una violación crasa de los reglamentos federales del programa </w:t>
      </w:r>
      <w:proofErr w:type="spellStart"/>
      <w:r w:rsidR="003C1FDE" w:rsidRPr="003C1FDE">
        <w:rPr>
          <w:rFonts w:ascii="Book Antiqua" w:hAnsi="Book Antiqua"/>
          <w:i/>
          <w:iCs/>
        </w:rPr>
        <w:t>Wildlife</w:t>
      </w:r>
      <w:proofErr w:type="spellEnd"/>
      <w:r w:rsidR="003C1FDE" w:rsidRPr="003C1FDE">
        <w:rPr>
          <w:rFonts w:ascii="Book Antiqua" w:hAnsi="Book Antiqua"/>
          <w:i/>
          <w:iCs/>
        </w:rPr>
        <w:t xml:space="preserve"> and Sport Fish </w:t>
      </w:r>
      <w:proofErr w:type="spellStart"/>
      <w:r w:rsidR="003C1FDE" w:rsidRPr="003C1FDE">
        <w:rPr>
          <w:rFonts w:ascii="Book Antiqua" w:hAnsi="Book Antiqua"/>
          <w:i/>
          <w:iCs/>
        </w:rPr>
        <w:t>Restoration</w:t>
      </w:r>
      <w:proofErr w:type="spellEnd"/>
      <w:r w:rsidR="003C1FDE" w:rsidRPr="003C1FDE">
        <w:rPr>
          <w:rFonts w:ascii="Book Antiqua" w:hAnsi="Book Antiqua"/>
        </w:rPr>
        <w:t xml:space="preserve">. </w:t>
      </w:r>
    </w:p>
    <w:p w14:paraId="0D0C9B4C" w14:textId="77777777" w:rsidR="003C1FDE" w:rsidRDefault="003C1FDE" w:rsidP="004300A0">
      <w:pPr>
        <w:spacing w:after="240"/>
        <w:jc w:val="both"/>
        <w:rPr>
          <w:rFonts w:ascii="Book Antiqua" w:hAnsi="Book Antiqua"/>
        </w:rPr>
      </w:pPr>
      <w:r w:rsidRPr="003C1FDE">
        <w:rPr>
          <w:rFonts w:ascii="Book Antiqua" w:hAnsi="Book Antiqua"/>
        </w:rPr>
        <w:t xml:space="preserve">Para recibir anualmente las subvenciones de las leyes federales Pittman-Robertson y Dingell-Johnson, el Gobierno de los Estados Unidos exige que la entidad estatal designada como agencia ambiental ostente el control absoluto, unificado y centralizado del registro anual de cazadores. Diluir, fraccionar o trasladar dicho registro a una agencia de ley y orden como la Policía de Puerto Rico invalidaría la certificación anual del DRNA, provocando la pérdida automática de millones de dólares en asignaciones federales recurrentes destinadas a la conservación ecológica, el manejo de hábitats, la protección de reservas críticas como la Isla de Mona y el sostenimiento del propio Cuerpo de Vigilantes. </w:t>
      </w:r>
    </w:p>
    <w:p w14:paraId="528C5DC9" w14:textId="3B6F0A8F" w:rsidR="00815802" w:rsidRDefault="003C1FDE" w:rsidP="004300A0">
      <w:pPr>
        <w:spacing w:after="240"/>
        <w:jc w:val="both"/>
        <w:rPr>
          <w:rFonts w:ascii="Book Antiqua" w:hAnsi="Book Antiqua"/>
        </w:rPr>
      </w:pPr>
      <w:r w:rsidRPr="003C1FDE">
        <w:rPr>
          <w:rFonts w:ascii="Book Antiqua" w:hAnsi="Book Antiqua"/>
        </w:rPr>
        <w:t>Como solución concertada, el DRNA recomendó dejar intacta su estructura de licenciamiento deportivo y, en su lugar, enmendar la ley para concederle a su Cuerpo de Vigilantes un acceso digital directo al sistema NICS y al Registro Electrónico de la Policía de Puerto Rico, viabilizando la fiscalización en tiempo real de los cazadores en los campos sin comprometer la elegibilidad fiscal federal de la agencia.</w:t>
      </w:r>
    </w:p>
    <w:p w14:paraId="07A5BAB1" w14:textId="77777777" w:rsidR="00B2401F" w:rsidRDefault="001176A7" w:rsidP="004300A0">
      <w:pPr>
        <w:spacing w:after="240"/>
        <w:jc w:val="both"/>
        <w:rPr>
          <w:rFonts w:ascii="Book Antiqua" w:hAnsi="Book Antiqua"/>
        </w:rPr>
      </w:pPr>
      <w:r w:rsidRPr="00815802">
        <w:rPr>
          <w:rFonts w:ascii="Book Antiqua" w:hAnsi="Book Antiqua"/>
          <w:b/>
          <w:bCs/>
        </w:rPr>
        <w:lastRenderedPageBreak/>
        <w:t>CODEPOLA</w:t>
      </w:r>
      <w:r w:rsidRPr="004300A0">
        <w:rPr>
          <w:rFonts w:ascii="Book Antiqua" w:hAnsi="Book Antiqua"/>
        </w:rPr>
        <w:t xml:space="preserve">: </w:t>
      </w:r>
      <w:r w:rsidR="00FD430F">
        <w:rPr>
          <w:rFonts w:ascii="Book Antiqua" w:hAnsi="Book Antiqua"/>
        </w:rPr>
        <w:t>L</w:t>
      </w:r>
      <w:r w:rsidR="00FD430F" w:rsidRPr="00FD430F">
        <w:rPr>
          <w:rFonts w:ascii="Book Antiqua" w:hAnsi="Book Antiqua"/>
        </w:rPr>
        <w:t>a Corporación para la Defensa del Poseedor de Licencia de Armas de Puerto Rico, Inc.</w:t>
      </w:r>
      <w:r w:rsidR="00B2401F">
        <w:rPr>
          <w:rFonts w:ascii="Book Antiqua" w:hAnsi="Book Antiqua"/>
        </w:rPr>
        <w:t xml:space="preserve"> (CODEPOLA)</w:t>
      </w:r>
      <w:r w:rsidR="00FD430F" w:rsidRPr="00FD430F">
        <w:rPr>
          <w:rFonts w:ascii="Book Antiqua" w:hAnsi="Book Antiqua"/>
        </w:rPr>
        <w:t xml:space="preserve">, representada por su presidente Ariel Torres Meléndez, compareció ante esta Comisión en un sólido y absoluto respaldo al proyecto de ley, estableciendo que el estatuto propuesto subsana vacíos jurídicos históricos e instaura un balance adecuado entre la seguridad del Estado y las prerrogativas de la ciudadanía bajo la doctrina de derechos individuales. </w:t>
      </w:r>
    </w:p>
    <w:p w14:paraId="5F0036D1" w14:textId="77777777" w:rsidR="00586C9A" w:rsidRDefault="00FD430F" w:rsidP="004300A0">
      <w:pPr>
        <w:spacing w:after="240"/>
        <w:jc w:val="both"/>
        <w:rPr>
          <w:rFonts w:ascii="Book Antiqua" w:hAnsi="Book Antiqua"/>
        </w:rPr>
      </w:pPr>
      <w:r w:rsidRPr="00FD430F">
        <w:rPr>
          <w:rFonts w:ascii="Book Antiqua" w:hAnsi="Book Antiqua"/>
        </w:rPr>
        <w:t>En perfecta consonancia con la Policía</w:t>
      </w:r>
      <w:r w:rsidR="00B2401F">
        <w:rPr>
          <w:rFonts w:ascii="Book Antiqua" w:hAnsi="Book Antiqua"/>
        </w:rPr>
        <w:t xml:space="preserve"> de Puerto Rico</w:t>
      </w:r>
      <w:r w:rsidRPr="00FD430F">
        <w:rPr>
          <w:rFonts w:ascii="Book Antiqua" w:hAnsi="Book Antiqua"/>
        </w:rPr>
        <w:t xml:space="preserve">, CODEPOLA solicitó erradicar permanentemente el requisito de referencias de vecinos o conocidos, enfatizando que someter la concesión de un derecho a evaluaciones vecinales abre la puerta a sesgos personales y arbitrariedades, cuando la idoneidad debe fundarse únicamente en datos objetivos de los registros criminales. De igual forma, expresó una enérgica oposición a la disposición que pretendía extender el término de evaluación del Estado a sesenta días, y propuso en su lugar enmendar dicho lenguaje para que el plazo máximo de otorgación se configure en treinta días naturales, fundamentándose en que con los avances de la plataforma digital de la Policía y el acceso directo al sistema federal NICS, la corroboración de antecedentes toma escasos minutos, haciendo injustificable cualquier dilación burocrática mayor. </w:t>
      </w:r>
    </w:p>
    <w:p w14:paraId="54014CC7" w14:textId="31BA9C05" w:rsidR="00815802" w:rsidRDefault="00FD430F" w:rsidP="004300A0">
      <w:pPr>
        <w:spacing w:after="240"/>
        <w:jc w:val="both"/>
        <w:rPr>
          <w:rFonts w:ascii="Book Antiqua" w:hAnsi="Book Antiqua"/>
        </w:rPr>
      </w:pPr>
      <w:r w:rsidRPr="00FD430F">
        <w:rPr>
          <w:rFonts w:ascii="Book Antiqua" w:hAnsi="Book Antiqua"/>
        </w:rPr>
        <w:t>Como aportación al estatuto, insertó una propuesta de enmienda para el Artículo 3.02 de la Ley de Armas, a los fines de permitir y regular el establecimiento de campos de tiro abiertos en zonas rurales, exigiendo que dichos espacios cuenten con un mínimo de dos cuerdas de terreno y mantengan una distancia perimetral no menor de una milla de cualquier plantel escolar público o privado, garantizando el deporte del tiro recreativo bajo estrictos márgenes geográficos de seguridad.</w:t>
      </w:r>
      <w:r w:rsidR="001176A7" w:rsidRPr="004300A0">
        <w:rPr>
          <w:rFonts w:ascii="Book Antiqua" w:hAnsi="Book Antiqua"/>
        </w:rPr>
        <w:t xml:space="preserve"> </w:t>
      </w:r>
    </w:p>
    <w:p w14:paraId="7A857AAD" w14:textId="325A79D9" w:rsidR="00B83761" w:rsidRDefault="001176A7" w:rsidP="004300A0">
      <w:pPr>
        <w:spacing w:after="240"/>
        <w:jc w:val="both"/>
        <w:rPr>
          <w:rFonts w:ascii="Book Antiqua" w:hAnsi="Book Antiqua"/>
        </w:rPr>
      </w:pPr>
      <w:r w:rsidRPr="00815802">
        <w:rPr>
          <w:rFonts w:ascii="Book Antiqua" w:hAnsi="Book Antiqua"/>
          <w:b/>
          <w:bCs/>
        </w:rPr>
        <w:t>Asociación de Portadores de Puerto Rico</w:t>
      </w:r>
      <w:r w:rsidRPr="004300A0">
        <w:rPr>
          <w:rFonts w:ascii="Book Antiqua" w:hAnsi="Book Antiqua"/>
        </w:rPr>
        <w:t>: Se opuso tajantemente al aumento de los términos a 60 días, a la intromisión en la privacidad mediante referencias y a los requisitos excesivos para instructores que, a su juicio, pretendían revivir un monopolio controlado por las antiguas federaciones de tiro en violación a la jurisprudencia federal (Janus v. AFSCME).</w:t>
      </w:r>
    </w:p>
    <w:p w14:paraId="6EC6B0D0" w14:textId="3AA94F0E" w:rsidR="000F11E4" w:rsidRDefault="000F11E4" w:rsidP="000F11E4">
      <w:pPr>
        <w:spacing w:after="240"/>
        <w:jc w:val="center"/>
        <w:rPr>
          <w:rFonts w:ascii="Book Antiqua" w:eastAsia="Book Antiqua" w:hAnsi="Book Antiqua" w:cs="Book Antiqua"/>
          <w:b/>
          <w:bCs/>
          <w:color w:val="000000" w:themeColor="text1"/>
          <w:spacing w:val="12"/>
          <w:szCs w:val="24"/>
        </w:rPr>
      </w:pPr>
      <w:r>
        <w:rPr>
          <w:rFonts w:ascii="Book Antiqua" w:eastAsia="Book Antiqua" w:hAnsi="Book Antiqua" w:cs="Book Antiqua"/>
          <w:b/>
          <w:bCs/>
          <w:color w:val="000000" w:themeColor="text1"/>
          <w:spacing w:val="12"/>
          <w:szCs w:val="24"/>
        </w:rPr>
        <w:t>IMPACTO FISCAL</w:t>
      </w:r>
    </w:p>
    <w:p w14:paraId="252E5965" w14:textId="3C8BDD94" w:rsidR="000F11E4" w:rsidRPr="00F216F3" w:rsidRDefault="00F216F3" w:rsidP="00F216F3">
      <w:pPr>
        <w:spacing w:after="240"/>
        <w:ind w:firstLine="720"/>
        <w:jc w:val="both"/>
        <w:rPr>
          <w:rFonts w:ascii="Book Antiqua" w:eastAsia="Book Antiqua" w:hAnsi="Book Antiqua" w:cs="Book Antiqua"/>
          <w:b/>
          <w:bCs/>
          <w:color w:val="000000" w:themeColor="text1"/>
          <w:spacing w:val="12"/>
          <w:szCs w:val="24"/>
        </w:rPr>
      </w:pPr>
      <w:r w:rsidRPr="00F216F3">
        <w:rPr>
          <w:rFonts w:ascii="Book Antiqua" w:hAnsi="Book Antiqua"/>
        </w:rPr>
        <w:t>En cumplimiento con las normas de responsabilidad fiscal aplicables, esta Comisión de Seguridad Pública establece que la aprobación del P. de la C. 1138 no impone la asignación de fondos públicos adicionales no presupuestados, ni altera de forma negativa los ingresos del erario del Gobierno de Puerto Rico. La digitalización y unificación de trámites administrativos entre la Policía de Puerto Rico y el acceso de datos provisto al DRNA optimizan los recursos tecnológicos ya existentes. Asimismo, el texto final incorporado en el Entirillado Electrónico neutraliza el riesgo de pérdida de fondos federales advertido por el DRNA</w:t>
      </w:r>
      <w:r w:rsidR="00895900">
        <w:rPr>
          <w:rFonts w:ascii="Book Antiqua" w:hAnsi="Book Antiqua"/>
        </w:rPr>
        <w:t xml:space="preserve"> manteniendo inalterada su jurisdicción</w:t>
      </w:r>
      <w:r w:rsidRPr="00F216F3">
        <w:rPr>
          <w:rFonts w:ascii="Book Antiqua" w:hAnsi="Book Antiqua"/>
        </w:rPr>
        <w:t>, blindando las asignaciones de las leyes Pittman-Robertson y Dingell-Johnson para el cuidado de la fauna silvestre.</w:t>
      </w:r>
    </w:p>
    <w:p w14:paraId="528F8908" w14:textId="49F29686" w:rsidR="003B38A4" w:rsidRPr="005A6966" w:rsidRDefault="003B38A4" w:rsidP="0071572C">
      <w:pPr>
        <w:spacing w:after="240"/>
        <w:jc w:val="center"/>
        <w:rPr>
          <w:rFonts w:ascii="Book Antiqua" w:eastAsia="Book Antiqua" w:hAnsi="Book Antiqua" w:cs="Book Antiqua"/>
          <w:b/>
          <w:bCs/>
          <w:color w:val="000000" w:themeColor="text1"/>
          <w:spacing w:val="12"/>
          <w:szCs w:val="24"/>
        </w:rPr>
      </w:pPr>
      <w:r w:rsidRPr="005A6966">
        <w:rPr>
          <w:rFonts w:ascii="Book Antiqua" w:eastAsia="Book Antiqua" w:hAnsi="Book Antiqua" w:cs="Book Antiqua"/>
          <w:b/>
          <w:bCs/>
          <w:color w:val="000000" w:themeColor="text1"/>
          <w:spacing w:val="12"/>
          <w:szCs w:val="24"/>
        </w:rPr>
        <w:lastRenderedPageBreak/>
        <w:t>CONCLUSIÓN</w:t>
      </w:r>
      <w:r w:rsidR="00F0476A" w:rsidRPr="005A6966">
        <w:rPr>
          <w:rFonts w:ascii="Book Antiqua" w:eastAsia="Book Antiqua" w:hAnsi="Book Antiqua" w:cs="Book Antiqua"/>
          <w:b/>
          <w:bCs/>
          <w:color w:val="000000" w:themeColor="text1"/>
          <w:spacing w:val="12"/>
          <w:szCs w:val="24"/>
        </w:rPr>
        <w:t xml:space="preserve"> Y RECOMENDAC</w:t>
      </w:r>
      <w:r w:rsidR="001711E6" w:rsidRPr="005A6966">
        <w:rPr>
          <w:rFonts w:ascii="Book Antiqua" w:eastAsia="Book Antiqua" w:hAnsi="Book Antiqua" w:cs="Book Antiqua"/>
          <w:b/>
          <w:bCs/>
          <w:color w:val="000000" w:themeColor="text1"/>
          <w:spacing w:val="12"/>
          <w:szCs w:val="24"/>
        </w:rPr>
        <w:t>I</w:t>
      </w:r>
      <w:r w:rsidR="00F0476A" w:rsidRPr="005A6966">
        <w:rPr>
          <w:rFonts w:ascii="Book Antiqua" w:eastAsia="Book Antiqua" w:hAnsi="Book Antiqua" w:cs="Book Antiqua"/>
          <w:b/>
          <w:bCs/>
          <w:color w:val="000000" w:themeColor="text1"/>
          <w:spacing w:val="12"/>
          <w:szCs w:val="24"/>
        </w:rPr>
        <w:t>ÓN</w:t>
      </w:r>
    </w:p>
    <w:p w14:paraId="234CC0C9" w14:textId="44FCCC32" w:rsidR="00291B0E" w:rsidRPr="005A6966" w:rsidRDefault="003E23C0" w:rsidP="00B65280">
      <w:pPr>
        <w:spacing w:after="240"/>
        <w:ind w:firstLine="720"/>
        <w:jc w:val="both"/>
        <w:rPr>
          <w:rFonts w:ascii="Book Antiqua" w:eastAsia="Book Antiqua" w:hAnsi="Book Antiqua" w:cs="Book Antiqua"/>
          <w:bCs/>
          <w:color w:val="000000" w:themeColor="text1"/>
          <w:szCs w:val="24"/>
        </w:rPr>
      </w:pPr>
      <w:r w:rsidRPr="005A6966">
        <w:rPr>
          <w:rFonts w:ascii="Book Antiqua" w:eastAsia="Book Antiqua" w:hAnsi="Book Antiqua" w:cs="Book Antiqua"/>
          <w:bCs/>
          <w:color w:val="000000" w:themeColor="text1"/>
          <w:szCs w:val="24"/>
        </w:rPr>
        <w:t>E</w:t>
      </w:r>
      <w:r w:rsidR="004A4A9F" w:rsidRPr="005A6966">
        <w:rPr>
          <w:rFonts w:ascii="Book Antiqua" w:eastAsia="Book Antiqua" w:hAnsi="Book Antiqua" w:cs="Book Antiqua"/>
          <w:bCs/>
          <w:color w:val="000000" w:themeColor="text1"/>
          <w:szCs w:val="24"/>
        </w:rPr>
        <w:t>sta Comisión</w:t>
      </w:r>
      <w:r w:rsidR="00291B0E" w:rsidRPr="005A6966">
        <w:rPr>
          <w:rFonts w:ascii="Book Antiqua" w:eastAsia="Book Antiqua" w:hAnsi="Book Antiqua" w:cs="Book Antiqua"/>
          <w:bCs/>
          <w:color w:val="000000" w:themeColor="text1"/>
          <w:szCs w:val="24"/>
        </w:rPr>
        <w:t xml:space="preserve"> </w:t>
      </w:r>
      <w:r w:rsidR="005C1799" w:rsidRPr="005A6966">
        <w:rPr>
          <w:rFonts w:ascii="Book Antiqua" w:eastAsia="Book Antiqua" w:hAnsi="Book Antiqua" w:cs="Book Antiqua"/>
          <w:bCs/>
          <w:color w:val="000000" w:themeColor="text1"/>
          <w:szCs w:val="24"/>
        </w:rPr>
        <w:t xml:space="preserve">de Seguridad Pública </w:t>
      </w:r>
      <w:r w:rsidR="00B65280" w:rsidRPr="00B65280">
        <w:rPr>
          <w:rFonts w:ascii="Book Antiqua" w:eastAsia="Book Antiqua" w:hAnsi="Book Antiqua" w:cs="Book Antiqua"/>
          <w:bCs/>
          <w:color w:val="000000" w:themeColor="text1"/>
          <w:szCs w:val="24"/>
        </w:rPr>
        <w:t xml:space="preserve">tras haber sopesado con máxima prudencia legislativa los argumentos y ponencias de naturaleza técnica, ambiental, constitucional y de orden público, concluye que el </w:t>
      </w:r>
      <w:r w:rsidR="00B65280" w:rsidRPr="00B65280">
        <w:rPr>
          <w:rFonts w:ascii="Book Antiqua" w:eastAsia="Book Antiqua" w:hAnsi="Book Antiqua" w:cs="Book Antiqua"/>
          <w:b/>
          <w:bCs/>
          <w:color w:val="000000" w:themeColor="text1"/>
          <w:szCs w:val="24"/>
        </w:rPr>
        <w:t>Proyecto de la Cámara 1138</w:t>
      </w:r>
      <w:r w:rsidR="00B65280" w:rsidRPr="00B65280">
        <w:rPr>
          <w:rFonts w:ascii="Book Antiqua" w:eastAsia="Book Antiqua" w:hAnsi="Book Antiqua" w:cs="Book Antiqua"/>
          <w:bCs/>
          <w:color w:val="000000" w:themeColor="text1"/>
          <w:szCs w:val="24"/>
        </w:rPr>
        <w:t xml:space="preserve"> dota a Puerto Rico de una herramienta de vanguardia penal y administrativa. El Entirillado Electrónico que acompaña este informe incorpora de manera inteligente el consenso de la vista pública al eliminar el gravamen burocrático de las referencias personales y preservar la potestad de la Policía de inspeccionar físicamente los inventarios de las armerías. De igual forma, se viabilizan los términos de certificación de los instructores de tiro y se protege integralmente la captación de millones de dólares en fondos federales ambientales al mantener el registro oficial de cacería centralizado en el DRNA, garantizando a su vez la fiscalización </w:t>
      </w:r>
      <w:proofErr w:type="spellStart"/>
      <w:r w:rsidR="00B65280" w:rsidRPr="00B65280">
        <w:rPr>
          <w:rFonts w:ascii="Book Antiqua" w:eastAsia="Book Antiqua" w:hAnsi="Book Antiqua" w:cs="Book Antiqua"/>
          <w:bCs/>
          <w:color w:val="000000" w:themeColor="text1"/>
          <w:szCs w:val="24"/>
        </w:rPr>
        <w:t>interagencial</w:t>
      </w:r>
      <w:proofErr w:type="spellEnd"/>
      <w:r w:rsidR="00B65280" w:rsidRPr="00B65280">
        <w:rPr>
          <w:rFonts w:ascii="Book Antiqua" w:eastAsia="Book Antiqua" w:hAnsi="Book Antiqua" w:cs="Book Antiqua"/>
          <w:bCs/>
          <w:color w:val="000000" w:themeColor="text1"/>
          <w:szCs w:val="24"/>
        </w:rPr>
        <w:t xml:space="preserve"> con la Policía de Puerto Rico</w:t>
      </w:r>
      <w:r w:rsidR="009E7769" w:rsidRPr="005A6966">
        <w:rPr>
          <w:rFonts w:ascii="Book Antiqua" w:eastAsia="Book Antiqua" w:hAnsi="Book Antiqua" w:cs="Book Antiqua"/>
          <w:bCs/>
          <w:color w:val="000000" w:themeColor="text1"/>
          <w:szCs w:val="24"/>
        </w:rPr>
        <w:t xml:space="preserve">. </w:t>
      </w:r>
      <w:r w:rsidR="001C6FBB" w:rsidRPr="005A6966">
        <w:rPr>
          <w:rFonts w:ascii="Book Antiqua" w:eastAsia="Book Antiqua" w:hAnsi="Book Antiqua" w:cs="Book Antiqua"/>
          <w:bCs/>
          <w:color w:val="000000" w:themeColor="text1"/>
          <w:szCs w:val="24"/>
        </w:rPr>
        <w:t xml:space="preserve"> </w:t>
      </w:r>
      <w:r w:rsidR="00291B0E" w:rsidRPr="005A6966">
        <w:rPr>
          <w:rFonts w:ascii="Book Antiqua" w:eastAsia="Book Antiqua" w:hAnsi="Book Antiqua" w:cs="Book Antiqua"/>
          <w:bCs/>
          <w:color w:val="000000" w:themeColor="text1"/>
          <w:szCs w:val="24"/>
        </w:rPr>
        <w:t xml:space="preserve"> </w:t>
      </w:r>
      <w:r w:rsidR="003E46FB" w:rsidRPr="005A6966">
        <w:rPr>
          <w:rFonts w:ascii="Book Antiqua" w:eastAsia="Book Antiqua" w:hAnsi="Book Antiqua" w:cs="Book Antiqua"/>
          <w:bCs/>
          <w:color w:val="000000" w:themeColor="text1"/>
          <w:szCs w:val="24"/>
        </w:rPr>
        <w:t xml:space="preserve"> </w:t>
      </w:r>
    </w:p>
    <w:p w14:paraId="45630CE5" w14:textId="208EC126" w:rsidR="00C40403" w:rsidRDefault="00FB0AB4" w:rsidP="002349BF">
      <w:pPr>
        <w:spacing w:after="240"/>
        <w:jc w:val="both"/>
        <w:rPr>
          <w:rFonts w:ascii="Book Antiqua" w:eastAsia="Book Antiqua" w:hAnsi="Book Antiqua" w:cs="Book Antiqua"/>
          <w:bCs/>
          <w:color w:val="000000" w:themeColor="text1"/>
          <w:szCs w:val="24"/>
          <w:lang w:val="es-ES"/>
        </w:rPr>
      </w:pPr>
      <w:r w:rsidRPr="005A6966">
        <w:rPr>
          <w:rFonts w:ascii="Book Antiqua" w:eastAsia="Book Antiqua" w:hAnsi="Book Antiqua" w:cs="Book Antiqua"/>
          <w:bCs/>
          <w:color w:val="000000" w:themeColor="text1"/>
          <w:szCs w:val="24"/>
        </w:rPr>
        <w:tab/>
      </w:r>
      <w:r w:rsidRPr="005A6966">
        <w:rPr>
          <w:rFonts w:ascii="Book Antiqua" w:eastAsia="Book Antiqua" w:hAnsi="Book Antiqua" w:cs="Book Antiqua"/>
          <w:bCs/>
          <w:color w:val="000000" w:themeColor="text1"/>
          <w:szCs w:val="24"/>
          <w:lang w:val="es-ES"/>
        </w:rPr>
        <w:t xml:space="preserve">Por los fundamentos antes expuestos, la Comisión de Seguridad Pública de la Cámara de Representantes, </w:t>
      </w:r>
      <w:r w:rsidRPr="005A6966">
        <w:rPr>
          <w:rFonts w:ascii="Book Antiqua" w:eastAsia="Book Antiqua" w:hAnsi="Book Antiqua" w:cs="Book Antiqua"/>
          <w:bCs/>
          <w:color w:val="000000" w:themeColor="text1"/>
          <w:szCs w:val="24"/>
        </w:rPr>
        <w:t>luego del estudio y consideración correspondiente</w:t>
      </w:r>
      <w:r w:rsidR="00B26062">
        <w:rPr>
          <w:rFonts w:ascii="Book Antiqua" w:eastAsia="Book Antiqua" w:hAnsi="Book Antiqua" w:cs="Book Antiqua"/>
          <w:bCs/>
          <w:color w:val="000000" w:themeColor="text1"/>
          <w:szCs w:val="24"/>
        </w:rPr>
        <w:t>s</w:t>
      </w:r>
      <w:r w:rsidRPr="005A6966">
        <w:rPr>
          <w:rFonts w:ascii="Book Antiqua" w:eastAsia="Book Antiqua" w:hAnsi="Book Antiqua" w:cs="Book Antiqua"/>
          <w:bCs/>
          <w:color w:val="000000" w:themeColor="text1"/>
          <w:szCs w:val="24"/>
        </w:rPr>
        <w:t xml:space="preserve">, tiene a bien someter a este Cuerpo Legislativo su Informe Positivo, recomendando la aprobación del </w:t>
      </w:r>
      <w:r w:rsidRPr="00B65280">
        <w:rPr>
          <w:rFonts w:ascii="Book Antiqua" w:eastAsia="Book Antiqua" w:hAnsi="Book Antiqua" w:cs="Book Antiqua"/>
          <w:b/>
          <w:color w:val="000000" w:themeColor="text1"/>
          <w:szCs w:val="24"/>
        </w:rPr>
        <w:t xml:space="preserve">Proyecto de la Cámara </w:t>
      </w:r>
      <w:r w:rsidR="00CB055B" w:rsidRPr="00B65280">
        <w:rPr>
          <w:rFonts w:ascii="Book Antiqua" w:eastAsia="Book Antiqua" w:hAnsi="Book Antiqua" w:cs="Book Antiqua"/>
          <w:b/>
          <w:color w:val="000000" w:themeColor="text1"/>
          <w:szCs w:val="24"/>
        </w:rPr>
        <w:t>1138</w:t>
      </w:r>
      <w:r w:rsidRPr="00B65280">
        <w:rPr>
          <w:rFonts w:ascii="Book Antiqua" w:eastAsia="Book Antiqua" w:hAnsi="Book Antiqua" w:cs="Book Antiqua"/>
          <w:b/>
          <w:color w:val="000000" w:themeColor="text1"/>
          <w:szCs w:val="24"/>
        </w:rPr>
        <w:t>,</w:t>
      </w:r>
      <w:r w:rsidRPr="005A6966">
        <w:rPr>
          <w:rFonts w:ascii="Book Antiqua" w:eastAsia="Book Antiqua" w:hAnsi="Book Antiqua" w:cs="Book Antiqua"/>
          <w:bCs/>
          <w:color w:val="000000" w:themeColor="text1"/>
          <w:szCs w:val="24"/>
          <w:lang w:val="es-ES"/>
        </w:rPr>
        <w:t xml:space="preserve"> </w:t>
      </w:r>
      <w:r w:rsidR="00C40403">
        <w:rPr>
          <w:rFonts w:ascii="Book Antiqua" w:eastAsia="Book Antiqua" w:hAnsi="Book Antiqua" w:cs="Book Antiqua"/>
          <w:bCs/>
          <w:color w:val="000000" w:themeColor="text1"/>
          <w:szCs w:val="24"/>
          <w:lang w:val="es-ES"/>
        </w:rPr>
        <w:t>con las enmiendas incluidas en el entirillado electrónico que acompaña este Informe</w:t>
      </w:r>
      <w:r w:rsidR="000B372A" w:rsidRPr="005A6966">
        <w:rPr>
          <w:rFonts w:ascii="Book Antiqua" w:eastAsia="Book Antiqua" w:hAnsi="Book Antiqua" w:cs="Book Antiqua"/>
          <w:bCs/>
          <w:color w:val="000000" w:themeColor="text1"/>
          <w:szCs w:val="24"/>
          <w:lang w:val="es-ES"/>
        </w:rPr>
        <w:t>.</w:t>
      </w:r>
    </w:p>
    <w:p w14:paraId="21AF9ACD" w14:textId="77777777" w:rsidR="002349BF" w:rsidRPr="002349BF" w:rsidRDefault="002349BF" w:rsidP="009F73FD">
      <w:pPr>
        <w:pStyle w:val="NoSpacing"/>
        <w:rPr>
          <w:rFonts w:eastAsia="Book Antiqua"/>
          <w:lang w:val="es-ES"/>
        </w:rPr>
      </w:pPr>
    </w:p>
    <w:p w14:paraId="3D23C192" w14:textId="77777777" w:rsidR="00FB0AB4" w:rsidRPr="005A6966" w:rsidRDefault="00FB0AB4" w:rsidP="002349BF">
      <w:pPr>
        <w:pStyle w:val="NoSpacing"/>
        <w:rPr>
          <w:rFonts w:ascii="Book Antiqua" w:eastAsia="Book Antiqua" w:hAnsi="Book Antiqua" w:cs="Book Antiqua"/>
          <w:bCs/>
          <w:color w:val="000000" w:themeColor="text1"/>
          <w:lang w:val="es-ES"/>
        </w:rPr>
      </w:pPr>
      <w:r w:rsidRPr="005A6966">
        <w:rPr>
          <w:rFonts w:ascii="Book Antiqua" w:eastAsia="Book Antiqua" w:hAnsi="Book Antiqua" w:cs="Book Antiqua"/>
          <w:bCs/>
          <w:color w:val="000000" w:themeColor="text1"/>
          <w:lang w:val="es-ES"/>
        </w:rPr>
        <w:t>Respetuosamente sometido,</w:t>
      </w:r>
    </w:p>
    <w:p w14:paraId="059E3167" w14:textId="40DB7C20" w:rsidR="00FB0AB4" w:rsidRDefault="00FB0AB4" w:rsidP="002349BF">
      <w:pPr>
        <w:pStyle w:val="NoSpacing"/>
        <w:rPr>
          <w:rFonts w:ascii="Book Antiqua" w:eastAsia="Book Antiqua" w:hAnsi="Book Antiqua" w:cs="Book Antiqua"/>
          <w:bCs/>
          <w:color w:val="000000" w:themeColor="text1"/>
          <w:lang w:val="es-ES"/>
        </w:rPr>
      </w:pPr>
    </w:p>
    <w:p w14:paraId="450BC6C0" w14:textId="77777777" w:rsidR="00C40403" w:rsidRDefault="00C40403" w:rsidP="002349BF">
      <w:pPr>
        <w:pStyle w:val="NoSpacing"/>
        <w:rPr>
          <w:rFonts w:ascii="Book Antiqua" w:eastAsia="Book Antiqua" w:hAnsi="Book Antiqua" w:cs="Book Antiqua"/>
          <w:bCs/>
          <w:color w:val="000000" w:themeColor="text1"/>
          <w:lang w:val="es-ES"/>
        </w:rPr>
      </w:pPr>
    </w:p>
    <w:p w14:paraId="6C818162" w14:textId="77777777" w:rsidR="002349BF" w:rsidRPr="005A6966" w:rsidRDefault="002349BF" w:rsidP="002349BF">
      <w:pPr>
        <w:pStyle w:val="NoSpacing"/>
        <w:rPr>
          <w:rFonts w:ascii="Book Antiqua" w:eastAsia="Book Antiqua" w:hAnsi="Book Antiqua" w:cs="Book Antiqua"/>
          <w:bCs/>
          <w:color w:val="000000" w:themeColor="text1"/>
          <w:lang w:val="es-ES"/>
        </w:rPr>
      </w:pPr>
    </w:p>
    <w:p w14:paraId="20D9F777" w14:textId="77777777" w:rsidR="00FB0AB4" w:rsidRPr="005A6966" w:rsidRDefault="00FB0AB4" w:rsidP="002349BF">
      <w:pPr>
        <w:pStyle w:val="NoSpacing"/>
        <w:rPr>
          <w:rFonts w:ascii="Book Antiqua" w:eastAsia="Book Antiqua" w:hAnsi="Book Antiqua" w:cs="Book Antiqua"/>
          <w:b/>
          <w:bCs/>
          <w:color w:val="000000" w:themeColor="text1"/>
          <w:lang w:val="es-ES"/>
        </w:rPr>
      </w:pPr>
      <w:r w:rsidRPr="005A6966">
        <w:rPr>
          <w:rFonts w:ascii="Book Antiqua" w:eastAsia="Book Antiqua" w:hAnsi="Book Antiqua" w:cs="Book Antiqua"/>
          <w:b/>
          <w:bCs/>
          <w:color w:val="000000" w:themeColor="text1"/>
          <w:lang w:val="es-ES"/>
        </w:rPr>
        <w:t>Hon. Félix Pacheco Burgos</w:t>
      </w:r>
    </w:p>
    <w:p w14:paraId="64F748CD" w14:textId="77777777" w:rsidR="00FB0AB4" w:rsidRPr="005A6966" w:rsidRDefault="00FB0AB4" w:rsidP="002349BF">
      <w:pPr>
        <w:pStyle w:val="NoSpacing"/>
        <w:rPr>
          <w:rFonts w:ascii="Book Antiqua" w:eastAsia="Book Antiqua" w:hAnsi="Book Antiqua" w:cs="Book Antiqua"/>
          <w:bCs/>
          <w:color w:val="000000" w:themeColor="text1"/>
          <w:lang w:val="es-ES"/>
        </w:rPr>
      </w:pPr>
      <w:r w:rsidRPr="005A6966">
        <w:rPr>
          <w:rFonts w:ascii="Book Antiqua" w:eastAsia="Book Antiqua" w:hAnsi="Book Antiqua" w:cs="Book Antiqua"/>
          <w:bCs/>
          <w:color w:val="000000" w:themeColor="text1"/>
          <w:lang w:val="es-ES"/>
        </w:rPr>
        <w:t>Presidente</w:t>
      </w:r>
    </w:p>
    <w:p w14:paraId="7DB0BFA1" w14:textId="77777777" w:rsidR="00FB0AB4" w:rsidRPr="005A6966" w:rsidRDefault="00FB0AB4" w:rsidP="002349BF">
      <w:pPr>
        <w:pStyle w:val="NoSpacing"/>
        <w:rPr>
          <w:rFonts w:ascii="Book Antiqua" w:eastAsia="Book Antiqua" w:hAnsi="Book Antiqua" w:cs="Book Antiqua"/>
          <w:bCs/>
          <w:color w:val="000000" w:themeColor="text1"/>
          <w:lang w:val="es-ES"/>
        </w:rPr>
      </w:pPr>
      <w:r w:rsidRPr="005A6966">
        <w:rPr>
          <w:rFonts w:ascii="Book Antiqua" w:eastAsia="Book Antiqua" w:hAnsi="Book Antiqua" w:cs="Book Antiqua"/>
          <w:bCs/>
          <w:color w:val="000000" w:themeColor="text1"/>
          <w:lang w:val="es-ES"/>
        </w:rPr>
        <w:t>Comisión de Seguridad Pública</w:t>
      </w:r>
    </w:p>
    <w:p w14:paraId="63414C34" w14:textId="00B4778E" w:rsidR="003B38A4" w:rsidRPr="005A6966" w:rsidRDefault="003B38A4" w:rsidP="0071572C">
      <w:pPr>
        <w:spacing w:after="240"/>
        <w:jc w:val="both"/>
        <w:rPr>
          <w:rFonts w:ascii="Book Antiqua" w:eastAsia="Book Antiqua" w:hAnsi="Book Antiqua" w:cs="Book Antiqua"/>
          <w:color w:val="000000" w:themeColor="text1"/>
          <w:szCs w:val="24"/>
        </w:rPr>
      </w:pPr>
    </w:p>
    <w:p w14:paraId="5B154406" w14:textId="77777777" w:rsidR="003B38A4" w:rsidRPr="005A6966" w:rsidRDefault="003B38A4" w:rsidP="0071572C">
      <w:pPr>
        <w:spacing w:after="240"/>
        <w:jc w:val="both"/>
        <w:rPr>
          <w:rFonts w:ascii="Book Antiqua" w:eastAsia="Book Antiqua" w:hAnsi="Book Antiqua" w:cs="Book Antiqua"/>
          <w:color w:val="000000" w:themeColor="text1"/>
          <w:szCs w:val="24"/>
        </w:rPr>
      </w:pPr>
    </w:p>
    <w:p w14:paraId="48961C1A" w14:textId="2341F136" w:rsidR="007B2F4F" w:rsidRPr="005A6966" w:rsidRDefault="009535ED" w:rsidP="0071572C">
      <w:pPr>
        <w:spacing w:after="240"/>
        <w:jc w:val="both"/>
        <w:rPr>
          <w:rFonts w:ascii="Book Antiqua" w:eastAsia="Book Antiqua" w:hAnsi="Book Antiqua" w:cs="Book Antiqua"/>
          <w:color w:val="000000" w:themeColor="text1"/>
          <w:szCs w:val="24"/>
        </w:rPr>
      </w:pPr>
      <w:r w:rsidRPr="005A6966">
        <w:rPr>
          <w:rFonts w:ascii="Book Antiqua" w:eastAsia="Book Antiqua" w:hAnsi="Book Antiqua" w:cs="Book Antiqua"/>
          <w:color w:val="000000" w:themeColor="text1"/>
          <w:szCs w:val="24"/>
        </w:rPr>
        <w:t xml:space="preserve"> </w:t>
      </w:r>
    </w:p>
    <w:sectPr w:rsidR="007B2F4F" w:rsidRPr="005A6966" w:rsidSect="005D2A7D">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73D10" w14:textId="77777777" w:rsidR="00F8550F" w:rsidRDefault="00F8550F">
      <w:r>
        <w:separator/>
      </w:r>
    </w:p>
  </w:endnote>
  <w:endnote w:type="continuationSeparator" w:id="0">
    <w:p w14:paraId="7169F368" w14:textId="77777777" w:rsidR="00F8550F" w:rsidRDefault="00F85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auto"/>
    <w:notTrueType/>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DD0D1" w14:textId="77777777" w:rsidR="00F8550F" w:rsidRDefault="00F8550F">
      <w:r>
        <w:separator/>
      </w:r>
    </w:p>
  </w:footnote>
  <w:footnote w:type="continuationSeparator" w:id="0">
    <w:p w14:paraId="7F0EFB9B" w14:textId="77777777" w:rsidR="00F8550F" w:rsidRDefault="00F855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50C71286" w:rsidR="00BA0B5D" w:rsidRPr="00B65280" w:rsidRDefault="00CE54D8" w:rsidP="00CE54D8">
    <w:pPr>
      <w:pBdr>
        <w:bottom w:val="single" w:sz="4" w:space="1" w:color="D9D9D9"/>
      </w:pBdr>
      <w:tabs>
        <w:tab w:val="center" w:pos="4680"/>
        <w:tab w:val="right" w:pos="9360"/>
      </w:tabs>
      <w:rPr>
        <w:rFonts w:ascii="Book Antiqua" w:eastAsia="Calibri" w:hAnsi="Book Antiqua"/>
        <w:b/>
        <w:iCs/>
        <w:sz w:val="22"/>
        <w:szCs w:val="22"/>
      </w:rPr>
    </w:pPr>
    <w:r w:rsidRPr="00B65280">
      <w:rPr>
        <w:rFonts w:ascii="Book Antiqua" w:eastAsia="Calibri" w:hAnsi="Book Antiqua"/>
        <w:b/>
        <w:iCs/>
        <w:sz w:val="22"/>
        <w:szCs w:val="22"/>
      </w:rPr>
      <w:t>Informe</w:t>
    </w:r>
    <w:r w:rsidR="00900740" w:rsidRPr="00B65280">
      <w:rPr>
        <w:rFonts w:ascii="Book Antiqua" w:eastAsia="Calibri" w:hAnsi="Book Antiqua"/>
        <w:b/>
        <w:iCs/>
        <w:sz w:val="22"/>
        <w:szCs w:val="22"/>
      </w:rPr>
      <w:t xml:space="preserve"> Positivo</w:t>
    </w:r>
    <w:r w:rsidRPr="00B65280">
      <w:rPr>
        <w:rFonts w:ascii="Book Antiqua" w:eastAsia="Calibri" w:hAnsi="Book Antiqua"/>
        <w:b/>
        <w:iCs/>
        <w:sz w:val="22"/>
        <w:szCs w:val="22"/>
      </w:rPr>
      <w:t xml:space="preserve"> P. de la C. </w:t>
    </w:r>
    <w:r w:rsidR="00120C7F" w:rsidRPr="00B65280">
      <w:rPr>
        <w:rFonts w:ascii="Book Antiqua" w:eastAsia="Calibri" w:hAnsi="Book Antiqua"/>
        <w:b/>
        <w:iCs/>
        <w:sz w:val="22"/>
        <w:szCs w:val="22"/>
      </w:rPr>
      <w:t>1</w:t>
    </w:r>
    <w:r w:rsidR="00AF10DE" w:rsidRPr="00B65280">
      <w:rPr>
        <w:rFonts w:ascii="Book Antiqua" w:eastAsia="Calibri" w:hAnsi="Book Antiqua"/>
        <w:b/>
        <w:iCs/>
        <w:sz w:val="22"/>
        <w:szCs w:val="22"/>
      </w:rPr>
      <w:t>138</w:t>
    </w:r>
    <w:r w:rsidRPr="00B65280">
      <w:rPr>
        <w:rFonts w:ascii="Book Antiqua" w:eastAsia="Calibri" w:hAnsi="Book Antiqua"/>
        <w:b/>
        <w:iCs/>
        <w:sz w:val="22"/>
        <w:szCs w:val="22"/>
      </w:rPr>
      <w:tab/>
    </w:r>
    <w:r w:rsidRPr="00B65280">
      <w:rPr>
        <w:rFonts w:ascii="Book Antiqua" w:eastAsia="Calibri" w:hAnsi="Book Antiqua"/>
        <w:b/>
        <w:iCs/>
        <w:sz w:val="22"/>
        <w:szCs w:val="22"/>
      </w:rPr>
      <w:tab/>
      <w:t xml:space="preserve"> Página</w:t>
    </w:r>
    <w:r w:rsidRPr="00B65280">
      <w:rPr>
        <w:rFonts w:ascii="Book Antiqua" w:eastAsia="Calibri" w:hAnsi="Book Antiqua"/>
        <w:sz w:val="22"/>
        <w:szCs w:val="22"/>
      </w:rPr>
      <w:t xml:space="preserve"> | </w:t>
    </w:r>
    <w:r w:rsidRPr="00B65280">
      <w:rPr>
        <w:rFonts w:ascii="Book Antiqua" w:eastAsia="Calibri" w:hAnsi="Book Antiqua"/>
        <w:sz w:val="22"/>
        <w:szCs w:val="22"/>
        <w:lang w:val="en-US"/>
      </w:rPr>
      <w:fldChar w:fldCharType="begin"/>
    </w:r>
    <w:r w:rsidRPr="00B65280">
      <w:rPr>
        <w:rFonts w:ascii="Book Antiqua" w:eastAsia="Calibri" w:hAnsi="Book Antiqua"/>
        <w:sz w:val="22"/>
        <w:szCs w:val="22"/>
      </w:rPr>
      <w:instrText xml:space="preserve"> PAGE   \* MERGEFORMAT </w:instrText>
    </w:r>
    <w:r w:rsidRPr="00B65280">
      <w:rPr>
        <w:rFonts w:ascii="Book Antiqua" w:eastAsia="Calibri" w:hAnsi="Book Antiqua"/>
        <w:sz w:val="22"/>
        <w:szCs w:val="22"/>
        <w:lang w:val="en-US"/>
      </w:rPr>
      <w:fldChar w:fldCharType="separate"/>
    </w:r>
    <w:r w:rsidR="000F67BD" w:rsidRPr="00B65280">
      <w:rPr>
        <w:rFonts w:ascii="Book Antiqua" w:eastAsia="Calibri" w:hAnsi="Book Antiqua"/>
        <w:b/>
        <w:bCs/>
        <w:noProof/>
        <w:sz w:val="22"/>
        <w:szCs w:val="22"/>
      </w:rPr>
      <w:t>5</w:t>
    </w:r>
    <w:r w:rsidRPr="00B65280">
      <w:rPr>
        <w:rFonts w:ascii="Book Antiqua" w:eastAsia="Calibri" w:hAnsi="Book Antiqua"/>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14"/>
  </w:num>
  <w:num w:numId="7" w16cid:durableId="1113287001">
    <w:abstractNumId w:val="7"/>
  </w:num>
  <w:num w:numId="8" w16cid:durableId="1631401959">
    <w:abstractNumId w:val="12"/>
  </w:num>
  <w:num w:numId="9" w16cid:durableId="591201020">
    <w:abstractNumId w:val="10"/>
  </w:num>
  <w:num w:numId="10" w16cid:durableId="645204287">
    <w:abstractNumId w:val="17"/>
  </w:num>
  <w:num w:numId="11" w16cid:durableId="1508133352">
    <w:abstractNumId w:val="6"/>
  </w:num>
  <w:num w:numId="12" w16cid:durableId="1889679253">
    <w:abstractNumId w:val="13"/>
  </w:num>
  <w:num w:numId="13" w16cid:durableId="325980482">
    <w:abstractNumId w:val="8"/>
  </w:num>
  <w:num w:numId="14" w16cid:durableId="1607613887">
    <w:abstractNumId w:val="15"/>
  </w:num>
  <w:num w:numId="15" w16cid:durableId="1411585931">
    <w:abstractNumId w:val="16"/>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86C"/>
    <w:rsid w:val="00000EC6"/>
    <w:rsid w:val="00004A67"/>
    <w:rsid w:val="00006214"/>
    <w:rsid w:val="0000670B"/>
    <w:rsid w:val="00006E0B"/>
    <w:rsid w:val="000142E7"/>
    <w:rsid w:val="00015228"/>
    <w:rsid w:val="00015A4D"/>
    <w:rsid w:val="00015D17"/>
    <w:rsid w:val="00021243"/>
    <w:rsid w:val="00021915"/>
    <w:rsid w:val="000220C0"/>
    <w:rsid w:val="00022E54"/>
    <w:rsid w:val="000240CE"/>
    <w:rsid w:val="000307E4"/>
    <w:rsid w:val="000308FB"/>
    <w:rsid w:val="00032407"/>
    <w:rsid w:val="00032DCE"/>
    <w:rsid w:val="00035FFD"/>
    <w:rsid w:val="00036E83"/>
    <w:rsid w:val="00037D01"/>
    <w:rsid w:val="0004014A"/>
    <w:rsid w:val="00041144"/>
    <w:rsid w:val="00045619"/>
    <w:rsid w:val="0004737C"/>
    <w:rsid w:val="00047B9F"/>
    <w:rsid w:val="00050B2C"/>
    <w:rsid w:val="00050E9A"/>
    <w:rsid w:val="00052709"/>
    <w:rsid w:val="000527EB"/>
    <w:rsid w:val="00056538"/>
    <w:rsid w:val="000632A5"/>
    <w:rsid w:val="00065929"/>
    <w:rsid w:val="00065AED"/>
    <w:rsid w:val="00066326"/>
    <w:rsid w:val="000673D8"/>
    <w:rsid w:val="000777FE"/>
    <w:rsid w:val="00082AAA"/>
    <w:rsid w:val="00084AD5"/>
    <w:rsid w:val="00084F67"/>
    <w:rsid w:val="0009035A"/>
    <w:rsid w:val="00093934"/>
    <w:rsid w:val="00093B54"/>
    <w:rsid w:val="000949F8"/>
    <w:rsid w:val="00095FF9"/>
    <w:rsid w:val="000968F0"/>
    <w:rsid w:val="000A01D0"/>
    <w:rsid w:val="000A0600"/>
    <w:rsid w:val="000A2ABB"/>
    <w:rsid w:val="000A2E99"/>
    <w:rsid w:val="000A31E4"/>
    <w:rsid w:val="000A32DC"/>
    <w:rsid w:val="000A4C87"/>
    <w:rsid w:val="000A6FA3"/>
    <w:rsid w:val="000B0D43"/>
    <w:rsid w:val="000B372A"/>
    <w:rsid w:val="000B4063"/>
    <w:rsid w:val="000B616E"/>
    <w:rsid w:val="000B6B0E"/>
    <w:rsid w:val="000B73D0"/>
    <w:rsid w:val="000C1710"/>
    <w:rsid w:val="000C4E3C"/>
    <w:rsid w:val="000C66A9"/>
    <w:rsid w:val="000C7492"/>
    <w:rsid w:val="000D1757"/>
    <w:rsid w:val="000D2BDF"/>
    <w:rsid w:val="000D5F7E"/>
    <w:rsid w:val="000D6314"/>
    <w:rsid w:val="000D68FC"/>
    <w:rsid w:val="000E47C9"/>
    <w:rsid w:val="000E5CC0"/>
    <w:rsid w:val="000E5D36"/>
    <w:rsid w:val="000F11E4"/>
    <w:rsid w:val="000F2868"/>
    <w:rsid w:val="000F3BA0"/>
    <w:rsid w:val="000F67BD"/>
    <w:rsid w:val="00100A67"/>
    <w:rsid w:val="001015D5"/>
    <w:rsid w:val="00101C99"/>
    <w:rsid w:val="00102587"/>
    <w:rsid w:val="001049CF"/>
    <w:rsid w:val="0010680D"/>
    <w:rsid w:val="001070BB"/>
    <w:rsid w:val="00111DF4"/>
    <w:rsid w:val="00112412"/>
    <w:rsid w:val="00114E08"/>
    <w:rsid w:val="001153BE"/>
    <w:rsid w:val="001153F3"/>
    <w:rsid w:val="001161EB"/>
    <w:rsid w:val="001176A7"/>
    <w:rsid w:val="001209AD"/>
    <w:rsid w:val="00120C7F"/>
    <w:rsid w:val="00121132"/>
    <w:rsid w:val="0012203E"/>
    <w:rsid w:val="00122769"/>
    <w:rsid w:val="001248BC"/>
    <w:rsid w:val="00125F1A"/>
    <w:rsid w:val="00126659"/>
    <w:rsid w:val="001311BA"/>
    <w:rsid w:val="001317FA"/>
    <w:rsid w:val="00133F97"/>
    <w:rsid w:val="0013542A"/>
    <w:rsid w:val="00136622"/>
    <w:rsid w:val="00140F2B"/>
    <w:rsid w:val="00141605"/>
    <w:rsid w:val="00141703"/>
    <w:rsid w:val="00143359"/>
    <w:rsid w:val="00152FBF"/>
    <w:rsid w:val="00153CDD"/>
    <w:rsid w:val="00153D68"/>
    <w:rsid w:val="001561A6"/>
    <w:rsid w:val="001601C3"/>
    <w:rsid w:val="00163D3F"/>
    <w:rsid w:val="00166871"/>
    <w:rsid w:val="00166C0A"/>
    <w:rsid w:val="001701F8"/>
    <w:rsid w:val="0017100B"/>
    <w:rsid w:val="001711E6"/>
    <w:rsid w:val="00171FDF"/>
    <w:rsid w:val="00175BAC"/>
    <w:rsid w:val="001763ED"/>
    <w:rsid w:val="001778DE"/>
    <w:rsid w:val="00186364"/>
    <w:rsid w:val="0019105D"/>
    <w:rsid w:val="00195644"/>
    <w:rsid w:val="001A18DA"/>
    <w:rsid w:val="001A1EAC"/>
    <w:rsid w:val="001A5A3D"/>
    <w:rsid w:val="001B01C6"/>
    <w:rsid w:val="001B482E"/>
    <w:rsid w:val="001C1DDA"/>
    <w:rsid w:val="001C24D7"/>
    <w:rsid w:val="001C2EE7"/>
    <w:rsid w:val="001C47C4"/>
    <w:rsid w:val="001C6FBB"/>
    <w:rsid w:val="001D0130"/>
    <w:rsid w:val="001D1FDA"/>
    <w:rsid w:val="001D23E0"/>
    <w:rsid w:val="001D3C66"/>
    <w:rsid w:val="001D5EE7"/>
    <w:rsid w:val="001D6450"/>
    <w:rsid w:val="001D6791"/>
    <w:rsid w:val="001E4FEC"/>
    <w:rsid w:val="001F0E14"/>
    <w:rsid w:val="001F1D5B"/>
    <w:rsid w:val="001F2695"/>
    <w:rsid w:val="001F3071"/>
    <w:rsid w:val="001F5243"/>
    <w:rsid w:val="001F5FB1"/>
    <w:rsid w:val="001F6D62"/>
    <w:rsid w:val="001F6E59"/>
    <w:rsid w:val="001F72C1"/>
    <w:rsid w:val="0020155A"/>
    <w:rsid w:val="00203076"/>
    <w:rsid w:val="00203D0D"/>
    <w:rsid w:val="00206D79"/>
    <w:rsid w:val="00206E8A"/>
    <w:rsid w:val="00215A62"/>
    <w:rsid w:val="0021655A"/>
    <w:rsid w:val="00216AC7"/>
    <w:rsid w:val="00217FFD"/>
    <w:rsid w:val="002206BF"/>
    <w:rsid w:val="0022092E"/>
    <w:rsid w:val="00221403"/>
    <w:rsid w:val="00221961"/>
    <w:rsid w:val="002222DA"/>
    <w:rsid w:val="002227F8"/>
    <w:rsid w:val="002239EA"/>
    <w:rsid w:val="0022631A"/>
    <w:rsid w:val="00227117"/>
    <w:rsid w:val="0022724D"/>
    <w:rsid w:val="00227843"/>
    <w:rsid w:val="00227846"/>
    <w:rsid w:val="00231E70"/>
    <w:rsid w:val="0023302B"/>
    <w:rsid w:val="00233925"/>
    <w:rsid w:val="00233B5B"/>
    <w:rsid w:val="002349BF"/>
    <w:rsid w:val="00235A3C"/>
    <w:rsid w:val="00242595"/>
    <w:rsid w:val="00251481"/>
    <w:rsid w:val="00251DA0"/>
    <w:rsid w:val="00253152"/>
    <w:rsid w:val="0025428E"/>
    <w:rsid w:val="00261802"/>
    <w:rsid w:val="00264342"/>
    <w:rsid w:val="00265DD8"/>
    <w:rsid w:val="002673B6"/>
    <w:rsid w:val="0027127A"/>
    <w:rsid w:val="00272871"/>
    <w:rsid w:val="002752BD"/>
    <w:rsid w:val="00275876"/>
    <w:rsid w:val="00276733"/>
    <w:rsid w:val="002773BE"/>
    <w:rsid w:val="00286473"/>
    <w:rsid w:val="002864AF"/>
    <w:rsid w:val="00291A39"/>
    <w:rsid w:val="00291B0E"/>
    <w:rsid w:val="0029300A"/>
    <w:rsid w:val="002939AA"/>
    <w:rsid w:val="002943CB"/>
    <w:rsid w:val="0029448F"/>
    <w:rsid w:val="00296FB9"/>
    <w:rsid w:val="0029786E"/>
    <w:rsid w:val="002A065A"/>
    <w:rsid w:val="002A2577"/>
    <w:rsid w:val="002A2E53"/>
    <w:rsid w:val="002A45B4"/>
    <w:rsid w:val="002A795A"/>
    <w:rsid w:val="002B241B"/>
    <w:rsid w:val="002B27AF"/>
    <w:rsid w:val="002B5B63"/>
    <w:rsid w:val="002B678B"/>
    <w:rsid w:val="002B7E82"/>
    <w:rsid w:val="002C40B3"/>
    <w:rsid w:val="002C63ED"/>
    <w:rsid w:val="002D2AD0"/>
    <w:rsid w:val="002D4655"/>
    <w:rsid w:val="002D67CE"/>
    <w:rsid w:val="002E079A"/>
    <w:rsid w:val="002E4FD3"/>
    <w:rsid w:val="002F16BF"/>
    <w:rsid w:val="002F21E5"/>
    <w:rsid w:val="00300F27"/>
    <w:rsid w:val="00304248"/>
    <w:rsid w:val="00305C9F"/>
    <w:rsid w:val="00307165"/>
    <w:rsid w:val="00312AB3"/>
    <w:rsid w:val="00316495"/>
    <w:rsid w:val="00316753"/>
    <w:rsid w:val="00321C5F"/>
    <w:rsid w:val="00322779"/>
    <w:rsid w:val="00323431"/>
    <w:rsid w:val="00324FDE"/>
    <w:rsid w:val="00326777"/>
    <w:rsid w:val="00327FC3"/>
    <w:rsid w:val="00330313"/>
    <w:rsid w:val="003344C6"/>
    <w:rsid w:val="00335C67"/>
    <w:rsid w:val="003361A3"/>
    <w:rsid w:val="0034154B"/>
    <w:rsid w:val="0034229A"/>
    <w:rsid w:val="00342758"/>
    <w:rsid w:val="00342992"/>
    <w:rsid w:val="00343D03"/>
    <w:rsid w:val="0034407D"/>
    <w:rsid w:val="003448C9"/>
    <w:rsid w:val="00351575"/>
    <w:rsid w:val="00353592"/>
    <w:rsid w:val="00354EC7"/>
    <w:rsid w:val="00357B74"/>
    <w:rsid w:val="00363230"/>
    <w:rsid w:val="00364147"/>
    <w:rsid w:val="00366718"/>
    <w:rsid w:val="00367C16"/>
    <w:rsid w:val="00370F8A"/>
    <w:rsid w:val="00371331"/>
    <w:rsid w:val="00373C1C"/>
    <w:rsid w:val="0037494D"/>
    <w:rsid w:val="00375343"/>
    <w:rsid w:val="003832F6"/>
    <w:rsid w:val="0038413A"/>
    <w:rsid w:val="003841AE"/>
    <w:rsid w:val="0038510E"/>
    <w:rsid w:val="003864AF"/>
    <w:rsid w:val="003910E6"/>
    <w:rsid w:val="00391145"/>
    <w:rsid w:val="00392CEF"/>
    <w:rsid w:val="003934B6"/>
    <w:rsid w:val="00393ADF"/>
    <w:rsid w:val="003967AF"/>
    <w:rsid w:val="003A47D4"/>
    <w:rsid w:val="003B38A4"/>
    <w:rsid w:val="003B5459"/>
    <w:rsid w:val="003B6DB6"/>
    <w:rsid w:val="003B7D5E"/>
    <w:rsid w:val="003C0E8D"/>
    <w:rsid w:val="003C1FDE"/>
    <w:rsid w:val="003C2DE8"/>
    <w:rsid w:val="003C6019"/>
    <w:rsid w:val="003C6951"/>
    <w:rsid w:val="003D2F29"/>
    <w:rsid w:val="003D601E"/>
    <w:rsid w:val="003E1A9C"/>
    <w:rsid w:val="003E23C0"/>
    <w:rsid w:val="003E4335"/>
    <w:rsid w:val="003E46FB"/>
    <w:rsid w:val="003E529E"/>
    <w:rsid w:val="003E6E10"/>
    <w:rsid w:val="003E7648"/>
    <w:rsid w:val="003E78B7"/>
    <w:rsid w:val="003E7944"/>
    <w:rsid w:val="003F10BB"/>
    <w:rsid w:val="003F2674"/>
    <w:rsid w:val="003F59B0"/>
    <w:rsid w:val="003F684F"/>
    <w:rsid w:val="003F6F83"/>
    <w:rsid w:val="00402CD3"/>
    <w:rsid w:val="00403394"/>
    <w:rsid w:val="004045A0"/>
    <w:rsid w:val="00407674"/>
    <w:rsid w:val="0040798B"/>
    <w:rsid w:val="00410F72"/>
    <w:rsid w:val="00413B71"/>
    <w:rsid w:val="004155A9"/>
    <w:rsid w:val="0042168B"/>
    <w:rsid w:val="00422255"/>
    <w:rsid w:val="00423042"/>
    <w:rsid w:val="00427424"/>
    <w:rsid w:val="00427950"/>
    <w:rsid w:val="004300A0"/>
    <w:rsid w:val="00431F68"/>
    <w:rsid w:val="004320AA"/>
    <w:rsid w:val="004358D9"/>
    <w:rsid w:val="00436471"/>
    <w:rsid w:val="00442843"/>
    <w:rsid w:val="00446C76"/>
    <w:rsid w:val="00447224"/>
    <w:rsid w:val="00447621"/>
    <w:rsid w:val="004512E8"/>
    <w:rsid w:val="0045169F"/>
    <w:rsid w:val="00451F27"/>
    <w:rsid w:val="004523CD"/>
    <w:rsid w:val="00452D84"/>
    <w:rsid w:val="0045486C"/>
    <w:rsid w:val="004617E5"/>
    <w:rsid w:val="004654B5"/>
    <w:rsid w:val="00466CA5"/>
    <w:rsid w:val="00467CB0"/>
    <w:rsid w:val="004702EC"/>
    <w:rsid w:val="004711EC"/>
    <w:rsid w:val="00471DF9"/>
    <w:rsid w:val="00474109"/>
    <w:rsid w:val="004745E3"/>
    <w:rsid w:val="004800BD"/>
    <w:rsid w:val="00481BA5"/>
    <w:rsid w:val="00485C9A"/>
    <w:rsid w:val="00486978"/>
    <w:rsid w:val="00490269"/>
    <w:rsid w:val="00493A17"/>
    <w:rsid w:val="004941D5"/>
    <w:rsid w:val="00494DB8"/>
    <w:rsid w:val="00496EEF"/>
    <w:rsid w:val="00496F72"/>
    <w:rsid w:val="00497364"/>
    <w:rsid w:val="00497491"/>
    <w:rsid w:val="004A2226"/>
    <w:rsid w:val="004A4A9F"/>
    <w:rsid w:val="004A5A18"/>
    <w:rsid w:val="004A5AE1"/>
    <w:rsid w:val="004B1599"/>
    <w:rsid w:val="004B2E7E"/>
    <w:rsid w:val="004B3B30"/>
    <w:rsid w:val="004B4977"/>
    <w:rsid w:val="004B5B10"/>
    <w:rsid w:val="004C34EA"/>
    <w:rsid w:val="004C3611"/>
    <w:rsid w:val="004C40F2"/>
    <w:rsid w:val="004C499B"/>
    <w:rsid w:val="004D0435"/>
    <w:rsid w:val="004D125E"/>
    <w:rsid w:val="004D28B0"/>
    <w:rsid w:val="004D2F67"/>
    <w:rsid w:val="004D6DBF"/>
    <w:rsid w:val="004D6E45"/>
    <w:rsid w:val="004D7163"/>
    <w:rsid w:val="004E356B"/>
    <w:rsid w:val="004E4658"/>
    <w:rsid w:val="004E516D"/>
    <w:rsid w:val="004E5762"/>
    <w:rsid w:val="004E7F19"/>
    <w:rsid w:val="004F1E94"/>
    <w:rsid w:val="004F38E8"/>
    <w:rsid w:val="004F3AEE"/>
    <w:rsid w:val="004F3EF4"/>
    <w:rsid w:val="004F4A0B"/>
    <w:rsid w:val="004F5F04"/>
    <w:rsid w:val="004F6579"/>
    <w:rsid w:val="004F79AB"/>
    <w:rsid w:val="005003AB"/>
    <w:rsid w:val="005007F9"/>
    <w:rsid w:val="00505B4C"/>
    <w:rsid w:val="005062EB"/>
    <w:rsid w:val="00507C1A"/>
    <w:rsid w:val="00511EE0"/>
    <w:rsid w:val="005132E2"/>
    <w:rsid w:val="00514D69"/>
    <w:rsid w:val="00516AB2"/>
    <w:rsid w:val="00517773"/>
    <w:rsid w:val="0052057E"/>
    <w:rsid w:val="0052072F"/>
    <w:rsid w:val="00524E93"/>
    <w:rsid w:val="0052624F"/>
    <w:rsid w:val="00526ACF"/>
    <w:rsid w:val="00527957"/>
    <w:rsid w:val="0053079A"/>
    <w:rsid w:val="00530FFC"/>
    <w:rsid w:val="00531336"/>
    <w:rsid w:val="00532F3A"/>
    <w:rsid w:val="00533210"/>
    <w:rsid w:val="00540692"/>
    <w:rsid w:val="0054166C"/>
    <w:rsid w:val="00542113"/>
    <w:rsid w:val="005432C2"/>
    <w:rsid w:val="00543A44"/>
    <w:rsid w:val="00543FA6"/>
    <w:rsid w:val="00544411"/>
    <w:rsid w:val="00545F61"/>
    <w:rsid w:val="00547277"/>
    <w:rsid w:val="00552AC4"/>
    <w:rsid w:val="00554EB0"/>
    <w:rsid w:val="00556D64"/>
    <w:rsid w:val="0056097C"/>
    <w:rsid w:val="00560E41"/>
    <w:rsid w:val="0056523D"/>
    <w:rsid w:val="00566B7D"/>
    <w:rsid w:val="00566BF6"/>
    <w:rsid w:val="00567ECA"/>
    <w:rsid w:val="005803BF"/>
    <w:rsid w:val="005813B7"/>
    <w:rsid w:val="00581799"/>
    <w:rsid w:val="00582CE9"/>
    <w:rsid w:val="00584753"/>
    <w:rsid w:val="00586C9A"/>
    <w:rsid w:val="00587A34"/>
    <w:rsid w:val="00591971"/>
    <w:rsid w:val="00591C6D"/>
    <w:rsid w:val="005922E8"/>
    <w:rsid w:val="00592D59"/>
    <w:rsid w:val="005A052D"/>
    <w:rsid w:val="005A1F13"/>
    <w:rsid w:val="005A5866"/>
    <w:rsid w:val="005A6966"/>
    <w:rsid w:val="005B0A01"/>
    <w:rsid w:val="005B42F2"/>
    <w:rsid w:val="005B4FA8"/>
    <w:rsid w:val="005B69A9"/>
    <w:rsid w:val="005B747C"/>
    <w:rsid w:val="005B750B"/>
    <w:rsid w:val="005C1799"/>
    <w:rsid w:val="005C1CEE"/>
    <w:rsid w:val="005C1E56"/>
    <w:rsid w:val="005C3365"/>
    <w:rsid w:val="005C659F"/>
    <w:rsid w:val="005D07A9"/>
    <w:rsid w:val="005D1F4B"/>
    <w:rsid w:val="005D2A7D"/>
    <w:rsid w:val="005D2AFE"/>
    <w:rsid w:val="005D5254"/>
    <w:rsid w:val="005E149A"/>
    <w:rsid w:val="005E3917"/>
    <w:rsid w:val="005E4CF7"/>
    <w:rsid w:val="005F0342"/>
    <w:rsid w:val="005F0450"/>
    <w:rsid w:val="005F0D61"/>
    <w:rsid w:val="005F4078"/>
    <w:rsid w:val="005F4187"/>
    <w:rsid w:val="00600272"/>
    <w:rsid w:val="00602E29"/>
    <w:rsid w:val="00603D79"/>
    <w:rsid w:val="00603FE4"/>
    <w:rsid w:val="00607598"/>
    <w:rsid w:val="006114BF"/>
    <w:rsid w:val="006115FC"/>
    <w:rsid w:val="00611979"/>
    <w:rsid w:val="00612378"/>
    <w:rsid w:val="00616E3A"/>
    <w:rsid w:val="00622B23"/>
    <w:rsid w:val="00623890"/>
    <w:rsid w:val="00623D71"/>
    <w:rsid w:val="0062401C"/>
    <w:rsid w:val="00631225"/>
    <w:rsid w:val="00635694"/>
    <w:rsid w:val="006430D4"/>
    <w:rsid w:val="00643749"/>
    <w:rsid w:val="0064568A"/>
    <w:rsid w:val="006569BD"/>
    <w:rsid w:val="006569DA"/>
    <w:rsid w:val="00661CDA"/>
    <w:rsid w:val="006620D1"/>
    <w:rsid w:val="00663900"/>
    <w:rsid w:val="0066464E"/>
    <w:rsid w:val="00664692"/>
    <w:rsid w:val="0066649B"/>
    <w:rsid w:val="0067175E"/>
    <w:rsid w:val="00671B9A"/>
    <w:rsid w:val="0067276B"/>
    <w:rsid w:val="006739EE"/>
    <w:rsid w:val="00681CFB"/>
    <w:rsid w:val="0068279C"/>
    <w:rsid w:val="0068379B"/>
    <w:rsid w:val="00685820"/>
    <w:rsid w:val="0068584D"/>
    <w:rsid w:val="006927CD"/>
    <w:rsid w:val="0069342C"/>
    <w:rsid w:val="0069397F"/>
    <w:rsid w:val="00694718"/>
    <w:rsid w:val="00696CA3"/>
    <w:rsid w:val="006A4879"/>
    <w:rsid w:val="006B2F9D"/>
    <w:rsid w:val="006B4F55"/>
    <w:rsid w:val="006B6984"/>
    <w:rsid w:val="006B6B87"/>
    <w:rsid w:val="006C3970"/>
    <w:rsid w:val="006C5C8A"/>
    <w:rsid w:val="006C5F3E"/>
    <w:rsid w:val="006C70C8"/>
    <w:rsid w:val="006D046A"/>
    <w:rsid w:val="006D5B28"/>
    <w:rsid w:val="006E176E"/>
    <w:rsid w:val="006E2A38"/>
    <w:rsid w:val="006E649B"/>
    <w:rsid w:val="006E65D9"/>
    <w:rsid w:val="006F4745"/>
    <w:rsid w:val="006F6951"/>
    <w:rsid w:val="006F7DCB"/>
    <w:rsid w:val="0070305E"/>
    <w:rsid w:val="00705803"/>
    <w:rsid w:val="00706E51"/>
    <w:rsid w:val="00710987"/>
    <w:rsid w:val="007121F7"/>
    <w:rsid w:val="00712CDC"/>
    <w:rsid w:val="0071572C"/>
    <w:rsid w:val="00715AB6"/>
    <w:rsid w:val="00715E79"/>
    <w:rsid w:val="00716098"/>
    <w:rsid w:val="00716C22"/>
    <w:rsid w:val="00721E49"/>
    <w:rsid w:val="00723DBC"/>
    <w:rsid w:val="0072435A"/>
    <w:rsid w:val="007250C9"/>
    <w:rsid w:val="00725257"/>
    <w:rsid w:val="00733D27"/>
    <w:rsid w:val="00733E40"/>
    <w:rsid w:val="007359FE"/>
    <w:rsid w:val="007363D7"/>
    <w:rsid w:val="00744264"/>
    <w:rsid w:val="0074731E"/>
    <w:rsid w:val="007579F2"/>
    <w:rsid w:val="0076029D"/>
    <w:rsid w:val="00760D00"/>
    <w:rsid w:val="0076405E"/>
    <w:rsid w:val="007707DE"/>
    <w:rsid w:val="00770D4B"/>
    <w:rsid w:val="00770FEF"/>
    <w:rsid w:val="0077131A"/>
    <w:rsid w:val="0077152E"/>
    <w:rsid w:val="00773FDD"/>
    <w:rsid w:val="0077444F"/>
    <w:rsid w:val="007761C9"/>
    <w:rsid w:val="00782A64"/>
    <w:rsid w:val="00782BBD"/>
    <w:rsid w:val="00783933"/>
    <w:rsid w:val="007842E6"/>
    <w:rsid w:val="0078548C"/>
    <w:rsid w:val="007867ED"/>
    <w:rsid w:val="00786886"/>
    <w:rsid w:val="007916EC"/>
    <w:rsid w:val="007A4CF4"/>
    <w:rsid w:val="007B257D"/>
    <w:rsid w:val="007B2F4F"/>
    <w:rsid w:val="007B7985"/>
    <w:rsid w:val="007C3B81"/>
    <w:rsid w:val="007C5122"/>
    <w:rsid w:val="007D03F4"/>
    <w:rsid w:val="007D1CE3"/>
    <w:rsid w:val="007D22F5"/>
    <w:rsid w:val="007D3EE2"/>
    <w:rsid w:val="007D79C4"/>
    <w:rsid w:val="007E1D67"/>
    <w:rsid w:val="007E1E1B"/>
    <w:rsid w:val="007E255D"/>
    <w:rsid w:val="007E29E1"/>
    <w:rsid w:val="007E2AC1"/>
    <w:rsid w:val="007E5040"/>
    <w:rsid w:val="007E5C65"/>
    <w:rsid w:val="007E6834"/>
    <w:rsid w:val="007F475E"/>
    <w:rsid w:val="007F4C73"/>
    <w:rsid w:val="007F66FC"/>
    <w:rsid w:val="007F7DB1"/>
    <w:rsid w:val="00801AA2"/>
    <w:rsid w:val="00801B1B"/>
    <w:rsid w:val="00802900"/>
    <w:rsid w:val="008130A0"/>
    <w:rsid w:val="008142DA"/>
    <w:rsid w:val="00815629"/>
    <w:rsid w:val="00815802"/>
    <w:rsid w:val="008162A8"/>
    <w:rsid w:val="00821465"/>
    <w:rsid w:val="00821551"/>
    <w:rsid w:val="008225E7"/>
    <w:rsid w:val="00822FEF"/>
    <w:rsid w:val="00826766"/>
    <w:rsid w:val="008270AA"/>
    <w:rsid w:val="00831041"/>
    <w:rsid w:val="00831407"/>
    <w:rsid w:val="00832543"/>
    <w:rsid w:val="008326DB"/>
    <w:rsid w:val="00834124"/>
    <w:rsid w:val="0083483F"/>
    <w:rsid w:val="0083492B"/>
    <w:rsid w:val="0083671F"/>
    <w:rsid w:val="00836F12"/>
    <w:rsid w:val="00843CB3"/>
    <w:rsid w:val="00844B7A"/>
    <w:rsid w:val="00844E45"/>
    <w:rsid w:val="00847626"/>
    <w:rsid w:val="00850FE3"/>
    <w:rsid w:val="00851A0B"/>
    <w:rsid w:val="00851E49"/>
    <w:rsid w:val="008553D1"/>
    <w:rsid w:val="008558D3"/>
    <w:rsid w:val="00857D49"/>
    <w:rsid w:val="00860494"/>
    <w:rsid w:val="00861B05"/>
    <w:rsid w:val="00862995"/>
    <w:rsid w:val="00862B38"/>
    <w:rsid w:val="008634DD"/>
    <w:rsid w:val="00864628"/>
    <w:rsid w:val="00865E52"/>
    <w:rsid w:val="008714C1"/>
    <w:rsid w:val="00874445"/>
    <w:rsid w:val="00874C34"/>
    <w:rsid w:val="0087688A"/>
    <w:rsid w:val="008778D9"/>
    <w:rsid w:val="00877968"/>
    <w:rsid w:val="008812D2"/>
    <w:rsid w:val="00882690"/>
    <w:rsid w:val="008858A8"/>
    <w:rsid w:val="00887F45"/>
    <w:rsid w:val="0089070D"/>
    <w:rsid w:val="0089403B"/>
    <w:rsid w:val="008949F6"/>
    <w:rsid w:val="00895900"/>
    <w:rsid w:val="008A0AE1"/>
    <w:rsid w:val="008A170D"/>
    <w:rsid w:val="008A268E"/>
    <w:rsid w:val="008A71BD"/>
    <w:rsid w:val="008B2262"/>
    <w:rsid w:val="008B25F8"/>
    <w:rsid w:val="008B5DA5"/>
    <w:rsid w:val="008B701E"/>
    <w:rsid w:val="008B71AF"/>
    <w:rsid w:val="008C1517"/>
    <w:rsid w:val="008C7425"/>
    <w:rsid w:val="008D32D5"/>
    <w:rsid w:val="008D6656"/>
    <w:rsid w:val="008D6FEE"/>
    <w:rsid w:val="008E1117"/>
    <w:rsid w:val="008E1A90"/>
    <w:rsid w:val="008E271C"/>
    <w:rsid w:val="008E2D7C"/>
    <w:rsid w:val="008E3158"/>
    <w:rsid w:val="008E7018"/>
    <w:rsid w:val="008F039C"/>
    <w:rsid w:val="008F142C"/>
    <w:rsid w:val="008F1AA4"/>
    <w:rsid w:val="008F345E"/>
    <w:rsid w:val="008F4F8B"/>
    <w:rsid w:val="008F53EB"/>
    <w:rsid w:val="008F5E71"/>
    <w:rsid w:val="008F7269"/>
    <w:rsid w:val="00900740"/>
    <w:rsid w:val="0090114E"/>
    <w:rsid w:val="00902255"/>
    <w:rsid w:val="009060A3"/>
    <w:rsid w:val="009064DB"/>
    <w:rsid w:val="00910DF8"/>
    <w:rsid w:val="00911453"/>
    <w:rsid w:val="009123CA"/>
    <w:rsid w:val="00917E92"/>
    <w:rsid w:val="009246DD"/>
    <w:rsid w:val="00926B0A"/>
    <w:rsid w:val="00926C28"/>
    <w:rsid w:val="00932971"/>
    <w:rsid w:val="009343BD"/>
    <w:rsid w:val="009347CF"/>
    <w:rsid w:val="009412C4"/>
    <w:rsid w:val="00942E2E"/>
    <w:rsid w:val="00944FC0"/>
    <w:rsid w:val="00945265"/>
    <w:rsid w:val="0094610E"/>
    <w:rsid w:val="00950E91"/>
    <w:rsid w:val="00951AA5"/>
    <w:rsid w:val="00952A9C"/>
    <w:rsid w:val="009535ED"/>
    <w:rsid w:val="0095394E"/>
    <w:rsid w:val="00954BFD"/>
    <w:rsid w:val="009553B7"/>
    <w:rsid w:val="00961763"/>
    <w:rsid w:val="00967A62"/>
    <w:rsid w:val="0097085B"/>
    <w:rsid w:val="009710A1"/>
    <w:rsid w:val="00971743"/>
    <w:rsid w:val="0097284A"/>
    <w:rsid w:val="00972E68"/>
    <w:rsid w:val="009740BD"/>
    <w:rsid w:val="00974EC2"/>
    <w:rsid w:val="00974FE6"/>
    <w:rsid w:val="00977DC2"/>
    <w:rsid w:val="009818DE"/>
    <w:rsid w:val="00987972"/>
    <w:rsid w:val="00991A71"/>
    <w:rsid w:val="0099305E"/>
    <w:rsid w:val="009970E2"/>
    <w:rsid w:val="009971DC"/>
    <w:rsid w:val="009A01B5"/>
    <w:rsid w:val="009A6C55"/>
    <w:rsid w:val="009B0628"/>
    <w:rsid w:val="009B2EEF"/>
    <w:rsid w:val="009B32DC"/>
    <w:rsid w:val="009B407A"/>
    <w:rsid w:val="009B4B6B"/>
    <w:rsid w:val="009B56D7"/>
    <w:rsid w:val="009C1DB2"/>
    <w:rsid w:val="009C3411"/>
    <w:rsid w:val="009C3A34"/>
    <w:rsid w:val="009C4511"/>
    <w:rsid w:val="009C5E0F"/>
    <w:rsid w:val="009C7BD3"/>
    <w:rsid w:val="009D02B4"/>
    <w:rsid w:val="009D1B03"/>
    <w:rsid w:val="009D211D"/>
    <w:rsid w:val="009D6759"/>
    <w:rsid w:val="009D6C12"/>
    <w:rsid w:val="009D6D72"/>
    <w:rsid w:val="009D703D"/>
    <w:rsid w:val="009E160F"/>
    <w:rsid w:val="009E17C9"/>
    <w:rsid w:val="009E1A36"/>
    <w:rsid w:val="009E237A"/>
    <w:rsid w:val="009E55BD"/>
    <w:rsid w:val="009E56FC"/>
    <w:rsid w:val="009E5960"/>
    <w:rsid w:val="009E59FC"/>
    <w:rsid w:val="009E66CF"/>
    <w:rsid w:val="009E7769"/>
    <w:rsid w:val="009F5A85"/>
    <w:rsid w:val="009F73FD"/>
    <w:rsid w:val="00A01EDE"/>
    <w:rsid w:val="00A02F3E"/>
    <w:rsid w:val="00A030E9"/>
    <w:rsid w:val="00A04136"/>
    <w:rsid w:val="00A11658"/>
    <w:rsid w:val="00A1240D"/>
    <w:rsid w:val="00A129FC"/>
    <w:rsid w:val="00A139D6"/>
    <w:rsid w:val="00A14DEC"/>
    <w:rsid w:val="00A173F9"/>
    <w:rsid w:val="00A23DE6"/>
    <w:rsid w:val="00A2486E"/>
    <w:rsid w:val="00A2514B"/>
    <w:rsid w:val="00A2640F"/>
    <w:rsid w:val="00A26824"/>
    <w:rsid w:val="00A30B42"/>
    <w:rsid w:val="00A31635"/>
    <w:rsid w:val="00A37EF9"/>
    <w:rsid w:val="00A37FDA"/>
    <w:rsid w:val="00A4138A"/>
    <w:rsid w:val="00A41844"/>
    <w:rsid w:val="00A45537"/>
    <w:rsid w:val="00A46238"/>
    <w:rsid w:val="00A46BD3"/>
    <w:rsid w:val="00A51C57"/>
    <w:rsid w:val="00A53701"/>
    <w:rsid w:val="00A5702B"/>
    <w:rsid w:val="00A664E4"/>
    <w:rsid w:val="00A77BD5"/>
    <w:rsid w:val="00A81770"/>
    <w:rsid w:val="00A81C57"/>
    <w:rsid w:val="00A8365E"/>
    <w:rsid w:val="00A836F4"/>
    <w:rsid w:val="00A853E6"/>
    <w:rsid w:val="00A87675"/>
    <w:rsid w:val="00A87C62"/>
    <w:rsid w:val="00A95747"/>
    <w:rsid w:val="00A9640F"/>
    <w:rsid w:val="00AA3A37"/>
    <w:rsid w:val="00AA7927"/>
    <w:rsid w:val="00AB163E"/>
    <w:rsid w:val="00AB284B"/>
    <w:rsid w:val="00AC3E49"/>
    <w:rsid w:val="00AC4D2D"/>
    <w:rsid w:val="00AC4FD8"/>
    <w:rsid w:val="00AC79A9"/>
    <w:rsid w:val="00AC7BDD"/>
    <w:rsid w:val="00AD1516"/>
    <w:rsid w:val="00AD2424"/>
    <w:rsid w:val="00AE07D8"/>
    <w:rsid w:val="00AE0BC1"/>
    <w:rsid w:val="00AE16C4"/>
    <w:rsid w:val="00AE3DD0"/>
    <w:rsid w:val="00AE513E"/>
    <w:rsid w:val="00AE5181"/>
    <w:rsid w:val="00AE552E"/>
    <w:rsid w:val="00AE5FE1"/>
    <w:rsid w:val="00AE78D9"/>
    <w:rsid w:val="00AF0F3C"/>
    <w:rsid w:val="00AF10DE"/>
    <w:rsid w:val="00AF17B1"/>
    <w:rsid w:val="00AF302D"/>
    <w:rsid w:val="00AF319B"/>
    <w:rsid w:val="00AF32AF"/>
    <w:rsid w:val="00AF4EB3"/>
    <w:rsid w:val="00AF7DF1"/>
    <w:rsid w:val="00B0504C"/>
    <w:rsid w:val="00B050CC"/>
    <w:rsid w:val="00B10DAB"/>
    <w:rsid w:val="00B12CFA"/>
    <w:rsid w:val="00B13E82"/>
    <w:rsid w:val="00B16378"/>
    <w:rsid w:val="00B20D5B"/>
    <w:rsid w:val="00B2137C"/>
    <w:rsid w:val="00B232EA"/>
    <w:rsid w:val="00B2401F"/>
    <w:rsid w:val="00B241A8"/>
    <w:rsid w:val="00B26062"/>
    <w:rsid w:val="00B26B80"/>
    <w:rsid w:val="00B26EB3"/>
    <w:rsid w:val="00B275CA"/>
    <w:rsid w:val="00B2796C"/>
    <w:rsid w:val="00B3045C"/>
    <w:rsid w:val="00B328FE"/>
    <w:rsid w:val="00B34F68"/>
    <w:rsid w:val="00B35D73"/>
    <w:rsid w:val="00B37FF7"/>
    <w:rsid w:val="00B4018B"/>
    <w:rsid w:val="00B45797"/>
    <w:rsid w:val="00B459B3"/>
    <w:rsid w:val="00B4782D"/>
    <w:rsid w:val="00B51406"/>
    <w:rsid w:val="00B520A2"/>
    <w:rsid w:val="00B5254C"/>
    <w:rsid w:val="00B5359C"/>
    <w:rsid w:val="00B54B4A"/>
    <w:rsid w:val="00B55DDB"/>
    <w:rsid w:val="00B60FDE"/>
    <w:rsid w:val="00B62EFA"/>
    <w:rsid w:val="00B6485C"/>
    <w:rsid w:val="00B65280"/>
    <w:rsid w:val="00B66FB7"/>
    <w:rsid w:val="00B67472"/>
    <w:rsid w:val="00B70DB5"/>
    <w:rsid w:val="00B71425"/>
    <w:rsid w:val="00B71BF4"/>
    <w:rsid w:val="00B733C9"/>
    <w:rsid w:val="00B745D3"/>
    <w:rsid w:val="00B75957"/>
    <w:rsid w:val="00B7649E"/>
    <w:rsid w:val="00B81E9B"/>
    <w:rsid w:val="00B82FB2"/>
    <w:rsid w:val="00B83761"/>
    <w:rsid w:val="00B83BC1"/>
    <w:rsid w:val="00B85728"/>
    <w:rsid w:val="00B85B25"/>
    <w:rsid w:val="00B914CA"/>
    <w:rsid w:val="00BA00F9"/>
    <w:rsid w:val="00BA0B5D"/>
    <w:rsid w:val="00BA379A"/>
    <w:rsid w:val="00BA7D48"/>
    <w:rsid w:val="00BB13AA"/>
    <w:rsid w:val="00BB563F"/>
    <w:rsid w:val="00BB6F83"/>
    <w:rsid w:val="00BC0B39"/>
    <w:rsid w:val="00BC108E"/>
    <w:rsid w:val="00BC1C95"/>
    <w:rsid w:val="00BC2EE8"/>
    <w:rsid w:val="00BC49A0"/>
    <w:rsid w:val="00BC5000"/>
    <w:rsid w:val="00BC710A"/>
    <w:rsid w:val="00BD28BD"/>
    <w:rsid w:val="00BD5B9E"/>
    <w:rsid w:val="00BE2D33"/>
    <w:rsid w:val="00BE6C8B"/>
    <w:rsid w:val="00BF09D3"/>
    <w:rsid w:val="00BF383C"/>
    <w:rsid w:val="00BF548D"/>
    <w:rsid w:val="00BF5BE0"/>
    <w:rsid w:val="00C0782C"/>
    <w:rsid w:val="00C1084B"/>
    <w:rsid w:val="00C11C5A"/>
    <w:rsid w:val="00C12A63"/>
    <w:rsid w:val="00C15735"/>
    <w:rsid w:val="00C17189"/>
    <w:rsid w:val="00C2134F"/>
    <w:rsid w:val="00C34538"/>
    <w:rsid w:val="00C361D2"/>
    <w:rsid w:val="00C40403"/>
    <w:rsid w:val="00C40D42"/>
    <w:rsid w:val="00C43C45"/>
    <w:rsid w:val="00C43FB3"/>
    <w:rsid w:val="00C47888"/>
    <w:rsid w:val="00C50A72"/>
    <w:rsid w:val="00C51D78"/>
    <w:rsid w:val="00C52AB6"/>
    <w:rsid w:val="00C54AD6"/>
    <w:rsid w:val="00C554B6"/>
    <w:rsid w:val="00C55DD0"/>
    <w:rsid w:val="00C55EC5"/>
    <w:rsid w:val="00C5715B"/>
    <w:rsid w:val="00C57B5F"/>
    <w:rsid w:val="00C636A0"/>
    <w:rsid w:val="00C7188A"/>
    <w:rsid w:val="00C72543"/>
    <w:rsid w:val="00C730D1"/>
    <w:rsid w:val="00C76280"/>
    <w:rsid w:val="00C840E7"/>
    <w:rsid w:val="00C87850"/>
    <w:rsid w:val="00C9100A"/>
    <w:rsid w:val="00C91018"/>
    <w:rsid w:val="00C919BB"/>
    <w:rsid w:val="00C924D1"/>
    <w:rsid w:val="00C93D06"/>
    <w:rsid w:val="00C95AC5"/>
    <w:rsid w:val="00CA0FEC"/>
    <w:rsid w:val="00CA20B0"/>
    <w:rsid w:val="00CA3427"/>
    <w:rsid w:val="00CA4CDA"/>
    <w:rsid w:val="00CA51EB"/>
    <w:rsid w:val="00CA60E5"/>
    <w:rsid w:val="00CA72F0"/>
    <w:rsid w:val="00CB055B"/>
    <w:rsid w:val="00CC187E"/>
    <w:rsid w:val="00CC1984"/>
    <w:rsid w:val="00CC26FF"/>
    <w:rsid w:val="00CC601D"/>
    <w:rsid w:val="00CC6626"/>
    <w:rsid w:val="00CC66D9"/>
    <w:rsid w:val="00CD12ED"/>
    <w:rsid w:val="00CD345B"/>
    <w:rsid w:val="00CD6CF6"/>
    <w:rsid w:val="00CE1153"/>
    <w:rsid w:val="00CE16EE"/>
    <w:rsid w:val="00CE54D8"/>
    <w:rsid w:val="00CE7486"/>
    <w:rsid w:val="00CF05EE"/>
    <w:rsid w:val="00CF291D"/>
    <w:rsid w:val="00CF2EF5"/>
    <w:rsid w:val="00CF2FE6"/>
    <w:rsid w:val="00CF39AC"/>
    <w:rsid w:val="00CF5128"/>
    <w:rsid w:val="00CF544D"/>
    <w:rsid w:val="00CF60CD"/>
    <w:rsid w:val="00CF72E2"/>
    <w:rsid w:val="00D00F5B"/>
    <w:rsid w:val="00D076CD"/>
    <w:rsid w:val="00D07D92"/>
    <w:rsid w:val="00D144CE"/>
    <w:rsid w:val="00D1510D"/>
    <w:rsid w:val="00D1693C"/>
    <w:rsid w:val="00D16AE8"/>
    <w:rsid w:val="00D2019B"/>
    <w:rsid w:val="00D21696"/>
    <w:rsid w:val="00D24AE1"/>
    <w:rsid w:val="00D26B67"/>
    <w:rsid w:val="00D36C6D"/>
    <w:rsid w:val="00D4152C"/>
    <w:rsid w:val="00D43D8B"/>
    <w:rsid w:val="00D44A4A"/>
    <w:rsid w:val="00D50870"/>
    <w:rsid w:val="00D5157A"/>
    <w:rsid w:val="00D54DC8"/>
    <w:rsid w:val="00D55D23"/>
    <w:rsid w:val="00D56E4A"/>
    <w:rsid w:val="00D57AF5"/>
    <w:rsid w:val="00D60D6E"/>
    <w:rsid w:val="00D60DA4"/>
    <w:rsid w:val="00D6255F"/>
    <w:rsid w:val="00D71A36"/>
    <w:rsid w:val="00D7288F"/>
    <w:rsid w:val="00D74E07"/>
    <w:rsid w:val="00D75098"/>
    <w:rsid w:val="00D76CB7"/>
    <w:rsid w:val="00D80B99"/>
    <w:rsid w:val="00D8316C"/>
    <w:rsid w:val="00D84FD0"/>
    <w:rsid w:val="00D85064"/>
    <w:rsid w:val="00D85A8A"/>
    <w:rsid w:val="00D86F2E"/>
    <w:rsid w:val="00D874AC"/>
    <w:rsid w:val="00D87777"/>
    <w:rsid w:val="00D91478"/>
    <w:rsid w:val="00D92466"/>
    <w:rsid w:val="00D93990"/>
    <w:rsid w:val="00D95C66"/>
    <w:rsid w:val="00D97459"/>
    <w:rsid w:val="00D97B93"/>
    <w:rsid w:val="00D97C86"/>
    <w:rsid w:val="00DA036F"/>
    <w:rsid w:val="00DA10AA"/>
    <w:rsid w:val="00DA14E7"/>
    <w:rsid w:val="00DA1A59"/>
    <w:rsid w:val="00DA58F0"/>
    <w:rsid w:val="00DA7C0E"/>
    <w:rsid w:val="00DB22F1"/>
    <w:rsid w:val="00DB27AB"/>
    <w:rsid w:val="00DB6093"/>
    <w:rsid w:val="00DB6542"/>
    <w:rsid w:val="00DC2214"/>
    <w:rsid w:val="00DC2703"/>
    <w:rsid w:val="00DC70C2"/>
    <w:rsid w:val="00DC738B"/>
    <w:rsid w:val="00DD01DF"/>
    <w:rsid w:val="00DD4513"/>
    <w:rsid w:val="00DD7201"/>
    <w:rsid w:val="00DE2C93"/>
    <w:rsid w:val="00DE2E84"/>
    <w:rsid w:val="00DE68EE"/>
    <w:rsid w:val="00DF4668"/>
    <w:rsid w:val="00DF7D86"/>
    <w:rsid w:val="00E05E49"/>
    <w:rsid w:val="00E0615E"/>
    <w:rsid w:val="00E06415"/>
    <w:rsid w:val="00E13FE4"/>
    <w:rsid w:val="00E142FF"/>
    <w:rsid w:val="00E1471F"/>
    <w:rsid w:val="00E271CF"/>
    <w:rsid w:val="00E305DD"/>
    <w:rsid w:val="00E30D8F"/>
    <w:rsid w:val="00E31B13"/>
    <w:rsid w:val="00E32D34"/>
    <w:rsid w:val="00E34AB9"/>
    <w:rsid w:val="00E4304B"/>
    <w:rsid w:val="00E434BC"/>
    <w:rsid w:val="00E45D22"/>
    <w:rsid w:val="00E50D55"/>
    <w:rsid w:val="00E519DF"/>
    <w:rsid w:val="00E5593E"/>
    <w:rsid w:val="00E6000B"/>
    <w:rsid w:val="00E60E9D"/>
    <w:rsid w:val="00E61576"/>
    <w:rsid w:val="00E63238"/>
    <w:rsid w:val="00E638A7"/>
    <w:rsid w:val="00E65FED"/>
    <w:rsid w:val="00E66F3E"/>
    <w:rsid w:val="00E67804"/>
    <w:rsid w:val="00E70179"/>
    <w:rsid w:val="00E713EE"/>
    <w:rsid w:val="00E72245"/>
    <w:rsid w:val="00E7302B"/>
    <w:rsid w:val="00E73E1C"/>
    <w:rsid w:val="00E75940"/>
    <w:rsid w:val="00E83FFE"/>
    <w:rsid w:val="00E84C3D"/>
    <w:rsid w:val="00E87BB8"/>
    <w:rsid w:val="00E91B45"/>
    <w:rsid w:val="00E92A2B"/>
    <w:rsid w:val="00E93D4C"/>
    <w:rsid w:val="00E93F23"/>
    <w:rsid w:val="00E94262"/>
    <w:rsid w:val="00E9522A"/>
    <w:rsid w:val="00E95BC2"/>
    <w:rsid w:val="00E96FF9"/>
    <w:rsid w:val="00E97D41"/>
    <w:rsid w:val="00EA1BFC"/>
    <w:rsid w:val="00EA2162"/>
    <w:rsid w:val="00EA2439"/>
    <w:rsid w:val="00EA282F"/>
    <w:rsid w:val="00EA648B"/>
    <w:rsid w:val="00EB0CD9"/>
    <w:rsid w:val="00EB45AD"/>
    <w:rsid w:val="00EB5538"/>
    <w:rsid w:val="00EC1B0D"/>
    <w:rsid w:val="00EC2402"/>
    <w:rsid w:val="00EC35AA"/>
    <w:rsid w:val="00EC6C0C"/>
    <w:rsid w:val="00EC7D5C"/>
    <w:rsid w:val="00ED20B1"/>
    <w:rsid w:val="00ED2850"/>
    <w:rsid w:val="00ED2DDD"/>
    <w:rsid w:val="00EE1978"/>
    <w:rsid w:val="00EE3613"/>
    <w:rsid w:val="00EE4154"/>
    <w:rsid w:val="00EF42E1"/>
    <w:rsid w:val="00EF4B3F"/>
    <w:rsid w:val="00F00AD3"/>
    <w:rsid w:val="00F03879"/>
    <w:rsid w:val="00F0476A"/>
    <w:rsid w:val="00F17F1C"/>
    <w:rsid w:val="00F216F3"/>
    <w:rsid w:val="00F248D5"/>
    <w:rsid w:val="00F25FE5"/>
    <w:rsid w:val="00F26EA6"/>
    <w:rsid w:val="00F3008F"/>
    <w:rsid w:val="00F30A7C"/>
    <w:rsid w:val="00F32A21"/>
    <w:rsid w:val="00F345BA"/>
    <w:rsid w:val="00F36459"/>
    <w:rsid w:val="00F40CB4"/>
    <w:rsid w:val="00F41AC8"/>
    <w:rsid w:val="00F43E0C"/>
    <w:rsid w:val="00F44038"/>
    <w:rsid w:val="00F512C5"/>
    <w:rsid w:val="00F51CDB"/>
    <w:rsid w:val="00F52B64"/>
    <w:rsid w:val="00F52F26"/>
    <w:rsid w:val="00F52FEB"/>
    <w:rsid w:val="00F53669"/>
    <w:rsid w:val="00F53D53"/>
    <w:rsid w:val="00F65CFE"/>
    <w:rsid w:val="00F66646"/>
    <w:rsid w:val="00F66656"/>
    <w:rsid w:val="00F7047C"/>
    <w:rsid w:val="00F706D3"/>
    <w:rsid w:val="00F71DC2"/>
    <w:rsid w:val="00F75150"/>
    <w:rsid w:val="00F75481"/>
    <w:rsid w:val="00F77115"/>
    <w:rsid w:val="00F82809"/>
    <w:rsid w:val="00F8336E"/>
    <w:rsid w:val="00F8550F"/>
    <w:rsid w:val="00F86CFC"/>
    <w:rsid w:val="00F902A0"/>
    <w:rsid w:val="00F90EB2"/>
    <w:rsid w:val="00F91378"/>
    <w:rsid w:val="00F91B1D"/>
    <w:rsid w:val="00F9450C"/>
    <w:rsid w:val="00F94C69"/>
    <w:rsid w:val="00F9605A"/>
    <w:rsid w:val="00FA207C"/>
    <w:rsid w:val="00FA7393"/>
    <w:rsid w:val="00FB0AB4"/>
    <w:rsid w:val="00FB0F24"/>
    <w:rsid w:val="00FB0F85"/>
    <w:rsid w:val="00FB3863"/>
    <w:rsid w:val="00FB641E"/>
    <w:rsid w:val="00FB7E04"/>
    <w:rsid w:val="00FC1C6B"/>
    <w:rsid w:val="00FC205B"/>
    <w:rsid w:val="00FC30B2"/>
    <w:rsid w:val="00FC5C46"/>
    <w:rsid w:val="00FD430F"/>
    <w:rsid w:val="00FD4DBB"/>
    <w:rsid w:val="00FD6179"/>
    <w:rsid w:val="00FE0551"/>
    <w:rsid w:val="00FE1B6F"/>
    <w:rsid w:val="00FE291F"/>
    <w:rsid w:val="00FE3175"/>
    <w:rsid w:val="00FE4ACA"/>
    <w:rsid w:val="00FE7780"/>
    <w:rsid w:val="00FF1DB1"/>
    <w:rsid w:val="00FF59B3"/>
    <w:rsid w:val="00FF770C"/>
    <w:rsid w:val="00FF7F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lang w:val="es-PR"/>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customStyle="1" w:styleId="s2">
    <w:name w:val="s2"/>
    <w:basedOn w:val="DefaultParagraphFont"/>
    <w:rsid w:val="009539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151913-9AEB-4770-9FC5-0BEC63FF206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474C02EB-AEDA-4445-A3F3-968BC89214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6BDCFE0-9650-4D1F-A08D-558ADABB5F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1814</Words>
  <Characters>10345</Characters>
  <Application>Microsoft Office Word</Application>
  <DocSecurity>4</DocSecurity>
  <Lines>86</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2026-06-22T16:40:00Z</cp:lastPrinted>
  <dcterms:created xsi:type="dcterms:W3CDTF">2026-06-22T21:03:00Z</dcterms:created>
  <dcterms:modified xsi:type="dcterms:W3CDTF">2026-06-22T21:03:00Z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y fmtid="{D5CDD505-2E9C-101B-9397-08002B2CF9AE}" pid="4" name="docLang">
    <vt:lpwstr>es</vt:lpwstr>
  </property>
</Properties>
</file>