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785D028E" w:rsidR="00FF6BD2" w:rsidRDefault="00A20194" w:rsidP="00264AA6">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2E3AF884" w:rsidR="00A22A39" w:rsidRPr="00A230B0" w:rsidRDefault="00B278DE"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B40FC0"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00B40FC0" w:rsidRPr="00A230B0">
        <w:rPr>
          <w:lang w:val="es-PR"/>
        </w:rPr>
        <w:tab/>
      </w:r>
      <w:r w:rsidR="00B40FC0" w:rsidRPr="00A230B0">
        <w:rPr>
          <w:lang w:val="es-PR"/>
        </w:rPr>
        <w:tab/>
      </w:r>
      <w:r w:rsidR="00B40FC0" w:rsidRPr="00A230B0">
        <w:rPr>
          <w:lang w:val="es-PR"/>
        </w:rPr>
        <w:tab/>
      </w:r>
      <w:r w:rsidR="00B40FC0" w:rsidRPr="00A230B0">
        <w:rPr>
          <w:lang w:val="es-PR"/>
        </w:rPr>
        <w:tab/>
      </w:r>
      <w:r w:rsidR="00B40FC0" w:rsidRPr="00A230B0">
        <w:rPr>
          <w:lang w:val="es-PR"/>
        </w:rPr>
        <w:tab/>
      </w:r>
      <w:r w:rsidR="00B40FC0" w:rsidRPr="00A230B0">
        <w:rPr>
          <w:lang w:val="es-PR"/>
        </w:rPr>
        <w:tab/>
      </w:r>
      <w:r w:rsidR="00B40FC0" w:rsidRPr="00A230B0">
        <w:rPr>
          <w:lang w:val="es-PR"/>
        </w:rPr>
        <w:tab/>
        <w:t xml:space="preserve">          </w:t>
      </w:r>
      <w:r w:rsidR="00B4656A">
        <w:rPr>
          <w:lang w:val="es-PR"/>
        </w:rPr>
        <w:t xml:space="preserve"> </w:t>
      </w:r>
      <w:r w:rsidR="009B42CA">
        <w:rPr>
          <w:rFonts w:ascii="Book Antiqua" w:hAnsi="Book Antiqua"/>
          <w:lang w:val="es-PR"/>
        </w:rPr>
        <w:t>3r</w:t>
      </w:r>
      <w:r w:rsidR="00B40FC0" w:rsidRPr="00A230B0">
        <w:rPr>
          <w:rFonts w:ascii="Book Antiqua" w:hAnsi="Book Antiqua"/>
          <w:lang w:val="es-PR"/>
        </w:rPr>
        <w:t>a.</w:t>
      </w:r>
      <w:r w:rsidR="00B40FC0" w:rsidRPr="00A230B0">
        <w:rPr>
          <w:lang w:val="es-PR"/>
        </w:rPr>
        <w:t xml:space="preserve"> </w:t>
      </w:r>
      <w:r w:rsidR="27861338" w:rsidRPr="00A230B0">
        <w:rPr>
          <w:rFonts w:ascii="Book Antiqua" w:hAnsi="Book Antiqua"/>
          <w:lang w:val="es-PR"/>
        </w:rPr>
        <w:t>Sesión</w:t>
      </w:r>
    </w:p>
    <w:p w14:paraId="6EFCC02E" w14:textId="275CBC6B"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B4656A">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A80AFE"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1E8C0BD4"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9730D4">
        <w:rPr>
          <w:rFonts w:ascii="Book Antiqua" w:hAnsi="Book Antiqua"/>
          <w:b/>
          <w:sz w:val="52"/>
          <w:lang w:val="es-ES_tradnl"/>
        </w:rPr>
        <w:t xml:space="preserve"> 630</w:t>
      </w:r>
    </w:p>
    <w:p w14:paraId="79C283F6" w14:textId="77777777" w:rsidR="00212D00" w:rsidRPr="00212D00" w:rsidRDefault="00212D00" w:rsidP="00212D00">
      <w:pPr>
        <w:jc w:val="center"/>
        <w:rPr>
          <w:rFonts w:ascii="Book Antiqua" w:hAnsi="Book Antiqua"/>
          <w:b/>
          <w:szCs w:val="24"/>
          <w:lang w:val="es-ES_tradnl"/>
        </w:rPr>
      </w:pPr>
    </w:p>
    <w:p w14:paraId="0C9B3B08" w14:textId="69B3F8BF" w:rsidR="00A22A39" w:rsidRDefault="00A45716" w:rsidP="00212D00">
      <w:pPr>
        <w:jc w:val="center"/>
        <w:rPr>
          <w:rFonts w:ascii="Book Antiqua" w:hAnsi="Book Antiqua"/>
          <w:lang w:val="es-ES_tradnl"/>
        </w:rPr>
      </w:pPr>
      <w:r>
        <w:rPr>
          <w:rFonts w:ascii="Book Antiqua" w:hAnsi="Book Antiqua"/>
          <w:lang w:val="es-ES_tradnl"/>
        </w:rPr>
        <w:t>2</w:t>
      </w:r>
      <w:r w:rsidR="00EB5382">
        <w:rPr>
          <w:rFonts w:ascii="Book Antiqua" w:hAnsi="Book Antiqua"/>
          <w:lang w:val="es-ES_tradnl"/>
        </w:rPr>
        <w:t>4</w:t>
      </w:r>
      <w:r w:rsidR="005261DD">
        <w:rPr>
          <w:rFonts w:ascii="Book Antiqua" w:hAnsi="Book Antiqua"/>
          <w:lang w:val="es-ES_tradnl"/>
        </w:rPr>
        <w:t xml:space="preserve"> </w:t>
      </w:r>
      <w:r w:rsidR="00B03A11">
        <w:rPr>
          <w:rFonts w:ascii="Book Antiqua" w:hAnsi="Book Antiqua"/>
          <w:lang w:val="es-ES_tradnl"/>
        </w:rPr>
        <w:t xml:space="preserve">DE </w:t>
      </w:r>
      <w:r w:rsidR="009B42CA">
        <w:rPr>
          <w:rFonts w:ascii="Book Antiqua" w:hAnsi="Book Antiqua"/>
          <w:lang w:val="es-ES_tradnl"/>
        </w:rPr>
        <w:t>FEBRERO</w:t>
      </w:r>
      <w:r w:rsidR="00ED53FB">
        <w:rPr>
          <w:rFonts w:ascii="Book Antiqua" w:hAnsi="Book Antiqua"/>
          <w:lang w:val="es-ES_tradnl"/>
        </w:rPr>
        <w:t xml:space="preserve"> </w:t>
      </w:r>
      <w:r w:rsidR="00B03A11">
        <w:rPr>
          <w:rFonts w:ascii="Book Antiqua" w:hAnsi="Book Antiqua"/>
          <w:lang w:val="es-ES_tradnl"/>
        </w:rPr>
        <w:t>DE</w:t>
      </w:r>
      <w:r w:rsidR="00A22A39">
        <w:rPr>
          <w:rFonts w:ascii="Book Antiqua" w:hAnsi="Book Antiqua"/>
          <w:lang w:val="es-ES_tradnl"/>
        </w:rPr>
        <w:t xml:space="preserve"> 202</w:t>
      </w:r>
      <w:r w:rsidR="009B42CA">
        <w:rPr>
          <w:rFonts w:ascii="Book Antiqua" w:hAnsi="Book Antiqua"/>
          <w:lang w:val="es-ES_tradnl"/>
        </w:rPr>
        <w:t>6</w:t>
      </w:r>
    </w:p>
    <w:p w14:paraId="2F9DC715" w14:textId="77777777" w:rsidR="00212D00" w:rsidRDefault="00212D00" w:rsidP="00212D00">
      <w:pPr>
        <w:jc w:val="center"/>
        <w:rPr>
          <w:rFonts w:ascii="Book Antiqua" w:hAnsi="Book Antiqua"/>
          <w:lang w:val="es-ES_tradnl"/>
        </w:rPr>
      </w:pPr>
    </w:p>
    <w:p w14:paraId="238CBDB2" w14:textId="55462402"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EA70A7">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 xml:space="preserve">representante </w:t>
      </w:r>
      <w:r w:rsidR="00EA70A7">
        <w:rPr>
          <w:rFonts w:ascii="Book Antiqua" w:hAnsi="Book Antiqua"/>
          <w:i/>
          <w:iCs/>
          <w:lang w:val="es-ES_tradnl"/>
        </w:rPr>
        <w:t>Varela Fernández</w:t>
      </w:r>
    </w:p>
    <w:p w14:paraId="5ED672CF" w14:textId="77777777" w:rsidR="00090DF5" w:rsidRDefault="00090DF5" w:rsidP="00212D00">
      <w:pPr>
        <w:jc w:val="center"/>
        <w:rPr>
          <w:rFonts w:ascii="Book Antiqua" w:hAnsi="Book Antiqua"/>
          <w:lang w:val="es-ES_tradnl"/>
        </w:rPr>
      </w:pPr>
    </w:p>
    <w:p w14:paraId="03F04B76" w14:textId="3FB0757F"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4B3BD7">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0BECE839" w14:textId="77777777" w:rsidR="00E14633" w:rsidRPr="009B42CA" w:rsidRDefault="00E14633" w:rsidP="00E14633">
      <w:pPr>
        <w:rPr>
          <w:rFonts w:ascii="Book Antiqua" w:hAnsi="Book Antiqua"/>
          <w:lang w:val="es-419"/>
        </w:rPr>
      </w:pPr>
    </w:p>
    <w:p w14:paraId="1A959B9D" w14:textId="345EA1B8" w:rsidR="00E14633" w:rsidRPr="00FD4EA3" w:rsidRDefault="00D42885" w:rsidP="00E14633">
      <w:pPr>
        <w:ind w:left="720" w:hanging="720"/>
        <w:jc w:val="both"/>
        <w:rPr>
          <w:rFonts w:ascii="Book Antiqua" w:hAnsi="Book Antiqua"/>
          <w:lang w:val="es-419"/>
        </w:rPr>
      </w:pPr>
      <w:bookmarkStart w:id="0" w:name="_Hlk536474932"/>
      <w:r w:rsidRPr="001464D5">
        <w:rPr>
          <w:rFonts w:ascii="Book Antiqua" w:hAnsi="Book Antiqua"/>
          <w:lang w:val="es-419"/>
        </w:rPr>
        <w:t xml:space="preserve">Para </w:t>
      </w:r>
      <w:r w:rsidRPr="00FD4EA3">
        <w:rPr>
          <w:rFonts w:ascii="Book Antiqua" w:hAnsi="Book Antiqua"/>
          <w:lang w:val="es-419"/>
        </w:rPr>
        <w:t xml:space="preserve">ordenar a la Comisión de </w:t>
      </w:r>
      <w:r w:rsidR="00AD0293" w:rsidRPr="00FD4EA3">
        <w:rPr>
          <w:rFonts w:ascii="Book Antiqua" w:hAnsi="Book Antiqua"/>
          <w:lang w:val="es-419"/>
        </w:rPr>
        <w:t>Gobierno</w:t>
      </w:r>
      <w:r w:rsidRPr="00FD4EA3">
        <w:rPr>
          <w:rFonts w:ascii="Book Antiqua" w:hAnsi="Book Antiqua"/>
          <w:lang w:val="es-419"/>
        </w:rPr>
        <w:t xml:space="preserve"> de la Cámara de Representantes de Puerto Rico realizar una investigación exhaustiva </w:t>
      </w:r>
      <w:r w:rsidR="00FD4EA3" w:rsidRPr="00696193">
        <w:rPr>
          <w:rFonts w:ascii="Book Antiqua" w:hAnsi="Book Antiqua"/>
          <w:lang w:val="es-419"/>
        </w:rPr>
        <w:t>sobre las inversiones realizadas por la Corporación del Fondo del Seguro del Estado en instrumentos financieros vinculados al denominado Phoenix Fund y a PUC Holdings, LLC, por un total de ochenta (80) millones de dólares; examinar posibles fallas en los controles internos, conflictos de interés, cumplimiento con las leyes y reglamentos aplicables, y cualquier otra irregularidad relacionada; y para otros fines relacionados</w:t>
      </w:r>
      <w:r w:rsidR="00E14633" w:rsidRPr="00FD4EA3">
        <w:rPr>
          <w:rFonts w:ascii="Book Antiqua" w:hAnsi="Book Antiqua"/>
          <w:lang w:val="es-419"/>
        </w:rPr>
        <w:t>.</w:t>
      </w:r>
      <w:bookmarkStart w:id="1" w:name="OLE_LINK1"/>
      <w:bookmarkStart w:id="2" w:name="OLE_LINK2"/>
      <w:bookmarkStart w:id="3" w:name="OLE_LINK3"/>
      <w:bookmarkStart w:id="4" w:name="OLE_LINK4"/>
      <w:bookmarkStart w:id="5" w:name="_Hlk536207222"/>
      <w:bookmarkEnd w:id="0"/>
    </w:p>
    <w:bookmarkEnd w:id="1"/>
    <w:bookmarkEnd w:id="2"/>
    <w:bookmarkEnd w:id="3"/>
    <w:bookmarkEnd w:id="4"/>
    <w:p w14:paraId="787FA5C1" w14:textId="77777777" w:rsidR="00E14633" w:rsidRPr="00E14633" w:rsidRDefault="00E14633" w:rsidP="00E14633">
      <w:pPr>
        <w:suppressAutoHyphens/>
        <w:ind w:left="540" w:hanging="540"/>
        <w:jc w:val="both"/>
        <w:rPr>
          <w:rFonts w:ascii="Book Antiqua" w:hAnsi="Book Antiqua"/>
          <w:b/>
          <w:spacing w:val="-3"/>
          <w:lang w:val="es-419"/>
        </w:rPr>
      </w:pPr>
    </w:p>
    <w:bookmarkEnd w:id="5"/>
    <w:p w14:paraId="5406E781" w14:textId="77777777" w:rsidR="00E14633" w:rsidRPr="00E14633" w:rsidRDefault="00E14633" w:rsidP="00E14633">
      <w:pPr>
        <w:suppressAutoHyphens/>
        <w:jc w:val="center"/>
        <w:rPr>
          <w:rFonts w:ascii="Book Antiqua" w:hAnsi="Book Antiqua"/>
          <w:lang w:val="es-419"/>
        </w:rPr>
      </w:pPr>
      <w:r w:rsidRPr="00E14633">
        <w:rPr>
          <w:rFonts w:ascii="Book Antiqua" w:hAnsi="Book Antiqua"/>
          <w:lang w:val="es-419"/>
        </w:rPr>
        <w:t>EXPOSICIÓN DE MOTIVOS</w:t>
      </w:r>
    </w:p>
    <w:p w14:paraId="27EC2C96" w14:textId="77777777" w:rsidR="00E14633" w:rsidRPr="00E14633" w:rsidRDefault="00E14633" w:rsidP="00E14633">
      <w:pPr>
        <w:suppressAutoHyphens/>
        <w:jc w:val="center"/>
        <w:rPr>
          <w:rFonts w:ascii="Book Antiqua" w:hAnsi="Book Antiqua"/>
          <w:lang w:val="es-419"/>
        </w:rPr>
      </w:pPr>
    </w:p>
    <w:p w14:paraId="5386E8C3" w14:textId="77777777" w:rsidR="00A0691E" w:rsidRDefault="00A0691E" w:rsidP="00A0691E">
      <w:pPr>
        <w:ind w:firstLine="708"/>
        <w:jc w:val="both"/>
        <w:rPr>
          <w:rFonts w:ascii="Book Antiqua" w:hAnsi="Book Antiqua"/>
          <w:bCs/>
          <w:lang w:val="es-419"/>
        </w:rPr>
      </w:pPr>
      <w:r w:rsidRPr="00A0691E">
        <w:rPr>
          <w:rFonts w:ascii="Book Antiqua" w:hAnsi="Book Antiqua"/>
          <w:bCs/>
          <w:lang w:val="es-419"/>
        </w:rPr>
        <w:t>La Corporación del Fondo del Seguro del Estado (CFSE) es una entidad pública cuya misión principal es garantizar la protección de los trabajadores lesionados y administrar con prudencia los recursos que sostienen el sistema de compensaciones laborales en Puerto Rico. Por la naturaleza de su función, la CFSE maneja fondos públicos que deben ser administrados con el más alto grado de transparencia, responsabilidad fiduciaria y cumplimiento regulatorio. Cualquier desviación de estos principios afecta no solo la estabilidad financiera de la corporación, sino también la confianza del pueblo en las instituciones gubernamentales.</w:t>
      </w:r>
    </w:p>
    <w:p w14:paraId="0104491A" w14:textId="77777777" w:rsidR="00A0691E" w:rsidRPr="00A0691E" w:rsidRDefault="00A0691E" w:rsidP="00A0691E">
      <w:pPr>
        <w:ind w:firstLine="708"/>
        <w:jc w:val="both"/>
        <w:rPr>
          <w:rFonts w:ascii="Book Antiqua" w:hAnsi="Book Antiqua"/>
          <w:bCs/>
          <w:lang w:val="es-419"/>
        </w:rPr>
      </w:pPr>
    </w:p>
    <w:p w14:paraId="799C5189" w14:textId="77777777" w:rsidR="00A0691E" w:rsidRDefault="00A0691E" w:rsidP="00A0691E">
      <w:pPr>
        <w:ind w:firstLine="708"/>
        <w:jc w:val="both"/>
        <w:rPr>
          <w:rFonts w:ascii="Book Antiqua" w:hAnsi="Book Antiqua"/>
          <w:bCs/>
          <w:lang w:val="es-419"/>
        </w:rPr>
      </w:pPr>
      <w:r w:rsidRPr="00A0691E">
        <w:rPr>
          <w:rFonts w:ascii="Book Antiqua" w:hAnsi="Book Antiqua"/>
          <w:bCs/>
          <w:lang w:val="es-419"/>
        </w:rPr>
        <w:t xml:space="preserve">En fechas recientes, diversos medios de comunicación han revelado que la CFSE realizó dos inversiones significativas, cada una por cuarenta (40) millones de dólares, en instrumentos financieros vinculados al Phoenix Fund y a una entidad denominada PUC Holdings, LLC. Estas transacciones han levantado serias interrogantes debido a que el Phoenix Fund fue objeto de querellas por parte de la Oficina del Comisionado de </w:t>
      </w:r>
      <w:r w:rsidRPr="00A0691E">
        <w:rPr>
          <w:rFonts w:ascii="Book Antiqua" w:hAnsi="Book Antiqua"/>
          <w:bCs/>
          <w:lang w:val="es-419"/>
        </w:rPr>
        <w:lastRenderedPageBreak/>
        <w:t>Instituciones Financieras (OCIF), y a que PUC Holdings fue creada apenas días antes de recibir la inversión pública. Además, se ha señalado que un exejecutivo del Phoenix Fund fue contratado como asesor de inversiones por la CFSE poco antes de que se autorizara la segunda inversión, lo que ha generado preocupación sobre posibles conflictos de interés o fallas en los procesos de evaluación y supervisión.</w:t>
      </w:r>
    </w:p>
    <w:p w14:paraId="433F270E" w14:textId="77777777" w:rsidR="00A0691E" w:rsidRPr="00A0691E" w:rsidRDefault="00A0691E" w:rsidP="00A0691E">
      <w:pPr>
        <w:ind w:firstLine="708"/>
        <w:jc w:val="both"/>
        <w:rPr>
          <w:rFonts w:ascii="Book Antiqua" w:hAnsi="Book Antiqua"/>
          <w:bCs/>
          <w:lang w:val="es-419"/>
        </w:rPr>
      </w:pPr>
    </w:p>
    <w:p w14:paraId="7CF0E6A8" w14:textId="77777777" w:rsidR="00A0691E" w:rsidRDefault="00A0691E" w:rsidP="00A0691E">
      <w:pPr>
        <w:ind w:firstLine="708"/>
        <w:jc w:val="both"/>
        <w:rPr>
          <w:rFonts w:ascii="Book Antiqua" w:hAnsi="Book Antiqua"/>
          <w:bCs/>
          <w:lang w:val="es-419"/>
        </w:rPr>
      </w:pPr>
      <w:r w:rsidRPr="00A0691E">
        <w:rPr>
          <w:rFonts w:ascii="Book Antiqua" w:hAnsi="Book Antiqua"/>
          <w:bCs/>
          <w:lang w:val="es-419"/>
        </w:rPr>
        <w:t>La Oficina del Contralor de Puerto Rico ha iniciado una auditoría sobre estas transacciones, pero la magnitud de los fondos involucrados y la complejidad de las estructuras corporativas asociadas requieren un examen legislativo independiente que permita esclarecer los hechos, evaluar la legalidad de las decisiones tomadas y determinar si se actuó conforme a los mejores intereses del pueblo de Puerto Rico. La Asamblea Legislativa tiene la responsabilidad constitucional de fiscalizar el uso de fondos públicos y garantizar que las agencias del gobierno operen con integridad y transparencia.</w:t>
      </w:r>
    </w:p>
    <w:p w14:paraId="37B99450" w14:textId="77777777" w:rsidR="00A0691E" w:rsidRPr="00A0691E" w:rsidRDefault="00A0691E" w:rsidP="00A0691E">
      <w:pPr>
        <w:ind w:firstLine="708"/>
        <w:jc w:val="both"/>
        <w:rPr>
          <w:rFonts w:ascii="Book Antiqua" w:hAnsi="Book Antiqua"/>
          <w:bCs/>
          <w:lang w:val="es-419"/>
        </w:rPr>
      </w:pPr>
    </w:p>
    <w:p w14:paraId="40CDBED5" w14:textId="77777777" w:rsidR="00A0691E" w:rsidRDefault="00A0691E" w:rsidP="00A0691E">
      <w:pPr>
        <w:ind w:firstLine="708"/>
        <w:jc w:val="both"/>
        <w:rPr>
          <w:rFonts w:ascii="Book Antiqua" w:hAnsi="Book Antiqua"/>
          <w:bCs/>
          <w:lang w:val="es-419"/>
        </w:rPr>
      </w:pPr>
      <w:r w:rsidRPr="00A0691E">
        <w:rPr>
          <w:rFonts w:ascii="Book Antiqua" w:hAnsi="Book Antiqua"/>
          <w:bCs/>
          <w:lang w:val="es-419"/>
        </w:rPr>
        <w:t>La posible pérdida o riesgo indebido de ochenta millones de dólares provenientes de un fondo que existe para proteger a los trabajadores lesionados constituye un asunto de alto interés público. Resulta imperativo investigar si las inversiones se realizaron siguiendo criterios prudentes, si se cumplieron los reglamentos internos y externos aplicables, y si existieron presiones, influencias indebidas o negligencia administrativa. Asimismo, es necesario evaluar si la CFSE cuenta con los controles internos adecuados para prevenir situaciones similares en el futuro.</w:t>
      </w:r>
    </w:p>
    <w:p w14:paraId="0A897975" w14:textId="77777777" w:rsidR="00A0691E" w:rsidRPr="00A0691E" w:rsidRDefault="00A0691E" w:rsidP="00A0691E">
      <w:pPr>
        <w:ind w:firstLine="708"/>
        <w:jc w:val="both"/>
        <w:rPr>
          <w:rFonts w:ascii="Book Antiqua" w:hAnsi="Book Antiqua"/>
          <w:bCs/>
          <w:lang w:val="es-419"/>
        </w:rPr>
      </w:pPr>
    </w:p>
    <w:p w14:paraId="2463E0BE" w14:textId="301EB856" w:rsidR="00E14633" w:rsidRPr="00E14633" w:rsidRDefault="00A0691E" w:rsidP="00A0691E">
      <w:pPr>
        <w:ind w:firstLine="708"/>
        <w:jc w:val="both"/>
        <w:rPr>
          <w:rFonts w:ascii="Book Antiqua" w:hAnsi="Book Antiqua"/>
          <w:bCs/>
          <w:lang w:val="es-419"/>
        </w:rPr>
      </w:pPr>
      <w:r w:rsidRPr="00696193">
        <w:rPr>
          <w:rFonts w:ascii="Book Antiqua" w:hAnsi="Book Antiqua"/>
          <w:bCs/>
          <w:lang w:val="es-419"/>
        </w:rPr>
        <w:t>Por todo lo anterior, esta Asamblea Legislativa entiende indispensable ordenar una investigación formal que permita esclarecer los hechos, identificar posibles fallas sistémicas y recomendar acciones correctivas o referidos a las autoridades pertinentes, de ser necesario. El pueblo de Puerto Rico merece conocer cómo se manejaron estos fondos y tener la certeza de que sus instituciones actúan con responsabilidad y transparencia.</w:t>
      </w:r>
      <w:r w:rsidR="00E14633" w:rsidRPr="00E14633">
        <w:rPr>
          <w:rFonts w:ascii="Book Antiqua" w:hAnsi="Book Antiqua"/>
          <w:bCs/>
          <w:lang w:val="es-419"/>
        </w:rPr>
        <w:t xml:space="preserve"> </w:t>
      </w:r>
    </w:p>
    <w:p w14:paraId="26B19232" w14:textId="77777777" w:rsidR="00E14633" w:rsidRPr="00E14633" w:rsidRDefault="00E14633" w:rsidP="00E14633">
      <w:pPr>
        <w:jc w:val="both"/>
        <w:rPr>
          <w:rFonts w:ascii="Book Antiqua" w:hAnsi="Book Antiqua"/>
          <w:lang w:val="es-419"/>
        </w:rPr>
      </w:pPr>
    </w:p>
    <w:p w14:paraId="05425259" w14:textId="77777777" w:rsidR="00E14633" w:rsidRPr="00E14633" w:rsidRDefault="00E14633" w:rsidP="00E14633">
      <w:pPr>
        <w:suppressAutoHyphens/>
        <w:spacing w:line="480" w:lineRule="auto"/>
        <w:rPr>
          <w:rFonts w:ascii="Book Antiqua" w:hAnsi="Book Antiqua"/>
          <w:i/>
          <w:lang w:val="es-419"/>
        </w:rPr>
      </w:pPr>
      <w:r w:rsidRPr="00E14633">
        <w:rPr>
          <w:rFonts w:ascii="Book Antiqua" w:hAnsi="Book Antiqua"/>
          <w:i/>
          <w:lang w:val="es-419"/>
        </w:rPr>
        <w:t>RESUÉLVESE POR LA CÁMARA DE REPRESENTANTES DE PUERTO RICO:</w:t>
      </w:r>
    </w:p>
    <w:p w14:paraId="5C5DCD10" w14:textId="77777777" w:rsidR="00E14633" w:rsidRPr="00E14633" w:rsidRDefault="00E14633" w:rsidP="00E14633">
      <w:pPr>
        <w:tabs>
          <w:tab w:val="left" w:pos="600"/>
        </w:tabs>
        <w:suppressAutoHyphens/>
        <w:spacing w:line="480" w:lineRule="auto"/>
        <w:jc w:val="both"/>
        <w:rPr>
          <w:rFonts w:ascii="Book Antiqua" w:hAnsi="Book Antiqua"/>
          <w:lang w:val="es-419"/>
        </w:rPr>
        <w:sectPr w:rsidR="00E14633" w:rsidRPr="00E14633" w:rsidSect="00E14633">
          <w:headerReference w:type="even" r:id="rId9"/>
          <w:headerReference w:type="default" r:id="rId10"/>
          <w:footerReference w:type="even" r:id="rId11"/>
          <w:type w:val="continuous"/>
          <w:pgSz w:w="12240" w:h="15840" w:code="1"/>
          <w:pgMar w:top="1440" w:right="1440" w:bottom="1440" w:left="1440" w:header="720" w:footer="720" w:gutter="0"/>
          <w:cols w:space="720"/>
          <w:titlePg/>
          <w:docGrid w:linePitch="360"/>
        </w:sectPr>
      </w:pPr>
    </w:p>
    <w:p w14:paraId="1590C983" w14:textId="5E54FBDD" w:rsidR="00E14633" w:rsidRPr="00E14633" w:rsidRDefault="00E14633" w:rsidP="00E14633">
      <w:pPr>
        <w:spacing w:line="480" w:lineRule="auto"/>
        <w:ind w:firstLine="360"/>
        <w:jc w:val="both"/>
        <w:rPr>
          <w:rFonts w:ascii="Book Antiqua" w:hAnsi="Book Antiqua"/>
          <w:lang w:val="es-419"/>
        </w:rPr>
      </w:pPr>
      <w:r w:rsidRPr="00E14633">
        <w:rPr>
          <w:rFonts w:ascii="Book Antiqua" w:hAnsi="Book Antiqua"/>
          <w:lang w:val="es-419"/>
        </w:rPr>
        <w:t>Sección 1.-</w:t>
      </w:r>
      <w:r w:rsidR="009E3491" w:rsidRPr="009E3491">
        <w:rPr>
          <w:rFonts w:ascii="Book Antiqua" w:eastAsiaTheme="minorHAnsi" w:hAnsi="Book Antiqua" w:cstheme="minorBidi"/>
          <w:kern w:val="2"/>
          <w:szCs w:val="24"/>
          <w:lang w:val="es-419"/>
          <w14:ligatures w14:val="standardContextual"/>
        </w:rPr>
        <w:t xml:space="preserve"> </w:t>
      </w:r>
      <w:r w:rsidR="00CE1433" w:rsidRPr="00696193">
        <w:rPr>
          <w:rFonts w:ascii="Book Antiqua" w:hAnsi="Book Antiqua"/>
          <w:spacing w:val="-3"/>
          <w:lang w:val="es-419"/>
        </w:rPr>
        <w:t>Se ordena a la Comisión de Gobierno</w:t>
      </w:r>
      <w:r w:rsidR="00CE1433">
        <w:rPr>
          <w:rFonts w:ascii="Book Antiqua" w:hAnsi="Book Antiqua"/>
          <w:spacing w:val="-3"/>
          <w:lang w:val="es-419"/>
        </w:rPr>
        <w:t xml:space="preserve"> de la Cámara de Representantes de Puerto Rico</w:t>
      </w:r>
      <w:r w:rsidR="00CE1433" w:rsidRPr="00696193">
        <w:rPr>
          <w:rFonts w:ascii="Book Antiqua" w:hAnsi="Book Antiqua"/>
          <w:spacing w:val="-3"/>
          <w:lang w:val="es-419"/>
        </w:rPr>
        <w:t xml:space="preserve"> realizar una investigación exhaustiva sobre las inversiones realizadas por la Corporación del Fondo del Seguro del Estado en el Phoenix Fund y en PUC Holdings, LLC, por un total de ochenta (80) millones de dólares.</w:t>
      </w:r>
    </w:p>
    <w:p w14:paraId="29AE3FCD" w14:textId="77777777" w:rsidR="00D21223" w:rsidRPr="00696193" w:rsidRDefault="00E14633" w:rsidP="00D21223">
      <w:pPr>
        <w:suppressAutoHyphens/>
        <w:spacing w:line="480" w:lineRule="auto"/>
        <w:ind w:firstLine="360"/>
        <w:jc w:val="both"/>
        <w:rPr>
          <w:rFonts w:ascii="Book Antiqua" w:hAnsi="Book Antiqua"/>
          <w:lang w:val="es-419"/>
        </w:rPr>
      </w:pPr>
      <w:r w:rsidRPr="00E14633">
        <w:rPr>
          <w:rFonts w:ascii="Book Antiqua" w:hAnsi="Book Antiqua"/>
          <w:lang w:val="es-419"/>
        </w:rPr>
        <w:t xml:space="preserve">Sección 2.- </w:t>
      </w:r>
      <w:r w:rsidR="00D21223" w:rsidRPr="00696193">
        <w:rPr>
          <w:rFonts w:ascii="Book Antiqua" w:hAnsi="Book Antiqua"/>
          <w:lang w:val="es-419"/>
        </w:rPr>
        <w:t>La investigación incluirá, sin limitarse a:</w:t>
      </w:r>
    </w:p>
    <w:p w14:paraId="1CD25F83" w14:textId="77777777" w:rsidR="00D21223" w:rsidRPr="00D21223" w:rsidRDefault="00D21223" w:rsidP="00D21223">
      <w:pPr>
        <w:numPr>
          <w:ilvl w:val="0"/>
          <w:numId w:val="10"/>
        </w:numPr>
        <w:suppressAutoHyphens/>
        <w:spacing w:line="480" w:lineRule="auto"/>
        <w:jc w:val="both"/>
        <w:rPr>
          <w:rFonts w:ascii="Book Antiqua" w:hAnsi="Book Antiqua"/>
          <w:lang w:val="es-419"/>
        </w:rPr>
      </w:pPr>
      <w:r w:rsidRPr="00D21223">
        <w:rPr>
          <w:rFonts w:ascii="Book Antiqua" w:hAnsi="Book Antiqua"/>
          <w:lang w:val="es-419"/>
        </w:rPr>
        <w:t>El proceso de evaluación y aprobación de dichas inversiones.</w:t>
      </w:r>
    </w:p>
    <w:p w14:paraId="4DA6D55E" w14:textId="77777777" w:rsidR="00D21223" w:rsidRPr="00D21223" w:rsidRDefault="00D21223" w:rsidP="00D21223">
      <w:pPr>
        <w:numPr>
          <w:ilvl w:val="0"/>
          <w:numId w:val="10"/>
        </w:numPr>
        <w:suppressAutoHyphens/>
        <w:spacing w:line="480" w:lineRule="auto"/>
        <w:jc w:val="both"/>
        <w:rPr>
          <w:rFonts w:ascii="Book Antiqua" w:hAnsi="Book Antiqua"/>
          <w:lang w:val="es-419"/>
        </w:rPr>
      </w:pPr>
      <w:r w:rsidRPr="00D21223">
        <w:rPr>
          <w:rFonts w:ascii="Book Antiqua" w:hAnsi="Book Antiqua"/>
          <w:lang w:val="es-419"/>
        </w:rPr>
        <w:lastRenderedPageBreak/>
        <w:t>La relación entre funcionarios de la CFSE y las entidades receptoras de los fondos.</w:t>
      </w:r>
    </w:p>
    <w:p w14:paraId="14545A82" w14:textId="77777777" w:rsidR="00D21223" w:rsidRPr="00D21223" w:rsidRDefault="00D21223" w:rsidP="00D21223">
      <w:pPr>
        <w:numPr>
          <w:ilvl w:val="0"/>
          <w:numId w:val="10"/>
        </w:numPr>
        <w:suppressAutoHyphens/>
        <w:spacing w:line="480" w:lineRule="auto"/>
        <w:jc w:val="both"/>
        <w:rPr>
          <w:rFonts w:ascii="Book Antiqua" w:hAnsi="Book Antiqua"/>
          <w:lang w:val="es-419"/>
        </w:rPr>
      </w:pPr>
      <w:r w:rsidRPr="00D21223">
        <w:rPr>
          <w:rFonts w:ascii="Book Antiqua" w:hAnsi="Book Antiqua"/>
          <w:lang w:val="es-419"/>
        </w:rPr>
        <w:t>La existencia de posibles conflictos de interés.</w:t>
      </w:r>
    </w:p>
    <w:p w14:paraId="0320DB29" w14:textId="77777777" w:rsidR="00D21223" w:rsidRPr="00D21223" w:rsidRDefault="00D21223" w:rsidP="00D21223">
      <w:pPr>
        <w:numPr>
          <w:ilvl w:val="0"/>
          <w:numId w:val="10"/>
        </w:numPr>
        <w:suppressAutoHyphens/>
        <w:spacing w:line="480" w:lineRule="auto"/>
        <w:jc w:val="both"/>
        <w:rPr>
          <w:rFonts w:ascii="Book Antiqua" w:hAnsi="Book Antiqua"/>
          <w:lang w:val="es-419"/>
        </w:rPr>
      </w:pPr>
      <w:r w:rsidRPr="00D21223">
        <w:rPr>
          <w:rFonts w:ascii="Book Antiqua" w:hAnsi="Book Antiqua"/>
          <w:lang w:val="es-419"/>
        </w:rPr>
        <w:t>El cumplimiento con leyes, reglamentos y políticas internas aplicables.</w:t>
      </w:r>
    </w:p>
    <w:p w14:paraId="1E8474A3" w14:textId="77777777" w:rsidR="00D21223" w:rsidRPr="00D21223" w:rsidRDefault="00D21223" w:rsidP="00D21223">
      <w:pPr>
        <w:numPr>
          <w:ilvl w:val="0"/>
          <w:numId w:val="10"/>
        </w:numPr>
        <w:suppressAutoHyphens/>
        <w:spacing w:line="480" w:lineRule="auto"/>
        <w:jc w:val="both"/>
        <w:rPr>
          <w:rFonts w:ascii="Book Antiqua" w:hAnsi="Book Antiqua"/>
          <w:lang w:val="es-419"/>
        </w:rPr>
      </w:pPr>
      <w:r w:rsidRPr="00D21223">
        <w:rPr>
          <w:rFonts w:ascii="Book Antiqua" w:hAnsi="Book Antiqua"/>
          <w:lang w:val="es-419"/>
        </w:rPr>
        <w:t>La estructura corporativa y financiera de las entidades receptoras.</w:t>
      </w:r>
    </w:p>
    <w:p w14:paraId="70CA8FB2" w14:textId="77777777" w:rsidR="00B61194" w:rsidRDefault="00D21223" w:rsidP="00B61194">
      <w:pPr>
        <w:numPr>
          <w:ilvl w:val="0"/>
          <w:numId w:val="10"/>
        </w:numPr>
        <w:suppressAutoHyphens/>
        <w:spacing w:line="480" w:lineRule="auto"/>
        <w:jc w:val="both"/>
        <w:rPr>
          <w:rFonts w:ascii="Book Antiqua" w:hAnsi="Book Antiqua"/>
          <w:lang w:val="es-419"/>
        </w:rPr>
      </w:pPr>
      <w:r w:rsidRPr="00D21223">
        <w:rPr>
          <w:rFonts w:ascii="Book Antiqua" w:hAnsi="Book Antiqua"/>
          <w:lang w:val="es-419"/>
        </w:rPr>
        <w:t>El estado actual de los fondos invertidos y su rendimiento o pérdida.</w:t>
      </w:r>
    </w:p>
    <w:p w14:paraId="6E8F733D" w14:textId="58F2AC58" w:rsidR="00E14633" w:rsidRPr="00B61194" w:rsidRDefault="00D21223" w:rsidP="00B61194">
      <w:pPr>
        <w:numPr>
          <w:ilvl w:val="0"/>
          <w:numId w:val="10"/>
        </w:numPr>
        <w:suppressAutoHyphens/>
        <w:spacing w:line="480" w:lineRule="auto"/>
        <w:jc w:val="both"/>
        <w:rPr>
          <w:rFonts w:ascii="Book Antiqua" w:hAnsi="Book Antiqua"/>
          <w:lang w:val="es-419"/>
        </w:rPr>
      </w:pPr>
      <w:r w:rsidRPr="00696193">
        <w:rPr>
          <w:rFonts w:ascii="Book Antiqua" w:hAnsi="Book Antiqua"/>
          <w:lang w:val="es-419"/>
        </w:rPr>
        <w:t>La suficiencia de los controles internos de la CFSE.</w:t>
      </w:r>
      <w:r w:rsidR="00E14633" w:rsidRPr="00B61194">
        <w:rPr>
          <w:rFonts w:ascii="Book Antiqua" w:hAnsi="Book Antiqua"/>
          <w:lang w:val="es-419"/>
        </w:rPr>
        <w:t xml:space="preserve"> </w:t>
      </w:r>
    </w:p>
    <w:p w14:paraId="1044E466" w14:textId="6D6D7782" w:rsidR="00E14633" w:rsidRPr="006F25D1" w:rsidRDefault="00E14633" w:rsidP="00E14633">
      <w:pPr>
        <w:spacing w:line="480" w:lineRule="auto"/>
        <w:ind w:firstLine="360"/>
        <w:contextualSpacing/>
        <w:jc w:val="both"/>
        <w:rPr>
          <w:rFonts w:ascii="Book Antiqua" w:hAnsi="Book Antiqua"/>
          <w:lang w:val="es-ES_tradnl"/>
        </w:rPr>
      </w:pPr>
      <w:r w:rsidRPr="00E14633">
        <w:rPr>
          <w:rFonts w:ascii="Book Antiqua" w:hAnsi="Book Antiqua"/>
          <w:lang w:val="es-419"/>
        </w:rPr>
        <w:t xml:space="preserve">Sección 3.- </w:t>
      </w:r>
      <w:r w:rsidR="0079216A" w:rsidRPr="001464D5">
        <w:rPr>
          <w:rFonts w:ascii="Book Antiqua" w:hAnsi="Book Antiqua"/>
          <w:lang w:val="es-419"/>
        </w:rPr>
        <w:t>La Comisión estará facultada para celebrar vistas públicas, requerir documentos, citar funcionarios y solicitar cualquier información necesaria para llevar a cabo la investigación.</w:t>
      </w:r>
      <w:r w:rsidRPr="006F25D1">
        <w:rPr>
          <w:rFonts w:ascii="Book Antiqua" w:hAnsi="Book Antiqua"/>
          <w:lang w:val="es-ES_tradnl"/>
        </w:rPr>
        <w:t xml:space="preserve"> </w:t>
      </w:r>
    </w:p>
    <w:p w14:paraId="3DFACCA2" w14:textId="19861B10" w:rsidR="00E14633" w:rsidRPr="00E14633" w:rsidRDefault="00E14633" w:rsidP="00E14633">
      <w:pPr>
        <w:suppressAutoHyphens/>
        <w:spacing w:line="480" w:lineRule="auto"/>
        <w:ind w:firstLine="360"/>
        <w:jc w:val="both"/>
        <w:rPr>
          <w:rFonts w:ascii="Book Antiqua" w:hAnsi="Book Antiqua"/>
          <w:lang w:val="es-419"/>
        </w:rPr>
      </w:pPr>
      <w:r w:rsidRPr="00E14633">
        <w:rPr>
          <w:rFonts w:ascii="Book Antiqua" w:hAnsi="Book Antiqua"/>
          <w:lang w:val="es-419"/>
        </w:rPr>
        <w:t xml:space="preserve">Sección 4.- </w:t>
      </w:r>
      <w:r w:rsidR="008F2D9C" w:rsidRPr="001464D5">
        <w:rPr>
          <w:rFonts w:ascii="Book Antiqua" w:hAnsi="Book Antiqua"/>
          <w:lang w:val="es-419"/>
        </w:rPr>
        <w:t>La Comisión deberá rendir</w:t>
      </w:r>
      <w:r w:rsidR="008F2D9C" w:rsidRPr="008F2D9C">
        <w:rPr>
          <w:rFonts w:ascii="Book Antiqua" w:hAnsi="Book Antiqua"/>
          <w:lang w:val="es-419"/>
        </w:rPr>
        <w:t xml:space="preserve">, dentro de un plazo de sesenta (60) días de aprobada esta Resolución, </w:t>
      </w:r>
      <w:r w:rsidR="008F2D9C" w:rsidRPr="001464D5">
        <w:rPr>
          <w:rFonts w:ascii="Book Antiqua" w:hAnsi="Book Antiqua"/>
          <w:lang w:val="es-419"/>
        </w:rPr>
        <w:t>un informe detallado a esta Cámara con sus hallazgos, conclusiones y recomendaciones, incluyendo cualquier medida legislativa o administrativa que estime necesaria para evitar arbitrariedad en el uso de fondos públicos destinados a campañas de promoción turística</w:t>
      </w:r>
      <w:r w:rsidRPr="00E14633">
        <w:rPr>
          <w:rFonts w:ascii="Book Antiqua" w:hAnsi="Book Antiqua"/>
          <w:lang w:val="es-419"/>
        </w:rPr>
        <w:t>.</w:t>
      </w:r>
    </w:p>
    <w:p w14:paraId="31EBBA22" w14:textId="2C114243" w:rsidR="00A22A39" w:rsidRPr="00E14633" w:rsidRDefault="00E14633" w:rsidP="00C170FD">
      <w:pPr>
        <w:spacing w:line="480" w:lineRule="auto"/>
        <w:ind w:firstLine="360"/>
        <w:jc w:val="both"/>
        <w:rPr>
          <w:rFonts w:ascii="Book Antiqua" w:hAnsi="Book Antiqua"/>
          <w:lang w:val="es-419"/>
        </w:rPr>
      </w:pPr>
      <w:r w:rsidRPr="00E14633">
        <w:rPr>
          <w:rFonts w:ascii="Book Antiqua" w:hAnsi="Book Antiqua"/>
          <w:lang w:val="es-419"/>
        </w:rPr>
        <w:t xml:space="preserve">Sección 5.- Esta Resolución comenzará a regir inmediatamente después de su aprobación. </w:t>
      </w:r>
    </w:p>
    <w:sectPr w:rsidR="00A22A39" w:rsidRPr="00E14633" w:rsidSect="00C170FD">
      <w:headerReference w:type="default" r:id="rId12"/>
      <w:headerReference w:type="first" r:id="rId13"/>
      <w:type w:val="continuous"/>
      <w:pgSz w:w="12240" w:h="15840" w:code="1"/>
      <w:pgMar w:top="1440" w:right="1440" w:bottom="1440" w:left="1440"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5D137" w14:textId="77777777" w:rsidR="00277A10" w:rsidRDefault="00277A10">
      <w:r>
        <w:separator/>
      </w:r>
    </w:p>
  </w:endnote>
  <w:endnote w:type="continuationSeparator" w:id="0">
    <w:p w14:paraId="425F28B2" w14:textId="77777777" w:rsidR="00277A10" w:rsidRDefault="00277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2AB9" w14:textId="77777777" w:rsidR="00E14633" w:rsidRDefault="00E14633" w:rsidP="000D0C0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B7BA4A5" w14:textId="77777777" w:rsidR="00E14633" w:rsidRDefault="00E146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B7781" w14:textId="77777777" w:rsidR="00277A10" w:rsidRDefault="00277A10">
      <w:r>
        <w:separator/>
      </w:r>
    </w:p>
  </w:footnote>
  <w:footnote w:type="continuationSeparator" w:id="0">
    <w:p w14:paraId="244F4A60" w14:textId="77777777" w:rsidR="00277A10" w:rsidRDefault="00277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12D58" w14:textId="77777777" w:rsidR="00E14633" w:rsidRDefault="00E14633" w:rsidP="000D0C0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139543B7" w14:textId="77777777" w:rsidR="00E14633" w:rsidRDefault="00E146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D62C7" w14:textId="77777777" w:rsidR="00E14633" w:rsidRDefault="00E14633" w:rsidP="000D0C01">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3CA355CB" w14:textId="77777777" w:rsidR="00E14633" w:rsidRDefault="00E1463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8CDBB" w14:textId="037D48C3" w:rsidR="00C859FC" w:rsidRPr="00C859FC" w:rsidRDefault="00C859FC" w:rsidP="00C859FC">
    <w:pPr>
      <w:pStyle w:val="Encabezado"/>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AD31660"/>
    <w:multiLevelType w:val="multilevel"/>
    <w:tmpl w:val="38F6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185B0F"/>
    <w:multiLevelType w:val="multilevel"/>
    <w:tmpl w:val="56AC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D70969"/>
    <w:multiLevelType w:val="multilevel"/>
    <w:tmpl w:val="66E6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E1100B"/>
    <w:multiLevelType w:val="hybridMultilevel"/>
    <w:tmpl w:val="970C120C"/>
    <w:lvl w:ilvl="0" w:tplc="C8F4C51E">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36962A4"/>
    <w:multiLevelType w:val="multilevel"/>
    <w:tmpl w:val="0D0C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1E6797"/>
    <w:multiLevelType w:val="hybridMultilevel"/>
    <w:tmpl w:val="C1649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7"/>
  </w:num>
  <w:num w:numId="4" w16cid:durableId="1466311548">
    <w:abstractNumId w:val="4"/>
  </w:num>
  <w:num w:numId="5" w16cid:durableId="938413161">
    <w:abstractNumId w:val="5"/>
  </w:num>
  <w:num w:numId="6" w16cid:durableId="454642889">
    <w:abstractNumId w:val="2"/>
  </w:num>
  <w:num w:numId="7" w16cid:durableId="1714693305">
    <w:abstractNumId w:val="8"/>
  </w:num>
  <w:num w:numId="8" w16cid:durableId="1462728257">
    <w:abstractNumId w:val="9"/>
  </w:num>
  <w:num w:numId="9" w16cid:durableId="1232039829">
    <w:abstractNumId w:val="6"/>
  </w:num>
  <w:num w:numId="10" w16cid:durableId="2999625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237C"/>
    <w:rsid w:val="0002400A"/>
    <w:rsid w:val="00024A5C"/>
    <w:rsid w:val="0002753B"/>
    <w:rsid w:val="00027EED"/>
    <w:rsid w:val="00033C37"/>
    <w:rsid w:val="0003523F"/>
    <w:rsid w:val="000416AB"/>
    <w:rsid w:val="00045BBE"/>
    <w:rsid w:val="00045F17"/>
    <w:rsid w:val="000467C0"/>
    <w:rsid w:val="00051F04"/>
    <w:rsid w:val="00056024"/>
    <w:rsid w:val="00061260"/>
    <w:rsid w:val="00061613"/>
    <w:rsid w:val="000668E2"/>
    <w:rsid w:val="00070A93"/>
    <w:rsid w:val="00071F29"/>
    <w:rsid w:val="00074FC6"/>
    <w:rsid w:val="00081640"/>
    <w:rsid w:val="000847AA"/>
    <w:rsid w:val="00084D7E"/>
    <w:rsid w:val="00090DF5"/>
    <w:rsid w:val="00092606"/>
    <w:rsid w:val="00092AC3"/>
    <w:rsid w:val="00095AE1"/>
    <w:rsid w:val="000A18FB"/>
    <w:rsid w:val="000A3BCB"/>
    <w:rsid w:val="000A6650"/>
    <w:rsid w:val="000A6B6C"/>
    <w:rsid w:val="000A775B"/>
    <w:rsid w:val="000B0DBB"/>
    <w:rsid w:val="000B49B5"/>
    <w:rsid w:val="000C788E"/>
    <w:rsid w:val="000D2889"/>
    <w:rsid w:val="000D2B7B"/>
    <w:rsid w:val="000D63B4"/>
    <w:rsid w:val="000E1999"/>
    <w:rsid w:val="000E4EBB"/>
    <w:rsid w:val="000F04EE"/>
    <w:rsid w:val="000F0F09"/>
    <w:rsid w:val="000F1948"/>
    <w:rsid w:val="000F2A25"/>
    <w:rsid w:val="000F4777"/>
    <w:rsid w:val="00103E91"/>
    <w:rsid w:val="00105D50"/>
    <w:rsid w:val="001105DF"/>
    <w:rsid w:val="00111E71"/>
    <w:rsid w:val="00114C73"/>
    <w:rsid w:val="0011739D"/>
    <w:rsid w:val="00124AF6"/>
    <w:rsid w:val="00127C6A"/>
    <w:rsid w:val="001319F6"/>
    <w:rsid w:val="001363FE"/>
    <w:rsid w:val="0014010C"/>
    <w:rsid w:val="00143052"/>
    <w:rsid w:val="0015206F"/>
    <w:rsid w:val="00152CFF"/>
    <w:rsid w:val="0016270C"/>
    <w:rsid w:val="00162962"/>
    <w:rsid w:val="0017132B"/>
    <w:rsid w:val="0017253F"/>
    <w:rsid w:val="001770AA"/>
    <w:rsid w:val="00177C52"/>
    <w:rsid w:val="001920D2"/>
    <w:rsid w:val="001970A7"/>
    <w:rsid w:val="001A37A5"/>
    <w:rsid w:val="001A76AD"/>
    <w:rsid w:val="001B4083"/>
    <w:rsid w:val="001B7CCD"/>
    <w:rsid w:val="001C6BFE"/>
    <w:rsid w:val="001D0B89"/>
    <w:rsid w:val="001D264C"/>
    <w:rsid w:val="001E49A8"/>
    <w:rsid w:val="001E6A11"/>
    <w:rsid w:val="001E7765"/>
    <w:rsid w:val="001F4CA3"/>
    <w:rsid w:val="001F612A"/>
    <w:rsid w:val="002030D3"/>
    <w:rsid w:val="00203E87"/>
    <w:rsid w:val="00210961"/>
    <w:rsid w:val="00211396"/>
    <w:rsid w:val="00212D00"/>
    <w:rsid w:val="002233B1"/>
    <w:rsid w:val="00226AE6"/>
    <w:rsid w:val="00226FA3"/>
    <w:rsid w:val="00230A81"/>
    <w:rsid w:val="0023421A"/>
    <w:rsid w:val="00242FAD"/>
    <w:rsid w:val="00245B34"/>
    <w:rsid w:val="00251D37"/>
    <w:rsid w:val="002544FF"/>
    <w:rsid w:val="0025500D"/>
    <w:rsid w:val="00263355"/>
    <w:rsid w:val="002642DF"/>
    <w:rsid w:val="00264AA6"/>
    <w:rsid w:val="0027282D"/>
    <w:rsid w:val="00273792"/>
    <w:rsid w:val="0027401C"/>
    <w:rsid w:val="00274B38"/>
    <w:rsid w:val="00274FC6"/>
    <w:rsid w:val="00277A10"/>
    <w:rsid w:val="00282192"/>
    <w:rsid w:val="00285D6B"/>
    <w:rsid w:val="00285DC0"/>
    <w:rsid w:val="0029130D"/>
    <w:rsid w:val="002946B7"/>
    <w:rsid w:val="002B00A1"/>
    <w:rsid w:val="002B6A94"/>
    <w:rsid w:val="002D4AC8"/>
    <w:rsid w:val="002D7183"/>
    <w:rsid w:val="002E385F"/>
    <w:rsid w:val="00304075"/>
    <w:rsid w:val="00310686"/>
    <w:rsid w:val="00316723"/>
    <w:rsid w:val="003203CE"/>
    <w:rsid w:val="00320D78"/>
    <w:rsid w:val="00321AEB"/>
    <w:rsid w:val="0032748D"/>
    <w:rsid w:val="003302CE"/>
    <w:rsid w:val="003340E4"/>
    <w:rsid w:val="00335A63"/>
    <w:rsid w:val="00337888"/>
    <w:rsid w:val="003425FB"/>
    <w:rsid w:val="0034469F"/>
    <w:rsid w:val="00354230"/>
    <w:rsid w:val="00360A72"/>
    <w:rsid w:val="003652AB"/>
    <w:rsid w:val="0036766A"/>
    <w:rsid w:val="00380FE5"/>
    <w:rsid w:val="00385697"/>
    <w:rsid w:val="00391BA5"/>
    <w:rsid w:val="003924DD"/>
    <w:rsid w:val="00392725"/>
    <w:rsid w:val="0039462E"/>
    <w:rsid w:val="00394FCB"/>
    <w:rsid w:val="0039515F"/>
    <w:rsid w:val="003963F4"/>
    <w:rsid w:val="003A086A"/>
    <w:rsid w:val="003B2DBB"/>
    <w:rsid w:val="003B3FC3"/>
    <w:rsid w:val="003B4C30"/>
    <w:rsid w:val="003B5254"/>
    <w:rsid w:val="003B75A6"/>
    <w:rsid w:val="003C1115"/>
    <w:rsid w:val="003C4444"/>
    <w:rsid w:val="003C45FC"/>
    <w:rsid w:val="003C55C0"/>
    <w:rsid w:val="003D3DC3"/>
    <w:rsid w:val="003D4934"/>
    <w:rsid w:val="003F1675"/>
    <w:rsid w:val="00403F87"/>
    <w:rsid w:val="0040496D"/>
    <w:rsid w:val="00405EAF"/>
    <w:rsid w:val="004061CA"/>
    <w:rsid w:val="00415689"/>
    <w:rsid w:val="00431B25"/>
    <w:rsid w:val="00434EF3"/>
    <w:rsid w:val="004423EB"/>
    <w:rsid w:val="004440CB"/>
    <w:rsid w:val="004458FB"/>
    <w:rsid w:val="00452F81"/>
    <w:rsid w:val="0045678C"/>
    <w:rsid w:val="00457C1B"/>
    <w:rsid w:val="0046040B"/>
    <w:rsid w:val="004620EC"/>
    <w:rsid w:val="00463473"/>
    <w:rsid w:val="0046472A"/>
    <w:rsid w:val="00467F99"/>
    <w:rsid w:val="004713D2"/>
    <w:rsid w:val="0047183A"/>
    <w:rsid w:val="00476253"/>
    <w:rsid w:val="00477E03"/>
    <w:rsid w:val="004849EA"/>
    <w:rsid w:val="004864BE"/>
    <w:rsid w:val="00491817"/>
    <w:rsid w:val="00492F4E"/>
    <w:rsid w:val="00494350"/>
    <w:rsid w:val="00496916"/>
    <w:rsid w:val="004B3BD7"/>
    <w:rsid w:val="004B5D0E"/>
    <w:rsid w:val="004D1EC7"/>
    <w:rsid w:val="004D3C40"/>
    <w:rsid w:val="004E5627"/>
    <w:rsid w:val="004E594E"/>
    <w:rsid w:val="004E5AEE"/>
    <w:rsid w:val="004F475D"/>
    <w:rsid w:val="004F7573"/>
    <w:rsid w:val="00511932"/>
    <w:rsid w:val="00513420"/>
    <w:rsid w:val="00516247"/>
    <w:rsid w:val="005203FD"/>
    <w:rsid w:val="00521639"/>
    <w:rsid w:val="005261DD"/>
    <w:rsid w:val="00532BB7"/>
    <w:rsid w:val="005332E4"/>
    <w:rsid w:val="0053550C"/>
    <w:rsid w:val="005362DE"/>
    <w:rsid w:val="005366A9"/>
    <w:rsid w:val="00542761"/>
    <w:rsid w:val="005434BE"/>
    <w:rsid w:val="005454B5"/>
    <w:rsid w:val="00547CDD"/>
    <w:rsid w:val="005526CA"/>
    <w:rsid w:val="005545D9"/>
    <w:rsid w:val="00555018"/>
    <w:rsid w:val="00555F03"/>
    <w:rsid w:val="00570103"/>
    <w:rsid w:val="005723DC"/>
    <w:rsid w:val="005777BB"/>
    <w:rsid w:val="00580FFA"/>
    <w:rsid w:val="005814BC"/>
    <w:rsid w:val="005825FF"/>
    <w:rsid w:val="00585107"/>
    <w:rsid w:val="00585D3B"/>
    <w:rsid w:val="00587B9D"/>
    <w:rsid w:val="00593813"/>
    <w:rsid w:val="00593DF3"/>
    <w:rsid w:val="005A1E93"/>
    <w:rsid w:val="005A69E2"/>
    <w:rsid w:val="005B24DA"/>
    <w:rsid w:val="005C330A"/>
    <w:rsid w:val="005D1059"/>
    <w:rsid w:val="005E0910"/>
    <w:rsid w:val="005E4D5F"/>
    <w:rsid w:val="005E6414"/>
    <w:rsid w:val="005E651F"/>
    <w:rsid w:val="005F114F"/>
    <w:rsid w:val="005F3454"/>
    <w:rsid w:val="005F3935"/>
    <w:rsid w:val="005F453A"/>
    <w:rsid w:val="005F6989"/>
    <w:rsid w:val="00604434"/>
    <w:rsid w:val="00606F92"/>
    <w:rsid w:val="00612A90"/>
    <w:rsid w:val="006154C7"/>
    <w:rsid w:val="006210DC"/>
    <w:rsid w:val="00627B41"/>
    <w:rsid w:val="00636742"/>
    <w:rsid w:val="00642272"/>
    <w:rsid w:val="0064349D"/>
    <w:rsid w:val="00644303"/>
    <w:rsid w:val="00646440"/>
    <w:rsid w:val="00653EED"/>
    <w:rsid w:val="0065449C"/>
    <w:rsid w:val="00655122"/>
    <w:rsid w:val="00660022"/>
    <w:rsid w:val="00666327"/>
    <w:rsid w:val="00670A0A"/>
    <w:rsid w:val="00671168"/>
    <w:rsid w:val="00672984"/>
    <w:rsid w:val="0067639D"/>
    <w:rsid w:val="006828E6"/>
    <w:rsid w:val="00685549"/>
    <w:rsid w:val="00687437"/>
    <w:rsid w:val="006905B5"/>
    <w:rsid w:val="006977BE"/>
    <w:rsid w:val="006A14A2"/>
    <w:rsid w:val="006A3AC4"/>
    <w:rsid w:val="006A7788"/>
    <w:rsid w:val="006B7365"/>
    <w:rsid w:val="006C0E60"/>
    <w:rsid w:val="006C2D81"/>
    <w:rsid w:val="006C7DF8"/>
    <w:rsid w:val="006D361C"/>
    <w:rsid w:val="006D7A56"/>
    <w:rsid w:val="006E3A9C"/>
    <w:rsid w:val="006F3A05"/>
    <w:rsid w:val="006F534D"/>
    <w:rsid w:val="006F649E"/>
    <w:rsid w:val="00707C7B"/>
    <w:rsid w:val="00710307"/>
    <w:rsid w:val="007103D4"/>
    <w:rsid w:val="007169F7"/>
    <w:rsid w:val="0072097D"/>
    <w:rsid w:val="00723209"/>
    <w:rsid w:val="00723455"/>
    <w:rsid w:val="007240C0"/>
    <w:rsid w:val="00726E8E"/>
    <w:rsid w:val="00737914"/>
    <w:rsid w:val="00750FC8"/>
    <w:rsid w:val="007533D0"/>
    <w:rsid w:val="007537FA"/>
    <w:rsid w:val="00755069"/>
    <w:rsid w:val="00764182"/>
    <w:rsid w:val="007664D9"/>
    <w:rsid w:val="0077639B"/>
    <w:rsid w:val="0077793A"/>
    <w:rsid w:val="0078014A"/>
    <w:rsid w:val="00780DBA"/>
    <w:rsid w:val="00782A2C"/>
    <w:rsid w:val="0078352C"/>
    <w:rsid w:val="0079216A"/>
    <w:rsid w:val="00793BDF"/>
    <w:rsid w:val="00796006"/>
    <w:rsid w:val="00796168"/>
    <w:rsid w:val="007A010D"/>
    <w:rsid w:val="007A69EB"/>
    <w:rsid w:val="007B0660"/>
    <w:rsid w:val="007B19F1"/>
    <w:rsid w:val="007B5935"/>
    <w:rsid w:val="007C06F6"/>
    <w:rsid w:val="007D0A0C"/>
    <w:rsid w:val="007D1AA4"/>
    <w:rsid w:val="007D6A3F"/>
    <w:rsid w:val="007D7F94"/>
    <w:rsid w:val="007E3868"/>
    <w:rsid w:val="007E3F2F"/>
    <w:rsid w:val="007E5737"/>
    <w:rsid w:val="007E6791"/>
    <w:rsid w:val="007F1F27"/>
    <w:rsid w:val="007F2EC2"/>
    <w:rsid w:val="00802AB7"/>
    <w:rsid w:val="0080618A"/>
    <w:rsid w:val="0081471C"/>
    <w:rsid w:val="00814B3C"/>
    <w:rsid w:val="00820C41"/>
    <w:rsid w:val="008248B8"/>
    <w:rsid w:val="00826FA1"/>
    <w:rsid w:val="00850256"/>
    <w:rsid w:val="00855075"/>
    <w:rsid w:val="008579CF"/>
    <w:rsid w:val="0086631F"/>
    <w:rsid w:val="00866D69"/>
    <w:rsid w:val="0087229C"/>
    <w:rsid w:val="0087232A"/>
    <w:rsid w:val="008872BF"/>
    <w:rsid w:val="0088747D"/>
    <w:rsid w:val="00891545"/>
    <w:rsid w:val="008B13C2"/>
    <w:rsid w:val="008B35D2"/>
    <w:rsid w:val="008B3953"/>
    <w:rsid w:val="008C4C0E"/>
    <w:rsid w:val="008D66AD"/>
    <w:rsid w:val="008E167E"/>
    <w:rsid w:val="008E5AD5"/>
    <w:rsid w:val="008F2D9C"/>
    <w:rsid w:val="00907243"/>
    <w:rsid w:val="009167A9"/>
    <w:rsid w:val="009261BB"/>
    <w:rsid w:val="0093330B"/>
    <w:rsid w:val="00936042"/>
    <w:rsid w:val="0093686F"/>
    <w:rsid w:val="00936D4F"/>
    <w:rsid w:val="00942FD4"/>
    <w:rsid w:val="0095024A"/>
    <w:rsid w:val="00951997"/>
    <w:rsid w:val="009536BD"/>
    <w:rsid w:val="009537FD"/>
    <w:rsid w:val="00953C94"/>
    <w:rsid w:val="0095401E"/>
    <w:rsid w:val="00966D4D"/>
    <w:rsid w:val="00970E6F"/>
    <w:rsid w:val="009730D4"/>
    <w:rsid w:val="009819DD"/>
    <w:rsid w:val="00985F03"/>
    <w:rsid w:val="00990352"/>
    <w:rsid w:val="009A07AF"/>
    <w:rsid w:val="009A53EF"/>
    <w:rsid w:val="009A6F9C"/>
    <w:rsid w:val="009B2AA0"/>
    <w:rsid w:val="009B402B"/>
    <w:rsid w:val="009B42CA"/>
    <w:rsid w:val="009B6920"/>
    <w:rsid w:val="009C2609"/>
    <w:rsid w:val="009C735E"/>
    <w:rsid w:val="009E3491"/>
    <w:rsid w:val="009E3C98"/>
    <w:rsid w:val="009F11F1"/>
    <w:rsid w:val="00A02721"/>
    <w:rsid w:val="00A03405"/>
    <w:rsid w:val="00A0691E"/>
    <w:rsid w:val="00A1032B"/>
    <w:rsid w:val="00A12984"/>
    <w:rsid w:val="00A1528A"/>
    <w:rsid w:val="00A17321"/>
    <w:rsid w:val="00A20194"/>
    <w:rsid w:val="00A21CB6"/>
    <w:rsid w:val="00A22A39"/>
    <w:rsid w:val="00A230B0"/>
    <w:rsid w:val="00A24A51"/>
    <w:rsid w:val="00A258D4"/>
    <w:rsid w:val="00A305BE"/>
    <w:rsid w:val="00A30F8E"/>
    <w:rsid w:val="00A31626"/>
    <w:rsid w:val="00A33918"/>
    <w:rsid w:val="00A45716"/>
    <w:rsid w:val="00A63F86"/>
    <w:rsid w:val="00A705FF"/>
    <w:rsid w:val="00A76239"/>
    <w:rsid w:val="00A7629F"/>
    <w:rsid w:val="00A8034C"/>
    <w:rsid w:val="00A80AFE"/>
    <w:rsid w:val="00A844B9"/>
    <w:rsid w:val="00A878F7"/>
    <w:rsid w:val="00A9328A"/>
    <w:rsid w:val="00A97479"/>
    <w:rsid w:val="00AA01F7"/>
    <w:rsid w:val="00AA0E19"/>
    <w:rsid w:val="00AA4526"/>
    <w:rsid w:val="00AA56F4"/>
    <w:rsid w:val="00AB0BCB"/>
    <w:rsid w:val="00AB2085"/>
    <w:rsid w:val="00AB2A2B"/>
    <w:rsid w:val="00AB7AF6"/>
    <w:rsid w:val="00AC5E5F"/>
    <w:rsid w:val="00AC6FF5"/>
    <w:rsid w:val="00AC7C6C"/>
    <w:rsid w:val="00AD0293"/>
    <w:rsid w:val="00AD7090"/>
    <w:rsid w:val="00AE132A"/>
    <w:rsid w:val="00AF0702"/>
    <w:rsid w:val="00AF0CEE"/>
    <w:rsid w:val="00B030C6"/>
    <w:rsid w:val="00B03A11"/>
    <w:rsid w:val="00B278DE"/>
    <w:rsid w:val="00B32A21"/>
    <w:rsid w:val="00B34806"/>
    <w:rsid w:val="00B40FC0"/>
    <w:rsid w:val="00B4656A"/>
    <w:rsid w:val="00B47C75"/>
    <w:rsid w:val="00B55CC9"/>
    <w:rsid w:val="00B61194"/>
    <w:rsid w:val="00B65C5E"/>
    <w:rsid w:val="00B667AD"/>
    <w:rsid w:val="00B73A21"/>
    <w:rsid w:val="00B84C38"/>
    <w:rsid w:val="00B85569"/>
    <w:rsid w:val="00B85B69"/>
    <w:rsid w:val="00B86B8F"/>
    <w:rsid w:val="00B86C00"/>
    <w:rsid w:val="00B947F6"/>
    <w:rsid w:val="00BA2A75"/>
    <w:rsid w:val="00BA2D87"/>
    <w:rsid w:val="00BA4271"/>
    <w:rsid w:val="00BB3B07"/>
    <w:rsid w:val="00BB3E26"/>
    <w:rsid w:val="00BB41C8"/>
    <w:rsid w:val="00BC073F"/>
    <w:rsid w:val="00BC4520"/>
    <w:rsid w:val="00BD5DFB"/>
    <w:rsid w:val="00BF16AA"/>
    <w:rsid w:val="00BF2B0F"/>
    <w:rsid w:val="00BF42B6"/>
    <w:rsid w:val="00C0152F"/>
    <w:rsid w:val="00C109E0"/>
    <w:rsid w:val="00C11C6E"/>
    <w:rsid w:val="00C1596A"/>
    <w:rsid w:val="00C16AD3"/>
    <w:rsid w:val="00C170FD"/>
    <w:rsid w:val="00C17D44"/>
    <w:rsid w:val="00C2154E"/>
    <w:rsid w:val="00C25DF1"/>
    <w:rsid w:val="00C354B8"/>
    <w:rsid w:val="00C455F1"/>
    <w:rsid w:val="00C4763B"/>
    <w:rsid w:val="00C52517"/>
    <w:rsid w:val="00C6045F"/>
    <w:rsid w:val="00C60921"/>
    <w:rsid w:val="00C611ED"/>
    <w:rsid w:val="00C62936"/>
    <w:rsid w:val="00C6373E"/>
    <w:rsid w:val="00C653F2"/>
    <w:rsid w:val="00C679E6"/>
    <w:rsid w:val="00C717F0"/>
    <w:rsid w:val="00C73121"/>
    <w:rsid w:val="00C732A8"/>
    <w:rsid w:val="00C807D4"/>
    <w:rsid w:val="00C84368"/>
    <w:rsid w:val="00C859FC"/>
    <w:rsid w:val="00C8704E"/>
    <w:rsid w:val="00C908F9"/>
    <w:rsid w:val="00C94E9B"/>
    <w:rsid w:val="00CA0917"/>
    <w:rsid w:val="00CA1099"/>
    <w:rsid w:val="00CA79CF"/>
    <w:rsid w:val="00CB0D45"/>
    <w:rsid w:val="00CB3E2F"/>
    <w:rsid w:val="00CC2BE1"/>
    <w:rsid w:val="00CC577B"/>
    <w:rsid w:val="00CE1433"/>
    <w:rsid w:val="00CE79FF"/>
    <w:rsid w:val="00CF29D2"/>
    <w:rsid w:val="00CF4CED"/>
    <w:rsid w:val="00D03BFC"/>
    <w:rsid w:val="00D03EE3"/>
    <w:rsid w:val="00D06057"/>
    <w:rsid w:val="00D130E4"/>
    <w:rsid w:val="00D21223"/>
    <w:rsid w:val="00D24D8D"/>
    <w:rsid w:val="00D26716"/>
    <w:rsid w:val="00D417C2"/>
    <w:rsid w:val="00D41F2A"/>
    <w:rsid w:val="00D42885"/>
    <w:rsid w:val="00D5194E"/>
    <w:rsid w:val="00D54783"/>
    <w:rsid w:val="00D60936"/>
    <w:rsid w:val="00D61E5C"/>
    <w:rsid w:val="00D709EB"/>
    <w:rsid w:val="00D74462"/>
    <w:rsid w:val="00D74714"/>
    <w:rsid w:val="00D76468"/>
    <w:rsid w:val="00D812E2"/>
    <w:rsid w:val="00D82F3F"/>
    <w:rsid w:val="00D835AC"/>
    <w:rsid w:val="00D849C3"/>
    <w:rsid w:val="00D921C6"/>
    <w:rsid w:val="00D94A5A"/>
    <w:rsid w:val="00D958C2"/>
    <w:rsid w:val="00D96541"/>
    <w:rsid w:val="00DA00E9"/>
    <w:rsid w:val="00DA5469"/>
    <w:rsid w:val="00DA54E2"/>
    <w:rsid w:val="00DA7994"/>
    <w:rsid w:val="00DB37BF"/>
    <w:rsid w:val="00DB4999"/>
    <w:rsid w:val="00DC0AED"/>
    <w:rsid w:val="00DC3EA0"/>
    <w:rsid w:val="00DC59A9"/>
    <w:rsid w:val="00DC5C13"/>
    <w:rsid w:val="00DD02F2"/>
    <w:rsid w:val="00DD0E9A"/>
    <w:rsid w:val="00DE29B4"/>
    <w:rsid w:val="00DE4BF9"/>
    <w:rsid w:val="00DE5137"/>
    <w:rsid w:val="00E0051D"/>
    <w:rsid w:val="00E04AB5"/>
    <w:rsid w:val="00E0544B"/>
    <w:rsid w:val="00E14633"/>
    <w:rsid w:val="00E21975"/>
    <w:rsid w:val="00E273F9"/>
    <w:rsid w:val="00E40FD9"/>
    <w:rsid w:val="00E426FC"/>
    <w:rsid w:val="00E43D21"/>
    <w:rsid w:val="00E4432F"/>
    <w:rsid w:val="00E50EEA"/>
    <w:rsid w:val="00E52F58"/>
    <w:rsid w:val="00E60ECB"/>
    <w:rsid w:val="00E63EBF"/>
    <w:rsid w:val="00E6681D"/>
    <w:rsid w:val="00E72246"/>
    <w:rsid w:val="00E72831"/>
    <w:rsid w:val="00E774AF"/>
    <w:rsid w:val="00E777D9"/>
    <w:rsid w:val="00E93927"/>
    <w:rsid w:val="00EA5A9F"/>
    <w:rsid w:val="00EA70A7"/>
    <w:rsid w:val="00EB504A"/>
    <w:rsid w:val="00EB5382"/>
    <w:rsid w:val="00EB5664"/>
    <w:rsid w:val="00EC26AA"/>
    <w:rsid w:val="00EC4ABD"/>
    <w:rsid w:val="00ED344B"/>
    <w:rsid w:val="00ED4E25"/>
    <w:rsid w:val="00ED53FB"/>
    <w:rsid w:val="00ED7A53"/>
    <w:rsid w:val="00EE1BA4"/>
    <w:rsid w:val="00EE3830"/>
    <w:rsid w:val="00EE3FF4"/>
    <w:rsid w:val="00EE4273"/>
    <w:rsid w:val="00EE4D66"/>
    <w:rsid w:val="00EE521D"/>
    <w:rsid w:val="00EF6CC4"/>
    <w:rsid w:val="00EF78F1"/>
    <w:rsid w:val="00F02004"/>
    <w:rsid w:val="00F042CB"/>
    <w:rsid w:val="00F05D4C"/>
    <w:rsid w:val="00F07E20"/>
    <w:rsid w:val="00F25CAB"/>
    <w:rsid w:val="00F30A3F"/>
    <w:rsid w:val="00F362AC"/>
    <w:rsid w:val="00F377A9"/>
    <w:rsid w:val="00F41279"/>
    <w:rsid w:val="00F44DC8"/>
    <w:rsid w:val="00F55C69"/>
    <w:rsid w:val="00F55D7D"/>
    <w:rsid w:val="00F60A20"/>
    <w:rsid w:val="00F624BC"/>
    <w:rsid w:val="00F670FA"/>
    <w:rsid w:val="00F71906"/>
    <w:rsid w:val="00F75068"/>
    <w:rsid w:val="00F77EC4"/>
    <w:rsid w:val="00F8549F"/>
    <w:rsid w:val="00F96F78"/>
    <w:rsid w:val="00F97775"/>
    <w:rsid w:val="00FB3FCB"/>
    <w:rsid w:val="00FC0604"/>
    <w:rsid w:val="00FC0A95"/>
    <w:rsid w:val="00FC1E1C"/>
    <w:rsid w:val="00FC3D9C"/>
    <w:rsid w:val="00FC764A"/>
    <w:rsid w:val="00FD4E14"/>
    <w:rsid w:val="00FD4EA3"/>
    <w:rsid w:val="00FD58D8"/>
    <w:rsid w:val="00FD6402"/>
    <w:rsid w:val="00FE2924"/>
    <w:rsid w:val="00FE3686"/>
    <w:rsid w:val="00FF0153"/>
    <w:rsid w:val="00FF1210"/>
    <w:rsid w:val="00FF3123"/>
    <w:rsid w:val="00FF4A2F"/>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link w:val="PiedepginaCar"/>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 w:type="paragraph" w:styleId="Sangra2detindependiente">
    <w:name w:val="Body Text Indent 2"/>
    <w:basedOn w:val="Normal"/>
    <w:link w:val="Sangra2detindependienteCar"/>
    <w:rsid w:val="00264AA6"/>
    <w:pPr>
      <w:ind w:firstLine="741"/>
      <w:jc w:val="both"/>
    </w:pPr>
    <w:rPr>
      <w:rFonts w:ascii="CG Times (W1)" w:hAnsi="CG Times (W1)"/>
      <w:lang w:val="es-PR"/>
    </w:rPr>
  </w:style>
  <w:style w:type="character" w:customStyle="1" w:styleId="Sangra2detindependienteCar">
    <w:name w:val="Sangría 2 de t. independiente Car"/>
    <w:basedOn w:val="Fuentedeprrafopredeter"/>
    <w:link w:val="Sangra2detindependiente"/>
    <w:rsid w:val="00264AA6"/>
    <w:rPr>
      <w:rFonts w:ascii="CG Times (W1)" w:hAnsi="CG Times (W1)"/>
      <w:sz w:val="24"/>
      <w:lang w:val="es-PR"/>
    </w:rPr>
  </w:style>
  <w:style w:type="paragraph" w:styleId="Sangradetextonormal">
    <w:name w:val="Body Text Indent"/>
    <w:basedOn w:val="Normal"/>
    <w:link w:val="SangradetextonormalCar"/>
    <w:uiPriority w:val="99"/>
    <w:semiHidden/>
    <w:unhideWhenUsed/>
    <w:rsid w:val="00B03A11"/>
    <w:pPr>
      <w:spacing w:after="120"/>
      <w:ind w:left="360"/>
    </w:pPr>
  </w:style>
  <w:style w:type="character" w:customStyle="1" w:styleId="SangradetextonormalCar">
    <w:name w:val="Sangría de texto normal Car"/>
    <w:basedOn w:val="Fuentedeprrafopredeter"/>
    <w:link w:val="Sangradetextonormal"/>
    <w:uiPriority w:val="99"/>
    <w:semiHidden/>
    <w:rsid w:val="00B03A11"/>
    <w:rPr>
      <w:sz w:val="24"/>
    </w:rPr>
  </w:style>
  <w:style w:type="character" w:styleId="Hipervnculo">
    <w:name w:val="Hyperlink"/>
    <w:basedOn w:val="Fuentedeprrafopredeter"/>
    <w:uiPriority w:val="99"/>
    <w:unhideWhenUsed/>
    <w:rsid w:val="00B03A11"/>
    <w:rPr>
      <w:color w:val="0563C1" w:themeColor="hyperlink"/>
      <w:u w:val="single"/>
    </w:rPr>
  </w:style>
  <w:style w:type="character" w:styleId="Mencinsinresolver">
    <w:name w:val="Unresolved Mention"/>
    <w:basedOn w:val="Fuentedeprrafopredeter"/>
    <w:uiPriority w:val="99"/>
    <w:semiHidden/>
    <w:unhideWhenUsed/>
    <w:rsid w:val="00B03A11"/>
    <w:rPr>
      <w:color w:val="605E5C"/>
      <w:shd w:val="clear" w:color="auto" w:fill="E1DFDD"/>
    </w:rPr>
  </w:style>
  <w:style w:type="paragraph" w:styleId="NormalWeb">
    <w:name w:val="Normal (Web)"/>
    <w:basedOn w:val="Normal"/>
    <w:uiPriority w:val="99"/>
    <w:semiHidden/>
    <w:unhideWhenUsed/>
    <w:rsid w:val="00B32A21"/>
    <w:rPr>
      <w:szCs w:val="24"/>
    </w:rPr>
  </w:style>
  <w:style w:type="character" w:customStyle="1" w:styleId="PiedepginaCar">
    <w:name w:val="Pie de página Car"/>
    <w:basedOn w:val="Fuentedeprrafopredeter"/>
    <w:link w:val="Piedepgina"/>
    <w:rsid w:val="00E14633"/>
    <w:rPr>
      <w:sz w:val="24"/>
    </w:rPr>
  </w:style>
  <w:style w:type="character" w:customStyle="1" w:styleId="EncabezadoCar">
    <w:name w:val="Encabezado Car"/>
    <w:basedOn w:val="Fuentedeprrafopredeter"/>
    <w:link w:val="Encabezado"/>
    <w:rsid w:val="00E1463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542279878">
      <w:bodyDiv w:val="1"/>
      <w:marLeft w:val="0"/>
      <w:marRight w:val="0"/>
      <w:marTop w:val="0"/>
      <w:marBottom w:val="0"/>
      <w:divBdr>
        <w:top w:val="none" w:sz="0" w:space="0" w:color="auto"/>
        <w:left w:val="none" w:sz="0" w:space="0" w:color="auto"/>
        <w:bottom w:val="none" w:sz="0" w:space="0" w:color="auto"/>
        <w:right w:val="none" w:sz="0" w:space="0" w:color="auto"/>
      </w:divBdr>
      <w:divsChild>
        <w:div w:id="570966800">
          <w:marLeft w:val="0"/>
          <w:marRight w:val="0"/>
          <w:marTop w:val="0"/>
          <w:marBottom w:val="0"/>
          <w:divBdr>
            <w:top w:val="none" w:sz="0" w:space="0" w:color="auto"/>
            <w:left w:val="none" w:sz="0" w:space="0" w:color="auto"/>
            <w:bottom w:val="none" w:sz="0" w:space="0" w:color="auto"/>
            <w:right w:val="none" w:sz="0" w:space="0" w:color="auto"/>
          </w:divBdr>
          <w:divsChild>
            <w:div w:id="1743328295">
              <w:marLeft w:val="0"/>
              <w:marRight w:val="0"/>
              <w:marTop w:val="0"/>
              <w:marBottom w:val="0"/>
              <w:divBdr>
                <w:top w:val="none" w:sz="0" w:space="0" w:color="auto"/>
                <w:left w:val="none" w:sz="0" w:space="0" w:color="auto"/>
                <w:bottom w:val="none" w:sz="0" w:space="0" w:color="auto"/>
                <w:right w:val="none" w:sz="0" w:space="0" w:color="auto"/>
              </w:divBdr>
              <w:divsChild>
                <w:div w:id="89427134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18976462">
          <w:marLeft w:val="0"/>
          <w:marRight w:val="0"/>
          <w:marTop w:val="0"/>
          <w:marBottom w:val="0"/>
          <w:divBdr>
            <w:top w:val="none" w:sz="0" w:space="0" w:color="auto"/>
            <w:left w:val="none" w:sz="0" w:space="0" w:color="auto"/>
            <w:bottom w:val="none" w:sz="0" w:space="0" w:color="auto"/>
            <w:right w:val="none" w:sz="0" w:space="0" w:color="auto"/>
          </w:divBdr>
          <w:divsChild>
            <w:div w:id="1990011548">
              <w:marLeft w:val="0"/>
              <w:marRight w:val="0"/>
              <w:marTop w:val="0"/>
              <w:marBottom w:val="0"/>
              <w:divBdr>
                <w:top w:val="none" w:sz="0" w:space="0" w:color="auto"/>
                <w:left w:val="none" w:sz="0" w:space="0" w:color="auto"/>
                <w:bottom w:val="none" w:sz="0" w:space="0" w:color="auto"/>
                <w:right w:val="none" w:sz="0" w:space="0" w:color="auto"/>
              </w:divBdr>
              <w:divsChild>
                <w:div w:id="1909724521">
                  <w:marLeft w:val="0"/>
                  <w:marRight w:val="0"/>
                  <w:marTop w:val="0"/>
                  <w:marBottom w:val="0"/>
                  <w:divBdr>
                    <w:top w:val="none" w:sz="0" w:space="0" w:color="auto"/>
                    <w:left w:val="none" w:sz="0" w:space="0" w:color="auto"/>
                    <w:bottom w:val="none" w:sz="0" w:space="0" w:color="auto"/>
                    <w:right w:val="none" w:sz="0" w:space="0" w:color="auto"/>
                  </w:divBdr>
                  <w:divsChild>
                    <w:div w:id="1269196003">
                      <w:marLeft w:val="0"/>
                      <w:marRight w:val="0"/>
                      <w:marTop w:val="0"/>
                      <w:marBottom w:val="0"/>
                      <w:divBdr>
                        <w:top w:val="none" w:sz="0" w:space="0" w:color="auto"/>
                        <w:left w:val="none" w:sz="0" w:space="0" w:color="auto"/>
                        <w:bottom w:val="none" w:sz="0" w:space="0" w:color="auto"/>
                        <w:right w:val="none" w:sz="0" w:space="0" w:color="auto"/>
                      </w:divBdr>
                      <w:divsChild>
                        <w:div w:id="1290745104">
                          <w:marLeft w:val="0"/>
                          <w:marRight w:val="0"/>
                          <w:marTop w:val="0"/>
                          <w:marBottom w:val="0"/>
                          <w:divBdr>
                            <w:top w:val="none" w:sz="0" w:space="0" w:color="auto"/>
                            <w:left w:val="none" w:sz="0" w:space="0" w:color="auto"/>
                            <w:bottom w:val="none" w:sz="0" w:space="0" w:color="auto"/>
                            <w:right w:val="none" w:sz="0" w:space="0" w:color="auto"/>
                          </w:divBdr>
                          <w:divsChild>
                            <w:div w:id="1162157665">
                              <w:marLeft w:val="0"/>
                              <w:marRight w:val="0"/>
                              <w:marTop w:val="0"/>
                              <w:marBottom w:val="0"/>
                              <w:divBdr>
                                <w:top w:val="none" w:sz="0" w:space="0" w:color="auto"/>
                                <w:left w:val="none" w:sz="0" w:space="0" w:color="auto"/>
                                <w:bottom w:val="none" w:sz="0" w:space="0" w:color="auto"/>
                                <w:right w:val="none" w:sz="0" w:space="0" w:color="auto"/>
                              </w:divBdr>
                            </w:div>
                            <w:div w:id="6384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29718">
                  <w:marLeft w:val="0"/>
                  <w:marRight w:val="0"/>
                  <w:marTop w:val="0"/>
                  <w:marBottom w:val="0"/>
                  <w:divBdr>
                    <w:top w:val="none" w:sz="0" w:space="0" w:color="auto"/>
                    <w:left w:val="none" w:sz="0" w:space="0" w:color="auto"/>
                    <w:bottom w:val="none" w:sz="0" w:space="0" w:color="auto"/>
                    <w:right w:val="none" w:sz="0" w:space="0" w:color="auto"/>
                  </w:divBdr>
                  <w:divsChild>
                    <w:div w:id="1446457863">
                      <w:marLeft w:val="0"/>
                      <w:marRight w:val="0"/>
                      <w:marTop w:val="0"/>
                      <w:marBottom w:val="0"/>
                      <w:divBdr>
                        <w:top w:val="none" w:sz="0" w:space="0" w:color="auto"/>
                        <w:left w:val="none" w:sz="0" w:space="0" w:color="auto"/>
                        <w:bottom w:val="none" w:sz="0" w:space="0" w:color="auto"/>
                        <w:right w:val="none" w:sz="0" w:space="0" w:color="auto"/>
                      </w:divBdr>
                      <w:divsChild>
                        <w:div w:id="61635048">
                          <w:marLeft w:val="0"/>
                          <w:marRight w:val="0"/>
                          <w:marTop w:val="0"/>
                          <w:marBottom w:val="0"/>
                          <w:divBdr>
                            <w:top w:val="none" w:sz="0" w:space="0" w:color="auto"/>
                            <w:left w:val="none" w:sz="0" w:space="0" w:color="auto"/>
                            <w:bottom w:val="none" w:sz="0" w:space="0" w:color="auto"/>
                            <w:right w:val="none" w:sz="0" w:space="0" w:color="auto"/>
                          </w:divBdr>
                          <w:divsChild>
                            <w:div w:id="2050447559">
                              <w:marLeft w:val="0"/>
                              <w:marRight w:val="0"/>
                              <w:marTop w:val="0"/>
                              <w:marBottom w:val="0"/>
                              <w:divBdr>
                                <w:top w:val="none" w:sz="0" w:space="0" w:color="auto"/>
                                <w:left w:val="none" w:sz="0" w:space="0" w:color="auto"/>
                                <w:bottom w:val="none" w:sz="0" w:space="0" w:color="auto"/>
                                <w:right w:val="none" w:sz="0" w:space="0" w:color="auto"/>
                              </w:divBdr>
                            </w:div>
                            <w:div w:id="199953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794493">
                  <w:marLeft w:val="0"/>
                  <w:marRight w:val="0"/>
                  <w:marTop w:val="0"/>
                  <w:marBottom w:val="0"/>
                  <w:divBdr>
                    <w:top w:val="none" w:sz="0" w:space="0" w:color="auto"/>
                    <w:left w:val="none" w:sz="0" w:space="0" w:color="auto"/>
                    <w:bottom w:val="none" w:sz="0" w:space="0" w:color="auto"/>
                    <w:right w:val="none" w:sz="0" w:space="0" w:color="auto"/>
                  </w:divBdr>
                  <w:divsChild>
                    <w:div w:id="741487428">
                      <w:marLeft w:val="0"/>
                      <w:marRight w:val="0"/>
                      <w:marTop w:val="0"/>
                      <w:marBottom w:val="0"/>
                      <w:divBdr>
                        <w:top w:val="none" w:sz="0" w:space="0" w:color="auto"/>
                        <w:left w:val="none" w:sz="0" w:space="0" w:color="auto"/>
                        <w:bottom w:val="none" w:sz="0" w:space="0" w:color="auto"/>
                        <w:right w:val="none" w:sz="0" w:space="0" w:color="auto"/>
                      </w:divBdr>
                      <w:divsChild>
                        <w:div w:id="458186623">
                          <w:marLeft w:val="0"/>
                          <w:marRight w:val="0"/>
                          <w:marTop w:val="0"/>
                          <w:marBottom w:val="0"/>
                          <w:divBdr>
                            <w:top w:val="none" w:sz="0" w:space="0" w:color="auto"/>
                            <w:left w:val="none" w:sz="0" w:space="0" w:color="auto"/>
                            <w:bottom w:val="none" w:sz="0" w:space="0" w:color="auto"/>
                            <w:right w:val="none" w:sz="0" w:space="0" w:color="auto"/>
                          </w:divBdr>
                          <w:divsChild>
                            <w:div w:id="1904245967">
                              <w:marLeft w:val="0"/>
                              <w:marRight w:val="0"/>
                              <w:marTop w:val="0"/>
                              <w:marBottom w:val="0"/>
                              <w:divBdr>
                                <w:top w:val="none" w:sz="0" w:space="0" w:color="auto"/>
                                <w:left w:val="none" w:sz="0" w:space="0" w:color="auto"/>
                                <w:bottom w:val="none" w:sz="0" w:space="0" w:color="auto"/>
                                <w:right w:val="none" w:sz="0" w:space="0" w:color="auto"/>
                              </w:divBdr>
                            </w:div>
                            <w:div w:id="115129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899814">
                  <w:marLeft w:val="0"/>
                  <w:marRight w:val="0"/>
                  <w:marTop w:val="0"/>
                  <w:marBottom w:val="0"/>
                  <w:divBdr>
                    <w:top w:val="none" w:sz="0" w:space="0" w:color="auto"/>
                    <w:left w:val="none" w:sz="0" w:space="0" w:color="auto"/>
                    <w:bottom w:val="none" w:sz="0" w:space="0" w:color="auto"/>
                    <w:right w:val="none" w:sz="0" w:space="0" w:color="auto"/>
                  </w:divBdr>
                  <w:divsChild>
                    <w:div w:id="1692608954">
                      <w:marLeft w:val="0"/>
                      <w:marRight w:val="0"/>
                      <w:marTop w:val="0"/>
                      <w:marBottom w:val="0"/>
                      <w:divBdr>
                        <w:top w:val="none" w:sz="0" w:space="0" w:color="auto"/>
                        <w:left w:val="none" w:sz="0" w:space="0" w:color="auto"/>
                        <w:bottom w:val="none" w:sz="0" w:space="0" w:color="auto"/>
                        <w:right w:val="none" w:sz="0" w:space="0" w:color="auto"/>
                      </w:divBdr>
                      <w:divsChild>
                        <w:div w:id="1567492159">
                          <w:marLeft w:val="0"/>
                          <w:marRight w:val="0"/>
                          <w:marTop w:val="0"/>
                          <w:marBottom w:val="0"/>
                          <w:divBdr>
                            <w:top w:val="none" w:sz="0" w:space="0" w:color="auto"/>
                            <w:left w:val="none" w:sz="0" w:space="0" w:color="auto"/>
                            <w:bottom w:val="none" w:sz="0" w:space="0" w:color="auto"/>
                            <w:right w:val="none" w:sz="0" w:space="0" w:color="auto"/>
                          </w:divBdr>
                          <w:divsChild>
                            <w:div w:id="2138638833">
                              <w:marLeft w:val="0"/>
                              <w:marRight w:val="0"/>
                              <w:marTop w:val="0"/>
                              <w:marBottom w:val="0"/>
                              <w:divBdr>
                                <w:top w:val="none" w:sz="0" w:space="0" w:color="auto"/>
                                <w:left w:val="none" w:sz="0" w:space="0" w:color="auto"/>
                                <w:bottom w:val="none" w:sz="0" w:space="0" w:color="auto"/>
                                <w:right w:val="none" w:sz="0" w:space="0" w:color="auto"/>
                              </w:divBdr>
                            </w:div>
                            <w:div w:id="171796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731173">
                  <w:marLeft w:val="0"/>
                  <w:marRight w:val="0"/>
                  <w:marTop w:val="0"/>
                  <w:marBottom w:val="0"/>
                  <w:divBdr>
                    <w:top w:val="none" w:sz="0" w:space="0" w:color="auto"/>
                    <w:left w:val="none" w:sz="0" w:space="0" w:color="auto"/>
                    <w:bottom w:val="none" w:sz="0" w:space="0" w:color="auto"/>
                    <w:right w:val="none" w:sz="0" w:space="0" w:color="auto"/>
                  </w:divBdr>
                  <w:divsChild>
                    <w:div w:id="178471485">
                      <w:marLeft w:val="0"/>
                      <w:marRight w:val="0"/>
                      <w:marTop w:val="0"/>
                      <w:marBottom w:val="0"/>
                      <w:divBdr>
                        <w:top w:val="none" w:sz="0" w:space="0" w:color="auto"/>
                        <w:left w:val="none" w:sz="0" w:space="0" w:color="auto"/>
                        <w:bottom w:val="none" w:sz="0" w:space="0" w:color="auto"/>
                        <w:right w:val="none" w:sz="0" w:space="0" w:color="auto"/>
                      </w:divBdr>
                      <w:divsChild>
                        <w:div w:id="125465905">
                          <w:marLeft w:val="0"/>
                          <w:marRight w:val="0"/>
                          <w:marTop w:val="0"/>
                          <w:marBottom w:val="0"/>
                          <w:divBdr>
                            <w:top w:val="none" w:sz="0" w:space="0" w:color="auto"/>
                            <w:left w:val="none" w:sz="0" w:space="0" w:color="auto"/>
                            <w:bottom w:val="none" w:sz="0" w:space="0" w:color="auto"/>
                            <w:right w:val="none" w:sz="0" w:space="0" w:color="auto"/>
                          </w:divBdr>
                          <w:divsChild>
                            <w:div w:id="834103958">
                              <w:marLeft w:val="0"/>
                              <w:marRight w:val="0"/>
                              <w:marTop w:val="0"/>
                              <w:marBottom w:val="0"/>
                              <w:divBdr>
                                <w:top w:val="none" w:sz="0" w:space="0" w:color="auto"/>
                                <w:left w:val="none" w:sz="0" w:space="0" w:color="auto"/>
                                <w:bottom w:val="none" w:sz="0" w:space="0" w:color="auto"/>
                                <w:right w:val="none" w:sz="0" w:space="0" w:color="auto"/>
                              </w:divBdr>
                            </w:div>
                            <w:div w:id="81468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135122">
          <w:marLeft w:val="0"/>
          <w:marRight w:val="0"/>
          <w:marTop w:val="0"/>
          <w:marBottom w:val="0"/>
          <w:divBdr>
            <w:top w:val="none" w:sz="0" w:space="0" w:color="auto"/>
            <w:left w:val="none" w:sz="0" w:space="0" w:color="auto"/>
            <w:bottom w:val="none" w:sz="0" w:space="0" w:color="auto"/>
            <w:right w:val="none" w:sz="0" w:space="0" w:color="auto"/>
          </w:divBdr>
          <w:divsChild>
            <w:div w:id="1557280548">
              <w:marLeft w:val="0"/>
              <w:marRight w:val="0"/>
              <w:marTop w:val="0"/>
              <w:marBottom w:val="0"/>
              <w:divBdr>
                <w:top w:val="none" w:sz="0" w:space="0" w:color="auto"/>
                <w:left w:val="none" w:sz="0" w:space="0" w:color="auto"/>
                <w:bottom w:val="none" w:sz="0" w:space="0" w:color="auto"/>
                <w:right w:val="none" w:sz="0" w:space="0" w:color="auto"/>
              </w:divBdr>
              <w:divsChild>
                <w:div w:id="124868786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49719657">
          <w:marLeft w:val="0"/>
          <w:marRight w:val="0"/>
          <w:marTop w:val="0"/>
          <w:marBottom w:val="0"/>
          <w:divBdr>
            <w:top w:val="none" w:sz="0" w:space="0" w:color="auto"/>
            <w:left w:val="none" w:sz="0" w:space="0" w:color="auto"/>
            <w:bottom w:val="none" w:sz="0" w:space="0" w:color="auto"/>
            <w:right w:val="none" w:sz="0" w:space="0" w:color="auto"/>
          </w:divBdr>
          <w:divsChild>
            <w:div w:id="269169017">
              <w:marLeft w:val="0"/>
              <w:marRight w:val="0"/>
              <w:marTop w:val="0"/>
              <w:marBottom w:val="0"/>
              <w:divBdr>
                <w:top w:val="none" w:sz="0" w:space="0" w:color="auto"/>
                <w:left w:val="none" w:sz="0" w:space="0" w:color="auto"/>
                <w:bottom w:val="none" w:sz="0" w:space="0" w:color="auto"/>
                <w:right w:val="none" w:sz="0" w:space="0" w:color="auto"/>
              </w:divBdr>
            </w:div>
          </w:divsChild>
        </w:div>
        <w:div w:id="1965889887">
          <w:marLeft w:val="0"/>
          <w:marRight w:val="0"/>
          <w:marTop w:val="0"/>
          <w:marBottom w:val="0"/>
          <w:divBdr>
            <w:top w:val="none" w:sz="0" w:space="0" w:color="auto"/>
            <w:left w:val="none" w:sz="0" w:space="0" w:color="auto"/>
            <w:bottom w:val="none" w:sz="0" w:space="0" w:color="auto"/>
            <w:right w:val="none" w:sz="0" w:space="0" w:color="auto"/>
          </w:divBdr>
          <w:divsChild>
            <w:div w:id="1025667123">
              <w:marLeft w:val="0"/>
              <w:marRight w:val="0"/>
              <w:marTop w:val="0"/>
              <w:marBottom w:val="0"/>
              <w:divBdr>
                <w:top w:val="none" w:sz="0" w:space="0" w:color="auto"/>
                <w:left w:val="none" w:sz="0" w:space="0" w:color="auto"/>
                <w:bottom w:val="none" w:sz="0" w:space="0" w:color="auto"/>
                <w:right w:val="none" w:sz="0" w:space="0" w:color="auto"/>
              </w:divBdr>
              <w:divsChild>
                <w:div w:id="4700177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40907447">
          <w:marLeft w:val="0"/>
          <w:marRight w:val="0"/>
          <w:marTop w:val="0"/>
          <w:marBottom w:val="0"/>
          <w:divBdr>
            <w:top w:val="none" w:sz="0" w:space="0" w:color="auto"/>
            <w:left w:val="none" w:sz="0" w:space="0" w:color="auto"/>
            <w:bottom w:val="none" w:sz="0" w:space="0" w:color="auto"/>
            <w:right w:val="none" w:sz="0" w:space="0" w:color="auto"/>
          </w:divBdr>
          <w:divsChild>
            <w:div w:id="1539851580">
              <w:marLeft w:val="0"/>
              <w:marRight w:val="0"/>
              <w:marTop w:val="0"/>
              <w:marBottom w:val="0"/>
              <w:divBdr>
                <w:top w:val="none" w:sz="0" w:space="0" w:color="auto"/>
                <w:left w:val="none" w:sz="0" w:space="0" w:color="auto"/>
                <w:bottom w:val="none" w:sz="0" w:space="0" w:color="auto"/>
                <w:right w:val="none" w:sz="0" w:space="0" w:color="auto"/>
              </w:divBdr>
              <w:divsChild>
                <w:div w:id="2096051773">
                  <w:marLeft w:val="0"/>
                  <w:marRight w:val="0"/>
                  <w:marTop w:val="0"/>
                  <w:marBottom w:val="0"/>
                  <w:divBdr>
                    <w:top w:val="none" w:sz="0" w:space="0" w:color="auto"/>
                    <w:left w:val="none" w:sz="0" w:space="0" w:color="auto"/>
                    <w:bottom w:val="none" w:sz="0" w:space="0" w:color="auto"/>
                    <w:right w:val="none" w:sz="0" w:space="0" w:color="auto"/>
                  </w:divBdr>
                  <w:divsChild>
                    <w:div w:id="858004809">
                      <w:marLeft w:val="0"/>
                      <w:marRight w:val="0"/>
                      <w:marTop w:val="0"/>
                      <w:marBottom w:val="0"/>
                      <w:divBdr>
                        <w:top w:val="none" w:sz="0" w:space="0" w:color="auto"/>
                        <w:left w:val="none" w:sz="0" w:space="0" w:color="auto"/>
                        <w:bottom w:val="none" w:sz="0" w:space="0" w:color="auto"/>
                        <w:right w:val="none" w:sz="0" w:space="0" w:color="auto"/>
                      </w:divBdr>
                      <w:divsChild>
                        <w:div w:id="371851689">
                          <w:marLeft w:val="0"/>
                          <w:marRight w:val="0"/>
                          <w:marTop w:val="0"/>
                          <w:marBottom w:val="0"/>
                          <w:divBdr>
                            <w:top w:val="none" w:sz="0" w:space="0" w:color="auto"/>
                            <w:left w:val="none" w:sz="0" w:space="0" w:color="auto"/>
                            <w:bottom w:val="none" w:sz="0" w:space="0" w:color="auto"/>
                            <w:right w:val="none" w:sz="0" w:space="0" w:color="auto"/>
                          </w:divBdr>
                          <w:divsChild>
                            <w:div w:id="402341340">
                              <w:marLeft w:val="0"/>
                              <w:marRight w:val="0"/>
                              <w:marTop w:val="0"/>
                              <w:marBottom w:val="0"/>
                              <w:divBdr>
                                <w:top w:val="none" w:sz="0" w:space="0" w:color="auto"/>
                                <w:left w:val="none" w:sz="0" w:space="0" w:color="auto"/>
                                <w:bottom w:val="none" w:sz="0" w:space="0" w:color="auto"/>
                                <w:right w:val="none" w:sz="0" w:space="0" w:color="auto"/>
                              </w:divBdr>
                            </w:div>
                            <w:div w:id="114153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547816">
                  <w:marLeft w:val="0"/>
                  <w:marRight w:val="0"/>
                  <w:marTop w:val="0"/>
                  <w:marBottom w:val="0"/>
                  <w:divBdr>
                    <w:top w:val="none" w:sz="0" w:space="0" w:color="auto"/>
                    <w:left w:val="none" w:sz="0" w:space="0" w:color="auto"/>
                    <w:bottom w:val="none" w:sz="0" w:space="0" w:color="auto"/>
                    <w:right w:val="none" w:sz="0" w:space="0" w:color="auto"/>
                  </w:divBdr>
                  <w:divsChild>
                    <w:div w:id="1396582954">
                      <w:marLeft w:val="0"/>
                      <w:marRight w:val="0"/>
                      <w:marTop w:val="0"/>
                      <w:marBottom w:val="0"/>
                      <w:divBdr>
                        <w:top w:val="none" w:sz="0" w:space="0" w:color="auto"/>
                        <w:left w:val="none" w:sz="0" w:space="0" w:color="auto"/>
                        <w:bottom w:val="none" w:sz="0" w:space="0" w:color="auto"/>
                        <w:right w:val="none" w:sz="0" w:space="0" w:color="auto"/>
                      </w:divBdr>
                      <w:divsChild>
                        <w:div w:id="597182901">
                          <w:marLeft w:val="0"/>
                          <w:marRight w:val="0"/>
                          <w:marTop w:val="0"/>
                          <w:marBottom w:val="0"/>
                          <w:divBdr>
                            <w:top w:val="none" w:sz="0" w:space="0" w:color="auto"/>
                            <w:left w:val="none" w:sz="0" w:space="0" w:color="auto"/>
                            <w:bottom w:val="none" w:sz="0" w:space="0" w:color="auto"/>
                            <w:right w:val="none" w:sz="0" w:space="0" w:color="auto"/>
                          </w:divBdr>
                          <w:divsChild>
                            <w:div w:id="1237016816">
                              <w:marLeft w:val="0"/>
                              <w:marRight w:val="0"/>
                              <w:marTop w:val="0"/>
                              <w:marBottom w:val="0"/>
                              <w:divBdr>
                                <w:top w:val="none" w:sz="0" w:space="0" w:color="auto"/>
                                <w:left w:val="none" w:sz="0" w:space="0" w:color="auto"/>
                                <w:bottom w:val="none" w:sz="0" w:space="0" w:color="auto"/>
                                <w:right w:val="none" w:sz="0" w:space="0" w:color="auto"/>
                              </w:divBdr>
                            </w:div>
                            <w:div w:id="25120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16380">
                  <w:marLeft w:val="0"/>
                  <w:marRight w:val="0"/>
                  <w:marTop w:val="0"/>
                  <w:marBottom w:val="0"/>
                  <w:divBdr>
                    <w:top w:val="none" w:sz="0" w:space="0" w:color="auto"/>
                    <w:left w:val="none" w:sz="0" w:space="0" w:color="auto"/>
                    <w:bottom w:val="none" w:sz="0" w:space="0" w:color="auto"/>
                    <w:right w:val="none" w:sz="0" w:space="0" w:color="auto"/>
                  </w:divBdr>
                  <w:divsChild>
                    <w:div w:id="1902280148">
                      <w:marLeft w:val="0"/>
                      <w:marRight w:val="0"/>
                      <w:marTop w:val="0"/>
                      <w:marBottom w:val="0"/>
                      <w:divBdr>
                        <w:top w:val="none" w:sz="0" w:space="0" w:color="auto"/>
                        <w:left w:val="none" w:sz="0" w:space="0" w:color="auto"/>
                        <w:bottom w:val="none" w:sz="0" w:space="0" w:color="auto"/>
                        <w:right w:val="none" w:sz="0" w:space="0" w:color="auto"/>
                      </w:divBdr>
                      <w:divsChild>
                        <w:div w:id="1555241585">
                          <w:marLeft w:val="0"/>
                          <w:marRight w:val="0"/>
                          <w:marTop w:val="0"/>
                          <w:marBottom w:val="0"/>
                          <w:divBdr>
                            <w:top w:val="none" w:sz="0" w:space="0" w:color="auto"/>
                            <w:left w:val="none" w:sz="0" w:space="0" w:color="auto"/>
                            <w:bottom w:val="none" w:sz="0" w:space="0" w:color="auto"/>
                            <w:right w:val="none" w:sz="0" w:space="0" w:color="auto"/>
                          </w:divBdr>
                          <w:divsChild>
                            <w:div w:id="1629512700">
                              <w:marLeft w:val="0"/>
                              <w:marRight w:val="0"/>
                              <w:marTop w:val="0"/>
                              <w:marBottom w:val="0"/>
                              <w:divBdr>
                                <w:top w:val="none" w:sz="0" w:space="0" w:color="auto"/>
                                <w:left w:val="none" w:sz="0" w:space="0" w:color="auto"/>
                                <w:bottom w:val="none" w:sz="0" w:space="0" w:color="auto"/>
                                <w:right w:val="none" w:sz="0" w:space="0" w:color="auto"/>
                              </w:divBdr>
                            </w:div>
                            <w:div w:id="172124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8050947">
      <w:bodyDiv w:val="1"/>
      <w:marLeft w:val="0"/>
      <w:marRight w:val="0"/>
      <w:marTop w:val="0"/>
      <w:marBottom w:val="0"/>
      <w:divBdr>
        <w:top w:val="none" w:sz="0" w:space="0" w:color="auto"/>
        <w:left w:val="none" w:sz="0" w:space="0" w:color="auto"/>
        <w:bottom w:val="none" w:sz="0" w:space="0" w:color="auto"/>
        <w:right w:val="none" w:sz="0" w:space="0" w:color="auto"/>
      </w:divBdr>
    </w:div>
    <w:div w:id="1636134428">
      <w:bodyDiv w:val="1"/>
      <w:marLeft w:val="0"/>
      <w:marRight w:val="0"/>
      <w:marTop w:val="0"/>
      <w:marBottom w:val="0"/>
      <w:divBdr>
        <w:top w:val="none" w:sz="0" w:space="0" w:color="auto"/>
        <w:left w:val="none" w:sz="0" w:space="0" w:color="auto"/>
        <w:bottom w:val="none" w:sz="0" w:space="0" w:color="auto"/>
        <w:right w:val="none" w:sz="0" w:space="0" w:color="auto"/>
      </w:divBdr>
    </w:div>
    <w:div w:id="1764570680">
      <w:bodyDiv w:val="1"/>
      <w:marLeft w:val="0"/>
      <w:marRight w:val="0"/>
      <w:marTop w:val="0"/>
      <w:marBottom w:val="0"/>
      <w:divBdr>
        <w:top w:val="none" w:sz="0" w:space="0" w:color="auto"/>
        <w:left w:val="none" w:sz="0" w:space="0" w:color="auto"/>
        <w:bottom w:val="none" w:sz="0" w:space="0" w:color="auto"/>
        <w:right w:val="none" w:sz="0" w:space="0" w:color="auto"/>
      </w:divBdr>
      <w:divsChild>
        <w:div w:id="109981910">
          <w:marLeft w:val="0"/>
          <w:marRight w:val="0"/>
          <w:marTop w:val="0"/>
          <w:marBottom w:val="0"/>
          <w:divBdr>
            <w:top w:val="none" w:sz="0" w:space="0" w:color="auto"/>
            <w:left w:val="none" w:sz="0" w:space="0" w:color="auto"/>
            <w:bottom w:val="none" w:sz="0" w:space="0" w:color="auto"/>
            <w:right w:val="none" w:sz="0" w:space="0" w:color="auto"/>
          </w:divBdr>
          <w:divsChild>
            <w:div w:id="461114742">
              <w:marLeft w:val="0"/>
              <w:marRight w:val="0"/>
              <w:marTop w:val="0"/>
              <w:marBottom w:val="0"/>
              <w:divBdr>
                <w:top w:val="none" w:sz="0" w:space="0" w:color="auto"/>
                <w:left w:val="none" w:sz="0" w:space="0" w:color="auto"/>
                <w:bottom w:val="none" w:sz="0" w:space="0" w:color="auto"/>
                <w:right w:val="none" w:sz="0" w:space="0" w:color="auto"/>
              </w:divBdr>
              <w:divsChild>
                <w:div w:id="145740453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79573327">
          <w:marLeft w:val="0"/>
          <w:marRight w:val="0"/>
          <w:marTop w:val="0"/>
          <w:marBottom w:val="0"/>
          <w:divBdr>
            <w:top w:val="none" w:sz="0" w:space="0" w:color="auto"/>
            <w:left w:val="none" w:sz="0" w:space="0" w:color="auto"/>
            <w:bottom w:val="none" w:sz="0" w:space="0" w:color="auto"/>
            <w:right w:val="none" w:sz="0" w:space="0" w:color="auto"/>
          </w:divBdr>
          <w:divsChild>
            <w:div w:id="1670209488">
              <w:marLeft w:val="0"/>
              <w:marRight w:val="0"/>
              <w:marTop w:val="0"/>
              <w:marBottom w:val="0"/>
              <w:divBdr>
                <w:top w:val="none" w:sz="0" w:space="0" w:color="auto"/>
                <w:left w:val="none" w:sz="0" w:space="0" w:color="auto"/>
                <w:bottom w:val="none" w:sz="0" w:space="0" w:color="auto"/>
                <w:right w:val="none" w:sz="0" w:space="0" w:color="auto"/>
              </w:divBdr>
              <w:divsChild>
                <w:div w:id="664895013">
                  <w:marLeft w:val="0"/>
                  <w:marRight w:val="0"/>
                  <w:marTop w:val="0"/>
                  <w:marBottom w:val="0"/>
                  <w:divBdr>
                    <w:top w:val="none" w:sz="0" w:space="0" w:color="auto"/>
                    <w:left w:val="none" w:sz="0" w:space="0" w:color="auto"/>
                    <w:bottom w:val="none" w:sz="0" w:space="0" w:color="auto"/>
                    <w:right w:val="none" w:sz="0" w:space="0" w:color="auto"/>
                  </w:divBdr>
                  <w:divsChild>
                    <w:div w:id="1174107222">
                      <w:marLeft w:val="0"/>
                      <w:marRight w:val="0"/>
                      <w:marTop w:val="0"/>
                      <w:marBottom w:val="0"/>
                      <w:divBdr>
                        <w:top w:val="none" w:sz="0" w:space="0" w:color="auto"/>
                        <w:left w:val="none" w:sz="0" w:space="0" w:color="auto"/>
                        <w:bottom w:val="none" w:sz="0" w:space="0" w:color="auto"/>
                        <w:right w:val="none" w:sz="0" w:space="0" w:color="auto"/>
                      </w:divBdr>
                      <w:divsChild>
                        <w:div w:id="58480241">
                          <w:marLeft w:val="0"/>
                          <w:marRight w:val="0"/>
                          <w:marTop w:val="0"/>
                          <w:marBottom w:val="0"/>
                          <w:divBdr>
                            <w:top w:val="none" w:sz="0" w:space="0" w:color="auto"/>
                            <w:left w:val="none" w:sz="0" w:space="0" w:color="auto"/>
                            <w:bottom w:val="none" w:sz="0" w:space="0" w:color="auto"/>
                            <w:right w:val="none" w:sz="0" w:space="0" w:color="auto"/>
                          </w:divBdr>
                          <w:divsChild>
                            <w:div w:id="452483723">
                              <w:marLeft w:val="0"/>
                              <w:marRight w:val="0"/>
                              <w:marTop w:val="0"/>
                              <w:marBottom w:val="0"/>
                              <w:divBdr>
                                <w:top w:val="none" w:sz="0" w:space="0" w:color="auto"/>
                                <w:left w:val="none" w:sz="0" w:space="0" w:color="auto"/>
                                <w:bottom w:val="none" w:sz="0" w:space="0" w:color="auto"/>
                                <w:right w:val="none" w:sz="0" w:space="0" w:color="auto"/>
                              </w:divBdr>
                            </w:div>
                            <w:div w:id="93448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78379">
                  <w:marLeft w:val="0"/>
                  <w:marRight w:val="0"/>
                  <w:marTop w:val="0"/>
                  <w:marBottom w:val="0"/>
                  <w:divBdr>
                    <w:top w:val="none" w:sz="0" w:space="0" w:color="auto"/>
                    <w:left w:val="none" w:sz="0" w:space="0" w:color="auto"/>
                    <w:bottom w:val="none" w:sz="0" w:space="0" w:color="auto"/>
                    <w:right w:val="none" w:sz="0" w:space="0" w:color="auto"/>
                  </w:divBdr>
                  <w:divsChild>
                    <w:div w:id="1155756575">
                      <w:marLeft w:val="0"/>
                      <w:marRight w:val="0"/>
                      <w:marTop w:val="0"/>
                      <w:marBottom w:val="0"/>
                      <w:divBdr>
                        <w:top w:val="none" w:sz="0" w:space="0" w:color="auto"/>
                        <w:left w:val="none" w:sz="0" w:space="0" w:color="auto"/>
                        <w:bottom w:val="none" w:sz="0" w:space="0" w:color="auto"/>
                        <w:right w:val="none" w:sz="0" w:space="0" w:color="auto"/>
                      </w:divBdr>
                      <w:divsChild>
                        <w:div w:id="1559051804">
                          <w:marLeft w:val="0"/>
                          <w:marRight w:val="0"/>
                          <w:marTop w:val="0"/>
                          <w:marBottom w:val="0"/>
                          <w:divBdr>
                            <w:top w:val="none" w:sz="0" w:space="0" w:color="auto"/>
                            <w:left w:val="none" w:sz="0" w:space="0" w:color="auto"/>
                            <w:bottom w:val="none" w:sz="0" w:space="0" w:color="auto"/>
                            <w:right w:val="none" w:sz="0" w:space="0" w:color="auto"/>
                          </w:divBdr>
                          <w:divsChild>
                            <w:div w:id="214240943">
                              <w:marLeft w:val="0"/>
                              <w:marRight w:val="0"/>
                              <w:marTop w:val="0"/>
                              <w:marBottom w:val="0"/>
                              <w:divBdr>
                                <w:top w:val="none" w:sz="0" w:space="0" w:color="auto"/>
                                <w:left w:val="none" w:sz="0" w:space="0" w:color="auto"/>
                                <w:bottom w:val="none" w:sz="0" w:space="0" w:color="auto"/>
                                <w:right w:val="none" w:sz="0" w:space="0" w:color="auto"/>
                              </w:divBdr>
                            </w:div>
                            <w:div w:id="18057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33510">
                  <w:marLeft w:val="0"/>
                  <w:marRight w:val="0"/>
                  <w:marTop w:val="0"/>
                  <w:marBottom w:val="0"/>
                  <w:divBdr>
                    <w:top w:val="none" w:sz="0" w:space="0" w:color="auto"/>
                    <w:left w:val="none" w:sz="0" w:space="0" w:color="auto"/>
                    <w:bottom w:val="none" w:sz="0" w:space="0" w:color="auto"/>
                    <w:right w:val="none" w:sz="0" w:space="0" w:color="auto"/>
                  </w:divBdr>
                  <w:divsChild>
                    <w:div w:id="197163041">
                      <w:marLeft w:val="0"/>
                      <w:marRight w:val="0"/>
                      <w:marTop w:val="0"/>
                      <w:marBottom w:val="0"/>
                      <w:divBdr>
                        <w:top w:val="none" w:sz="0" w:space="0" w:color="auto"/>
                        <w:left w:val="none" w:sz="0" w:space="0" w:color="auto"/>
                        <w:bottom w:val="none" w:sz="0" w:space="0" w:color="auto"/>
                        <w:right w:val="none" w:sz="0" w:space="0" w:color="auto"/>
                      </w:divBdr>
                      <w:divsChild>
                        <w:div w:id="260840951">
                          <w:marLeft w:val="0"/>
                          <w:marRight w:val="0"/>
                          <w:marTop w:val="0"/>
                          <w:marBottom w:val="0"/>
                          <w:divBdr>
                            <w:top w:val="none" w:sz="0" w:space="0" w:color="auto"/>
                            <w:left w:val="none" w:sz="0" w:space="0" w:color="auto"/>
                            <w:bottom w:val="none" w:sz="0" w:space="0" w:color="auto"/>
                            <w:right w:val="none" w:sz="0" w:space="0" w:color="auto"/>
                          </w:divBdr>
                          <w:divsChild>
                            <w:div w:id="1864171613">
                              <w:marLeft w:val="0"/>
                              <w:marRight w:val="0"/>
                              <w:marTop w:val="0"/>
                              <w:marBottom w:val="0"/>
                              <w:divBdr>
                                <w:top w:val="none" w:sz="0" w:space="0" w:color="auto"/>
                                <w:left w:val="none" w:sz="0" w:space="0" w:color="auto"/>
                                <w:bottom w:val="none" w:sz="0" w:space="0" w:color="auto"/>
                                <w:right w:val="none" w:sz="0" w:space="0" w:color="auto"/>
                              </w:divBdr>
                            </w:div>
                            <w:div w:id="213983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444329">
                  <w:marLeft w:val="0"/>
                  <w:marRight w:val="0"/>
                  <w:marTop w:val="0"/>
                  <w:marBottom w:val="0"/>
                  <w:divBdr>
                    <w:top w:val="none" w:sz="0" w:space="0" w:color="auto"/>
                    <w:left w:val="none" w:sz="0" w:space="0" w:color="auto"/>
                    <w:bottom w:val="none" w:sz="0" w:space="0" w:color="auto"/>
                    <w:right w:val="none" w:sz="0" w:space="0" w:color="auto"/>
                  </w:divBdr>
                  <w:divsChild>
                    <w:div w:id="1381515859">
                      <w:marLeft w:val="0"/>
                      <w:marRight w:val="0"/>
                      <w:marTop w:val="0"/>
                      <w:marBottom w:val="0"/>
                      <w:divBdr>
                        <w:top w:val="none" w:sz="0" w:space="0" w:color="auto"/>
                        <w:left w:val="none" w:sz="0" w:space="0" w:color="auto"/>
                        <w:bottom w:val="none" w:sz="0" w:space="0" w:color="auto"/>
                        <w:right w:val="none" w:sz="0" w:space="0" w:color="auto"/>
                      </w:divBdr>
                      <w:divsChild>
                        <w:div w:id="812673617">
                          <w:marLeft w:val="0"/>
                          <w:marRight w:val="0"/>
                          <w:marTop w:val="0"/>
                          <w:marBottom w:val="0"/>
                          <w:divBdr>
                            <w:top w:val="none" w:sz="0" w:space="0" w:color="auto"/>
                            <w:left w:val="none" w:sz="0" w:space="0" w:color="auto"/>
                            <w:bottom w:val="none" w:sz="0" w:space="0" w:color="auto"/>
                            <w:right w:val="none" w:sz="0" w:space="0" w:color="auto"/>
                          </w:divBdr>
                          <w:divsChild>
                            <w:div w:id="723219590">
                              <w:marLeft w:val="0"/>
                              <w:marRight w:val="0"/>
                              <w:marTop w:val="0"/>
                              <w:marBottom w:val="0"/>
                              <w:divBdr>
                                <w:top w:val="none" w:sz="0" w:space="0" w:color="auto"/>
                                <w:left w:val="none" w:sz="0" w:space="0" w:color="auto"/>
                                <w:bottom w:val="none" w:sz="0" w:space="0" w:color="auto"/>
                                <w:right w:val="none" w:sz="0" w:space="0" w:color="auto"/>
                              </w:divBdr>
                            </w:div>
                            <w:div w:id="19831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412726">
                  <w:marLeft w:val="0"/>
                  <w:marRight w:val="0"/>
                  <w:marTop w:val="0"/>
                  <w:marBottom w:val="0"/>
                  <w:divBdr>
                    <w:top w:val="none" w:sz="0" w:space="0" w:color="auto"/>
                    <w:left w:val="none" w:sz="0" w:space="0" w:color="auto"/>
                    <w:bottom w:val="none" w:sz="0" w:space="0" w:color="auto"/>
                    <w:right w:val="none" w:sz="0" w:space="0" w:color="auto"/>
                  </w:divBdr>
                  <w:divsChild>
                    <w:div w:id="96948394">
                      <w:marLeft w:val="0"/>
                      <w:marRight w:val="0"/>
                      <w:marTop w:val="0"/>
                      <w:marBottom w:val="0"/>
                      <w:divBdr>
                        <w:top w:val="none" w:sz="0" w:space="0" w:color="auto"/>
                        <w:left w:val="none" w:sz="0" w:space="0" w:color="auto"/>
                        <w:bottom w:val="none" w:sz="0" w:space="0" w:color="auto"/>
                        <w:right w:val="none" w:sz="0" w:space="0" w:color="auto"/>
                      </w:divBdr>
                      <w:divsChild>
                        <w:div w:id="435298780">
                          <w:marLeft w:val="0"/>
                          <w:marRight w:val="0"/>
                          <w:marTop w:val="0"/>
                          <w:marBottom w:val="0"/>
                          <w:divBdr>
                            <w:top w:val="none" w:sz="0" w:space="0" w:color="auto"/>
                            <w:left w:val="none" w:sz="0" w:space="0" w:color="auto"/>
                            <w:bottom w:val="none" w:sz="0" w:space="0" w:color="auto"/>
                            <w:right w:val="none" w:sz="0" w:space="0" w:color="auto"/>
                          </w:divBdr>
                          <w:divsChild>
                            <w:div w:id="1045105855">
                              <w:marLeft w:val="0"/>
                              <w:marRight w:val="0"/>
                              <w:marTop w:val="0"/>
                              <w:marBottom w:val="0"/>
                              <w:divBdr>
                                <w:top w:val="none" w:sz="0" w:space="0" w:color="auto"/>
                                <w:left w:val="none" w:sz="0" w:space="0" w:color="auto"/>
                                <w:bottom w:val="none" w:sz="0" w:space="0" w:color="auto"/>
                                <w:right w:val="none" w:sz="0" w:space="0" w:color="auto"/>
                              </w:divBdr>
                            </w:div>
                            <w:div w:id="197429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132781">
          <w:marLeft w:val="0"/>
          <w:marRight w:val="0"/>
          <w:marTop w:val="0"/>
          <w:marBottom w:val="0"/>
          <w:divBdr>
            <w:top w:val="none" w:sz="0" w:space="0" w:color="auto"/>
            <w:left w:val="none" w:sz="0" w:space="0" w:color="auto"/>
            <w:bottom w:val="none" w:sz="0" w:space="0" w:color="auto"/>
            <w:right w:val="none" w:sz="0" w:space="0" w:color="auto"/>
          </w:divBdr>
          <w:divsChild>
            <w:div w:id="922640288">
              <w:marLeft w:val="0"/>
              <w:marRight w:val="0"/>
              <w:marTop w:val="0"/>
              <w:marBottom w:val="0"/>
              <w:divBdr>
                <w:top w:val="none" w:sz="0" w:space="0" w:color="auto"/>
                <w:left w:val="none" w:sz="0" w:space="0" w:color="auto"/>
                <w:bottom w:val="none" w:sz="0" w:space="0" w:color="auto"/>
                <w:right w:val="none" w:sz="0" w:space="0" w:color="auto"/>
              </w:divBdr>
              <w:divsChild>
                <w:div w:id="84872080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0054468">
          <w:marLeft w:val="0"/>
          <w:marRight w:val="0"/>
          <w:marTop w:val="0"/>
          <w:marBottom w:val="0"/>
          <w:divBdr>
            <w:top w:val="none" w:sz="0" w:space="0" w:color="auto"/>
            <w:left w:val="none" w:sz="0" w:space="0" w:color="auto"/>
            <w:bottom w:val="none" w:sz="0" w:space="0" w:color="auto"/>
            <w:right w:val="none" w:sz="0" w:space="0" w:color="auto"/>
          </w:divBdr>
          <w:divsChild>
            <w:div w:id="1062022107">
              <w:marLeft w:val="0"/>
              <w:marRight w:val="0"/>
              <w:marTop w:val="0"/>
              <w:marBottom w:val="0"/>
              <w:divBdr>
                <w:top w:val="none" w:sz="0" w:space="0" w:color="auto"/>
                <w:left w:val="none" w:sz="0" w:space="0" w:color="auto"/>
                <w:bottom w:val="none" w:sz="0" w:space="0" w:color="auto"/>
                <w:right w:val="none" w:sz="0" w:space="0" w:color="auto"/>
              </w:divBdr>
            </w:div>
          </w:divsChild>
        </w:div>
        <w:div w:id="946160775">
          <w:marLeft w:val="0"/>
          <w:marRight w:val="0"/>
          <w:marTop w:val="0"/>
          <w:marBottom w:val="0"/>
          <w:divBdr>
            <w:top w:val="none" w:sz="0" w:space="0" w:color="auto"/>
            <w:left w:val="none" w:sz="0" w:space="0" w:color="auto"/>
            <w:bottom w:val="none" w:sz="0" w:space="0" w:color="auto"/>
            <w:right w:val="none" w:sz="0" w:space="0" w:color="auto"/>
          </w:divBdr>
          <w:divsChild>
            <w:div w:id="1292638852">
              <w:marLeft w:val="0"/>
              <w:marRight w:val="0"/>
              <w:marTop w:val="0"/>
              <w:marBottom w:val="0"/>
              <w:divBdr>
                <w:top w:val="none" w:sz="0" w:space="0" w:color="auto"/>
                <w:left w:val="none" w:sz="0" w:space="0" w:color="auto"/>
                <w:bottom w:val="none" w:sz="0" w:space="0" w:color="auto"/>
                <w:right w:val="none" w:sz="0" w:space="0" w:color="auto"/>
              </w:divBdr>
              <w:divsChild>
                <w:div w:id="98273132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3578534">
          <w:marLeft w:val="0"/>
          <w:marRight w:val="0"/>
          <w:marTop w:val="0"/>
          <w:marBottom w:val="0"/>
          <w:divBdr>
            <w:top w:val="none" w:sz="0" w:space="0" w:color="auto"/>
            <w:left w:val="none" w:sz="0" w:space="0" w:color="auto"/>
            <w:bottom w:val="none" w:sz="0" w:space="0" w:color="auto"/>
            <w:right w:val="none" w:sz="0" w:space="0" w:color="auto"/>
          </w:divBdr>
          <w:divsChild>
            <w:div w:id="163788754">
              <w:marLeft w:val="0"/>
              <w:marRight w:val="0"/>
              <w:marTop w:val="0"/>
              <w:marBottom w:val="0"/>
              <w:divBdr>
                <w:top w:val="none" w:sz="0" w:space="0" w:color="auto"/>
                <w:left w:val="none" w:sz="0" w:space="0" w:color="auto"/>
                <w:bottom w:val="none" w:sz="0" w:space="0" w:color="auto"/>
                <w:right w:val="none" w:sz="0" w:space="0" w:color="auto"/>
              </w:divBdr>
              <w:divsChild>
                <w:div w:id="1900171923">
                  <w:marLeft w:val="0"/>
                  <w:marRight w:val="0"/>
                  <w:marTop w:val="0"/>
                  <w:marBottom w:val="0"/>
                  <w:divBdr>
                    <w:top w:val="none" w:sz="0" w:space="0" w:color="auto"/>
                    <w:left w:val="none" w:sz="0" w:space="0" w:color="auto"/>
                    <w:bottom w:val="none" w:sz="0" w:space="0" w:color="auto"/>
                    <w:right w:val="none" w:sz="0" w:space="0" w:color="auto"/>
                  </w:divBdr>
                  <w:divsChild>
                    <w:div w:id="1107773331">
                      <w:marLeft w:val="0"/>
                      <w:marRight w:val="0"/>
                      <w:marTop w:val="0"/>
                      <w:marBottom w:val="0"/>
                      <w:divBdr>
                        <w:top w:val="none" w:sz="0" w:space="0" w:color="auto"/>
                        <w:left w:val="none" w:sz="0" w:space="0" w:color="auto"/>
                        <w:bottom w:val="none" w:sz="0" w:space="0" w:color="auto"/>
                        <w:right w:val="none" w:sz="0" w:space="0" w:color="auto"/>
                      </w:divBdr>
                      <w:divsChild>
                        <w:div w:id="595796406">
                          <w:marLeft w:val="0"/>
                          <w:marRight w:val="0"/>
                          <w:marTop w:val="0"/>
                          <w:marBottom w:val="0"/>
                          <w:divBdr>
                            <w:top w:val="none" w:sz="0" w:space="0" w:color="auto"/>
                            <w:left w:val="none" w:sz="0" w:space="0" w:color="auto"/>
                            <w:bottom w:val="none" w:sz="0" w:space="0" w:color="auto"/>
                            <w:right w:val="none" w:sz="0" w:space="0" w:color="auto"/>
                          </w:divBdr>
                          <w:divsChild>
                            <w:div w:id="254635791">
                              <w:marLeft w:val="0"/>
                              <w:marRight w:val="0"/>
                              <w:marTop w:val="0"/>
                              <w:marBottom w:val="0"/>
                              <w:divBdr>
                                <w:top w:val="none" w:sz="0" w:space="0" w:color="auto"/>
                                <w:left w:val="none" w:sz="0" w:space="0" w:color="auto"/>
                                <w:bottom w:val="none" w:sz="0" w:space="0" w:color="auto"/>
                                <w:right w:val="none" w:sz="0" w:space="0" w:color="auto"/>
                              </w:divBdr>
                            </w:div>
                            <w:div w:id="104865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137135">
                  <w:marLeft w:val="0"/>
                  <w:marRight w:val="0"/>
                  <w:marTop w:val="0"/>
                  <w:marBottom w:val="0"/>
                  <w:divBdr>
                    <w:top w:val="none" w:sz="0" w:space="0" w:color="auto"/>
                    <w:left w:val="none" w:sz="0" w:space="0" w:color="auto"/>
                    <w:bottom w:val="none" w:sz="0" w:space="0" w:color="auto"/>
                    <w:right w:val="none" w:sz="0" w:space="0" w:color="auto"/>
                  </w:divBdr>
                  <w:divsChild>
                    <w:div w:id="480581382">
                      <w:marLeft w:val="0"/>
                      <w:marRight w:val="0"/>
                      <w:marTop w:val="0"/>
                      <w:marBottom w:val="0"/>
                      <w:divBdr>
                        <w:top w:val="none" w:sz="0" w:space="0" w:color="auto"/>
                        <w:left w:val="none" w:sz="0" w:space="0" w:color="auto"/>
                        <w:bottom w:val="none" w:sz="0" w:space="0" w:color="auto"/>
                        <w:right w:val="none" w:sz="0" w:space="0" w:color="auto"/>
                      </w:divBdr>
                      <w:divsChild>
                        <w:div w:id="229535345">
                          <w:marLeft w:val="0"/>
                          <w:marRight w:val="0"/>
                          <w:marTop w:val="0"/>
                          <w:marBottom w:val="0"/>
                          <w:divBdr>
                            <w:top w:val="none" w:sz="0" w:space="0" w:color="auto"/>
                            <w:left w:val="none" w:sz="0" w:space="0" w:color="auto"/>
                            <w:bottom w:val="none" w:sz="0" w:space="0" w:color="auto"/>
                            <w:right w:val="none" w:sz="0" w:space="0" w:color="auto"/>
                          </w:divBdr>
                          <w:divsChild>
                            <w:div w:id="1944611703">
                              <w:marLeft w:val="0"/>
                              <w:marRight w:val="0"/>
                              <w:marTop w:val="0"/>
                              <w:marBottom w:val="0"/>
                              <w:divBdr>
                                <w:top w:val="none" w:sz="0" w:space="0" w:color="auto"/>
                                <w:left w:val="none" w:sz="0" w:space="0" w:color="auto"/>
                                <w:bottom w:val="none" w:sz="0" w:space="0" w:color="auto"/>
                                <w:right w:val="none" w:sz="0" w:space="0" w:color="auto"/>
                              </w:divBdr>
                            </w:div>
                            <w:div w:id="184709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1285">
                  <w:marLeft w:val="0"/>
                  <w:marRight w:val="0"/>
                  <w:marTop w:val="0"/>
                  <w:marBottom w:val="0"/>
                  <w:divBdr>
                    <w:top w:val="none" w:sz="0" w:space="0" w:color="auto"/>
                    <w:left w:val="none" w:sz="0" w:space="0" w:color="auto"/>
                    <w:bottom w:val="none" w:sz="0" w:space="0" w:color="auto"/>
                    <w:right w:val="none" w:sz="0" w:space="0" w:color="auto"/>
                  </w:divBdr>
                  <w:divsChild>
                    <w:div w:id="146359995">
                      <w:marLeft w:val="0"/>
                      <w:marRight w:val="0"/>
                      <w:marTop w:val="0"/>
                      <w:marBottom w:val="0"/>
                      <w:divBdr>
                        <w:top w:val="none" w:sz="0" w:space="0" w:color="auto"/>
                        <w:left w:val="none" w:sz="0" w:space="0" w:color="auto"/>
                        <w:bottom w:val="none" w:sz="0" w:space="0" w:color="auto"/>
                        <w:right w:val="none" w:sz="0" w:space="0" w:color="auto"/>
                      </w:divBdr>
                      <w:divsChild>
                        <w:div w:id="965937877">
                          <w:marLeft w:val="0"/>
                          <w:marRight w:val="0"/>
                          <w:marTop w:val="0"/>
                          <w:marBottom w:val="0"/>
                          <w:divBdr>
                            <w:top w:val="none" w:sz="0" w:space="0" w:color="auto"/>
                            <w:left w:val="none" w:sz="0" w:space="0" w:color="auto"/>
                            <w:bottom w:val="none" w:sz="0" w:space="0" w:color="auto"/>
                            <w:right w:val="none" w:sz="0" w:space="0" w:color="auto"/>
                          </w:divBdr>
                          <w:divsChild>
                            <w:div w:id="1462579424">
                              <w:marLeft w:val="0"/>
                              <w:marRight w:val="0"/>
                              <w:marTop w:val="0"/>
                              <w:marBottom w:val="0"/>
                              <w:divBdr>
                                <w:top w:val="none" w:sz="0" w:space="0" w:color="auto"/>
                                <w:left w:val="none" w:sz="0" w:space="0" w:color="auto"/>
                                <w:bottom w:val="none" w:sz="0" w:space="0" w:color="auto"/>
                                <w:right w:val="none" w:sz="0" w:space="0" w:color="auto"/>
                              </w:divBdr>
                            </w:div>
                            <w:div w:id="33334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795</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Rocío Alayón Morell</cp:lastModifiedBy>
  <cp:revision>4</cp:revision>
  <cp:lastPrinted>2026-02-23T20:33:00Z</cp:lastPrinted>
  <dcterms:created xsi:type="dcterms:W3CDTF">2026-02-24T14:19:00Z</dcterms:created>
  <dcterms:modified xsi:type="dcterms:W3CDTF">2026-02-24T17:30:00Z</dcterms:modified>
</cp:coreProperties>
</file>