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26127B" w:rsidRDefault="00EE1E93" w:rsidP="007F09EB">
      <w:pPr>
        <w:tabs>
          <w:tab w:val="center" w:pos="4680"/>
        </w:tabs>
        <w:jc w:val="center"/>
        <w:rPr>
          <w:rFonts w:ascii="Book Antiqua" w:eastAsia="Book Antiqua" w:hAnsi="Book Antiqua" w:cs="Book Antiqua"/>
          <w:sz w:val="28"/>
          <w:szCs w:val="28"/>
        </w:rPr>
      </w:pPr>
      <w:r w:rsidRPr="0026127B">
        <w:rPr>
          <w:rFonts w:ascii="Book Antiqua" w:eastAsia="Book Antiqua" w:hAnsi="Book Antiqua" w:cs="Book Antiqua"/>
          <w:sz w:val="28"/>
          <w:szCs w:val="28"/>
        </w:rPr>
        <w:t>GOBIERNO DE PUERTO RICO</w:t>
      </w:r>
    </w:p>
    <w:p w14:paraId="582FBA6C" w14:textId="77777777" w:rsidR="00EE1E93" w:rsidRPr="0026127B" w:rsidRDefault="00EE1E93" w:rsidP="00EE1E93">
      <w:pPr>
        <w:tabs>
          <w:tab w:val="center" w:pos="4680"/>
        </w:tabs>
        <w:rPr>
          <w:rFonts w:ascii="Book Antiqua" w:eastAsia="Book Antiqua" w:hAnsi="Book Antiqua" w:cs="Book Antiqua"/>
          <w:sz w:val="28"/>
          <w:szCs w:val="28"/>
        </w:rPr>
      </w:pPr>
    </w:p>
    <w:p w14:paraId="3A0FB5F9" w14:textId="5009F022" w:rsidR="00EE1E93" w:rsidRPr="0026127B" w:rsidRDefault="00EE1E93" w:rsidP="00EE1E93">
      <w:pPr>
        <w:tabs>
          <w:tab w:val="left" w:pos="720"/>
          <w:tab w:val="left" w:pos="7560"/>
          <w:tab w:val="left" w:pos="8100"/>
        </w:tabs>
        <w:rPr>
          <w:rFonts w:ascii="Book Antiqua" w:eastAsia="Book Antiqua" w:hAnsi="Book Antiqua" w:cs="Book Antiqua"/>
        </w:rPr>
      </w:pPr>
      <w:r w:rsidRPr="0026127B">
        <w:rPr>
          <w:rFonts w:ascii="Book Antiqua" w:eastAsia="Book Antiqua" w:hAnsi="Book Antiqua" w:cs="Book Antiqua"/>
        </w:rPr>
        <w:t>20</w:t>
      </w:r>
      <w:r w:rsidRPr="0026127B">
        <w:rPr>
          <w:rFonts w:ascii="Book Antiqua" w:eastAsia="Book Antiqua" w:hAnsi="Book Antiqua" w:cs="Book Antiqua"/>
          <w:vertAlign w:val="superscript"/>
        </w:rPr>
        <w:t>ma</w:t>
      </w:r>
      <w:r w:rsidRPr="0026127B">
        <w:rPr>
          <w:rFonts w:ascii="Book Antiqua" w:eastAsia="Book Antiqua" w:hAnsi="Book Antiqua" w:cs="Book Antiqua"/>
        </w:rPr>
        <w:t xml:space="preserve"> </w:t>
      </w:r>
      <w:r w:rsidRPr="0026127B">
        <w:rPr>
          <w:rFonts w:ascii="Book Antiqua" w:eastAsia="Book Antiqua" w:hAnsi="Book Antiqua" w:cs="Book Antiqua"/>
        </w:rPr>
        <w:tab/>
        <w:t>Asamblea</w:t>
      </w:r>
      <w:r w:rsidRPr="0026127B">
        <w:rPr>
          <w:rFonts w:ascii="Book Antiqua" w:eastAsia="Book Antiqua" w:hAnsi="Book Antiqua" w:cs="Book Antiqua"/>
        </w:rPr>
        <w:tab/>
      </w:r>
      <w:r w:rsidR="002A68BD" w:rsidRPr="0026127B">
        <w:rPr>
          <w:rFonts w:ascii="Book Antiqua" w:eastAsia="Book Antiqua" w:hAnsi="Book Antiqua" w:cs="Book Antiqua"/>
        </w:rPr>
        <w:t>3</w:t>
      </w:r>
      <w:r w:rsidR="002A68BD" w:rsidRPr="0026127B">
        <w:rPr>
          <w:rFonts w:ascii="Book Antiqua" w:eastAsia="Book Antiqua" w:hAnsi="Book Antiqua" w:cs="Book Antiqua"/>
          <w:vertAlign w:val="superscript"/>
        </w:rPr>
        <w:t>r</w:t>
      </w:r>
      <w:r w:rsidRPr="0026127B">
        <w:rPr>
          <w:rFonts w:ascii="Book Antiqua" w:eastAsia="Book Antiqua" w:hAnsi="Book Antiqua" w:cs="Book Antiqua"/>
          <w:vertAlign w:val="superscript"/>
        </w:rPr>
        <w:t>a</w:t>
      </w:r>
      <w:r w:rsidRPr="0026127B">
        <w:rPr>
          <w:rFonts w:ascii="Book Antiqua" w:eastAsia="Book Antiqua" w:hAnsi="Book Antiqua" w:cs="Book Antiqua"/>
        </w:rPr>
        <w:t xml:space="preserve"> </w:t>
      </w:r>
      <w:r w:rsidRPr="0026127B">
        <w:rPr>
          <w:rFonts w:ascii="Book Antiqua" w:eastAsia="Book Antiqua" w:hAnsi="Book Antiqua" w:cs="Book Antiqua"/>
        </w:rPr>
        <w:tab/>
        <w:t>Sesión</w:t>
      </w:r>
    </w:p>
    <w:p w14:paraId="07C4EB26" w14:textId="77777777" w:rsidR="00EE1E93" w:rsidRPr="0026127B" w:rsidRDefault="00EE1E93" w:rsidP="00EE1E93">
      <w:pPr>
        <w:tabs>
          <w:tab w:val="left" w:pos="720"/>
          <w:tab w:val="left" w:pos="4215"/>
          <w:tab w:val="left" w:pos="5160"/>
          <w:tab w:val="left" w:pos="8100"/>
        </w:tabs>
        <w:rPr>
          <w:rFonts w:ascii="Book Antiqua" w:eastAsia="Book Antiqua" w:hAnsi="Book Antiqua" w:cs="Book Antiqua"/>
        </w:rPr>
      </w:pPr>
      <w:r w:rsidRPr="0026127B">
        <w:rPr>
          <w:rFonts w:ascii="Book Antiqua" w:eastAsia="Book Antiqua" w:hAnsi="Book Antiqua" w:cs="Book Antiqua"/>
        </w:rPr>
        <w:tab/>
        <w:t>Legislativa</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t>Ordinaria</w:t>
      </w:r>
    </w:p>
    <w:p w14:paraId="287DD48B" w14:textId="77777777" w:rsidR="00EE1E93" w:rsidRPr="0026127B"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26127B" w:rsidRDefault="00EE1E93" w:rsidP="00EE1E93">
      <w:pPr>
        <w:spacing w:line="360" w:lineRule="auto"/>
        <w:jc w:val="center"/>
        <w:rPr>
          <w:rFonts w:ascii="Book Antiqua" w:eastAsia="Book Antiqua" w:hAnsi="Book Antiqua" w:cs="Book Antiqua"/>
          <w:b/>
          <w:sz w:val="36"/>
          <w:szCs w:val="36"/>
        </w:rPr>
      </w:pPr>
      <w:r w:rsidRPr="0026127B">
        <w:rPr>
          <w:rFonts w:ascii="Book Antiqua" w:eastAsia="Book Antiqua" w:hAnsi="Book Antiqua" w:cs="Book Antiqua"/>
          <w:b/>
          <w:sz w:val="36"/>
          <w:szCs w:val="36"/>
        </w:rPr>
        <w:t>CÁMARA DE REPRESENTANTES</w:t>
      </w:r>
    </w:p>
    <w:p w14:paraId="4DE493AE" w14:textId="5EDA575E" w:rsidR="00EE1E93" w:rsidRPr="0026127B" w:rsidRDefault="005074E7" w:rsidP="00EE1E93">
      <w:pPr>
        <w:spacing w:line="360" w:lineRule="auto"/>
        <w:jc w:val="center"/>
        <w:rPr>
          <w:rFonts w:ascii="Book Antiqua" w:eastAsia="Book Antiqua" w:hAnsi="Book Antiqua" w:cs="Book Antiqua"/>
          <w:b/>
          <w:sz w:val="52"/>
          <w:szCs w:val="52"/>
        </w:rPr>
      </w:pPr>
      <w:r w:rsidRPr="0026127B">
        <w:rPr>
          <w:rFonts w:ascii="Book Antiqua" w:eastAsia="Book Antiqua" w:hAnsi="Book Antiqua" w:cs="Book Antiqua"/>
          <w:b/>
          <w:sz w:val="52"/>
          <w:szCs w:val="52"/>
        </w:rPr>
        <w:t>R</w:t>
      </w:r>
      <w:r w:rsidR="00EE1E93" w:rsidRPr="0026127B">
        <w:rPr>
          <w:rFonts w:ascii="Book Antiqua" w:eastAsia="Book Antiqua" w:hAnsi="Book Antiqua" w:cs="Book Antiqua"/>
          <w:b/>
          <w:sz w:val="52"/>
          <w:szCs w:val="52"/>
        </w:rPr>
        <w:t xml:space="preserve">. </w:t>
      </w:r>
      <w:r w:rsidRPr="0026127B">
        <w:rPr>
          <w:rFonts w:ascii="Book Antiqua" w:eastAsia="Book Antiqua" w:hAnsi="Book Antiqua" w:cs="Book Antiqua"/>
          <w:b/>
          <w:sz w:val="52"/>
          <w:szCs w:val="52"/>
        </w:rPr>
        <w:t xml:space="preserve">C. </w:t>
      </w:r>
      <w:r w:rsidR="00EE1E93" w:rsidRPr="0026127B">
        <w:rPr>
          <w:rFonts w:ascii="Book Antiqua" w:eastAsia="Book Antiqua" w:hAnsi="Book Antiqua" w:cs="Book Antiqua"/>
          <w:b/>
          <w:sz w:val="52"/>
          <w:szCs w:val="52"/>
        </w:rPr>
        <w:t>de</w:t>
      </w:r>
      <w:r w:rsidRPr="0026127B">
        <w:rPr>
          <w:rFonts w:ascii="Book Antiqua" w:eastAsia="Book Antiqua" w:hAnsi="Book Antiqua" w:cs="Book Antiqua"/>
          <w:b/>
          <w:sz w:val="52"/>
          <w:szCs w:val="52"/>
        </w:rPr>
        <w:t>l</w:t>
      </w:r>
      <w:r w:rsidR="00EE1E93" w:rsidRPr="0026127B">
        <w:rPr>
          <w:rFonts w:ascii="Book Antiqua" w:eastAsia="Book Antiqua" w:hAnsi="Book Antiqua" w:cs="Book Antiqua"/>
          <w:b/>
          <w:sz w:val="52"/>
          <w:szCs w:val="52"/>
        </w:rPr>
        <w:t xml:space="preserve"> </w:t>
      </w:r>
      <w:r w:rsidR="002F0C30" w:rsidRPr="0026127B">
        <w:rPr>
          <w:rFonts w:ascii="Book Antiqua" w:eastAsia="Book Antiqua" w:hAnsi="Book Antiqua" w:cs="Book Antiqua"/>
          <w:b/>
          <w:sz w:val="52"/>
          <w:szCs w:val="52"/>
        </w:rPr>
        <w:t>S</w:t>
      </w:r>
      <w:r w:rsidR="00EE1E93" w:rsidRPr="0026127B">
        <w:rPr>
          <w:rFonts w:ascii="Book Antiqua" w:eastAsia="Book Antiqua" w:hAnsi="Book Antiqua" w:cs="Book Antiqua"/>
          <w:b/>
          <w:sz w:val="52"/>
          <w:szCs w:val="52"/>
        </w:rPr>
        <w:t xml:space="preserve">. </w:t>
      </w:r>
      <w:r w:rsidR="00C33A5F">
        <w:rPr>
          <w:rFonts w:ascii="Book Antiqua" w:eastAsia="Book Antiqua" w:hAnsi="Book Antiqua" w:cs="Book Antiqua"/>
          <w:b/>
          <w:sz w:val="52"/>
          <w:szCs w:val="52"/>
        </w:rPr>
        <w:t>1</w:t>
      </w:r>
      <w:r w:rsidR="00ED0501">
        <w:rPr>
          <w:rFonts w:ascii="Book Antiqua" w:eastAsia="Book Antiqua" w:hAnsi="Book Antiqua" w:cs="Book Antiqua"/>
          <w:b/>
          <w:sz w:val="52"/>
          <w:szCs w:val="52"/>
        </w:rPr>
        <w:t>5</w:t>
      </w:r>
      <w:r w:rsidR="00045878">
        <w:rPr>
          <w:rFonts w:ascii="Book Antiqua" w:eastAsia="Book Antiqua" w:hAnsi="Book Antiqua" w:cs="Book Antiqua"/>
          <w:b/>
          <w:sz w:val="52"/>
          <w:szCs w:val="52"/>
        </w:rPr>
        <w:t>3</w:t>
      </w:r>
    </w:p>
    <w:p w14:paraId="55024D28" w14:textId="7E4FE223" w:rsidR="00EE1E93" w:rsidRPr="0026127B" w:rsidRDefault="00EE1E93" w:rsidP="00EE1E93">
      <w:pPr>
        <w:spacing w:line="360" w:lineRule="auto"/>
        <w:jc w:val="center"/>
        <w:rPr>
          <w:rFonts w:ascii="Book Antiqua" w:eastAsia="Book Antiqua" w:hAnsi="Book Antiqua" w:cs="Book Antiqua"/>
          <w:b/>
          <w:sz w:val="28"/>
          <w:szCs w:val="28"/>
        </w:rPr>
      </w:pPr>
      <w:r w:rsidRPr="0026127B">
        <w:rPr>
          <w:rFonts w:ascii="Book Antiqua" w:eastAsia="Book Antiqua" w:hAnsi="Book Antiqua" w:cs="Book Antiqua"/>
          <w:b/>
          <w:sz w:val="28"/>
          <w:szCs w:val="28"/>
        </w:rPr>
        <w:t xml:space="preserve">INFORME </w:t>
      </w:r>
      <w:r w:rsidR="00F615C8" w:rsidRPr="0026127B">
        <w:rPr>
          <w:rFonts w:ascii="Book Antiqua" w:eastAsia="Book Antiqua" w:hAnsi="Book Antiqua" w:cs="Book Antiqua"/>
          <w:b/>
          <w:sz w:val="28"/>
          <w:szCs w:val="28"/>
        </w:rPr>
        <w:t>P</w:t>
      </w:r>
      <w:r w:rsidR="002F0C30" w:rsidRPr="0026127B">
        <w:rPr>
          <w:rFonts w:ascii="Book Antiqua" w:eastAsia="Book Antiqua" w:hAnsi="Book Antiqua" w:cs="Book Antiqua"/>
          <w:b/>
          <w:sz w:val="28"/>
          <w:szCs w:val="28"/>
        </w:rPr>
        <w:t>OSITIVO</w:t>
      </w:r>
    </w:p>
    <w:p w14:paraId="5456D44B" w14:textId="247FCE78" w:rsidR="00EE1E93" w:rsidRPr="0026127B" w:rsidRDefault="00386065" w:rsidP="00EE1E93">
      <w:pPr>
        <w:spacing w:line="360" w:lineRule="auto"/>
        <w:jc w:val="center"/>
        <w:rPr>
          <w:rFonts w:ascii="Book Antiqua" w:eastAsia="Book Antiqua" w:hAnsi="Book Antiqua" w:cs="Book Antiqua"/>
          <w:b/>
        </w:rPr>
      </w:pPr>
      <w:r>
        <w:rPr>
          <w:rFonts w:ascii="Book Antiqua" w:eastAsia="Book Antiqua" w:hAnsi="Book Antiqua" w:cs="Book Antiqua"/>
        </w:rPr>
        <w:t>23</w:t>
      </w:r>
      <w:r w:rsidR="00EE1E93" w:rsidRPr="0026127B">
        <w:rPr>
          <w:rFonts w:ascii="Book Antiqua" w:eastAsia="Book Antiqua" w:hAnsi="Book Antiqua" w:cs="Book Antiqua"/>
        </w:rPr>
        <w:t xml:space="preserve"> de </w:t>
      </w:r>
      <w:r w:rsidR="008F309C">
        <w:rPr>
          <w:rFonts w:ascii="Book Antiqua" w:eastAsia="Book Antiqua" w:hAnsi="Book Antiqua" w:cs="Book Antiqua"/>
        </w:rPr>
        <w:t>junio</w:t>
      </w:r>
      <w:r w:rsidR="00EE1E93" w:rsidRPr="0026127B">
        <w:rPr>
          <w:rFonts w:ascii="Book Antiqua" w:eastAsia="Book Antiqua" w:hAnsi="Book Antiqua" w:cs="Book Antiqua"/>
        </w:rPr>
        <w:t xml:space="preserve"> de 202</w:t>
      </w:r>
      <w:r w:rsidR="002A68BD" w:rsidRPr="0026127B">
        <w:rPr>
          <w:rFonts w:ascii="Book Antiqua" w:eastAsia="Book Antiqua" w:hAnsi="Book Antiqua" w:cs="Book Antiqua"/>
        </w:rPr>
        <w:t>6</w:t>
      </w:r>
    </w:p>
    <w:p w14:paraId="05CCBCC3" w14:textId="77777777" w:rsidR="00500BFE" w:rsidRPr="0026127B" w:rsidRDefault="00500BFE">
      <w:pPr>
        <w:jc w:val="both"/>
        <w:rPr>
          <w:rFonts w:ascii="Book Antiqua" w:eastAsia="Book Antiqua" w:hAnsi="Book Antiqua" w:cs="Book Antiqua"/>
        </w:rPr>
      </w:pPr>
    </w:p>
    <w:p w14:paraId="0D5BF908" w14:textId="77777777" w:rsidR="00500BFE" w:rsidRPr="0026127B" w:rsidRDefault="00500BFE" w:rsidP="00500BFE">
      <w:pPr>
        <w:jc w:val="both"/>
        <w:rPr>
          <w:rFonts w:ascii="Book Antiqua" w:eastAsia="Book Antiqua" w:hAnsi="Book Antiqua" w:cs="Book Antiqua"/>
          <w:b/>
        </w:rPr>
      </w:pPr>
    </w:p>
    <w:p w14:paraId="1C6D5398" w14:textId="77777777" w:rsidR="00500BFE" w:rsidRPr="0026127B" w:rsidRDefault="00500BFE" w:rsidP="00500BFE">
      <w:pPr>
        <w:jc w:val="both"/>
        <w:rPr>
          <w:rFonts w:ascii="Book Antiqua" w:eastAsia="Book Antiqua" w:hAnsi="Book Antiqua" w:cs="Book Antiqua"/>
          <w:b/>
        </w:rPr>
      </w:pPr>
      <w:r w:rsidRPr="0026127B">
        <w:rPr>
          <w:rFonts w:ascii="Book Antiqua" w:eastAsia="Book Antiqua" w:hAnsi="Book Antiqua" w:cs="Book Antiqua"/>
          <w:b/>
        </w:rPr>
        <w:t>A LA CÁMARA DE REPRESENTANTES DE PUERTO RICO</w:t>
      </w:r>
    </w:p>
    <w:p w14:paraId="292C9DBA" w14:textId="77777777" w:rsidR="00500BFE" w:rsidRPr="0026127B" w:rsidRDefault="00500BFE" w:rsidP="00500BFE">
      <w:pPr>
        <w:jc w:val="both"/>
        <w:rPr>
          <w:rFonts w:ascii="Book Antiqua" w:eastAsia="Book Antiqua" w:hAnsi="Book Antiqua" w:cs="Book Antiqua"/>
        </w:rPr>
      </w:pPr>
    </w:p>
    <w:p w14:paraId="2FABA231" w14:textId="61D0B98A" w:rsidR="00500BFE" w:rsidRPr="0026127B" w:rsidRDefault="00634A11" w:rsidP="00634A11">
      <w:pPr>
        <w:ind w:firstLine="720"/>
        <w:jc w:val="both"/>
        <w:rPr>
          <w:rFonts w:ascii="Book Antiqua" w:eastAsia="Book Antiqua" w:hAnsi="Book Antiqua" w:cs="Book Antiqua"/>
        </w:rPr>
      </w:pPr>
      <w:r w:rsidRPr="0026127B">
        <w:rPr>
          <w:rFonts w:ascii="Book Antiqua" w:eastAsia="Book Antiqua" w:hAnsi="Book Antiqua" w:cs="Book Antiqua"/>
        </w:rPr>
        <w:t>La Comisión de Transportación e Infraestructura de la Cámara de Representantes del Gobierno de Puerto Rico, previo estudio y consideración de</w:t>
      </w:r>
      <w:r w:rsidR="00C4572A" w:rsidRPr="0026127B">
        <w:rPr>
          <w:rFonts w:ascii="Book Antiqua" w:eastAsia="Book Antiqua" w:hAnsi="Book Antiqua" w:cs="Book Antiqua"/>
        </w:rPr>
        <w:t xml:space="preserve"> </w:t>
      </w:r>
      <w:r w:rsidRPr="0026127B">
        <w:rPr>
          <w:rFonts w:ascii="Book Antiqua" w:eastAsia="Book Antiqua" w:hAnsi="Book Antiqua" w:cs="Book Antiqua"/>
        </w:rPr>
        <w:t>l</w:t>
      </w:r>
      <w:r w:rsidR="00C4572A" w:rsidRPr="0026127B">
        <w:rPr>
          <w:rFonts w:ascii="Book Antiqua" w:eastAsia="Book Antiqua" w:hAnsi="Book Antiqua" w:cs="Book Antiqua"/>
        </w:rPr>
        <w:t>a</w:t>
      </w:r>
      <w:r w:rsidRPr="0026127B">
        <w:rPr>
          <w:rFonts w:ascii="Book Antiqua" w:eastAsia="Book Antiqua" w:hAnsi="Book Antiqua" w:cs="Book Antiqua"/>
        </w:rPr>
        <w:t xml:space="preserve"> </w:t>
      </w:r>
      <w:r w:rsidR="005074E7" w:rsidRPr="0026127B">
        <w:rPr>
          <w:rFonts w:ascii="Book Antiqua" w:eastAsia="Book Antiqua" w:hAnsi="Book Antiqua" w:cs="Book Antiqua"/>
        </w:rPr>
        <w:t>R</w:t>
      </w:r>
      <w:r w:rsidRPr="0026127B">
        <w:rPr>
          <w:rFonts w:ascii="Book Antiqua" w:eastAsia="Book Antiqua" w:hAnsi="Book Antiqua" w:cs="Book Antiqua"/>
        </w:rPr>
        <w:t xml:space="preserve">. </w:t>
      </w:r>
      <w:r w:rsidR="005074E7" w:rsidRPr="0026127B">
        <w:rPr>
          <w:rFonts w:ascii="Book Antiqua" w:eastAsia="Book Antiqua" w:hAnsi="Book Antiqua" w:cs="Book Antiqua"/>
        </w:rPr>
        <w:t xml:space="preserve">C. </w:t>
      </w:r>
      <w:r w:rsidRPr="0026127B">
        <w:rPr>
          <w:rFonts w:ascii="Book Antiqua" w:eastAsia="Book Antiqua" w:hAnsi="Book Antiqua" w:cs="Book Antiqua"/>
        </w:rPr>
        <w:t xml:space="preserve">de la S. </w:t>
      </w:r>
      <w:r w:rsidR="00C33A5F">
        <w:rPr>
          <w:rFonts w:ascii="Book Antiqua" w:eastAsia="Book Antiqua" w:hAnsi="Book Antiqua" w:cs="Book Antiqua"/>
        </w:rPr>
        <w:t>1</w:t>
      </w:r>
      <w:r w:rsidR="00ED0501">
        <w:rPr>
          <w:rFonts w:ascii="Book Antiqua" w:eastAsia="Book Antiqua" w:hAnsi="Book Antiqua" w:cs="Book Antiqua"/>
        </w:rPr>
        <w:t>5</w:t>
      </w:r>
      <w:r w:rsidR="00045878">
        <w:rPr>
          <w:rFonts w:ascii="Book Antiqua" w:eastAsia="Book Antiqua" w:hAnsi="Book Antiqua" w:cs="Book Antiqua"/>
        </w:rPr>
        <w:t>3</w:t>
      </w:r>
      <w:r w:rsidRPr="0026127B">
        <w:rPr>
          <w:rFonts w:ascii="Book Antiqua" w:eastAsia="Book Antiqua" w:hAnsi="Book Antiqua" w:cs="Book Antiqua"/>
        </w:rPr>
        <w:t>, tiene a bien recomendar a este Alto Cuerpo la aprobación</w:t>
      </w:r>
      <w:r w:rsidR="00D237DA">
        <w:rPr>
          <w:rFonts w:ascii="Book Antiqua" w:eastAsia="Book Antiqua" w:hAnsi="Book Antiqua" w:cs="Book Antiqua"/>
        </w:rPr>
        <w:t xml:space="preserve">, </w:t>
      </w:r>
      <w:r w:rsidR="00D237DA" w:rsidRPr="00D237DA">
        <w:rPr>
          <w:rFonts w:ascii="Book Antiqua" w:eastAsia="Book Antiqua" w:hAnsi="Book Antiqua" w:cs="Book Antiqua"/>
        </w:rPr>
        <w:t xml:space="preserve">con las enmiendas contenidas en el </w:t>
      </w:r>
      <w:proofErr w:type="spellStart"/>
      <w:r w:rsidR="00D237DA" w:rsidRPr="00D237DA">
        <w:rPr>
          <w:rFonts w:ascii="Book Antiqua" w:eastAsia="Book Antiqua" w:hAnsi="Book Antiqua" w:cs="Book Antiqua"/>
        </w:rPr>
        <w:t>entirillado</w:t>
      </w:r>
      <w:proofErr w:type="spellEnd"/>
      <w:r w:rsidR="00D237DA" w:rsidRPr="00D237DA">
        <w:rPr>
          <w:rFonts w:ascii="Book Antiqua" w:eastAsia="Book Antiqua" w:hAnsi="Book Antiqua" w:cs="Book Antiqua"/>
        </w:rPr>
        <w:t xml:space="preserve"> electrónico que se acompaña</w:t>
      </w:r>
      <w:r w:rsidR="004948B3" w:rsidRPr="0026127B">
        <w:rPr>
          <w:rFonts w:ascii="Book Antiqua" w:eastAsia="Book Antiqua" w:hAnsi="Book Antiqua" w:cs="Book Antiqua"/>
        </w:rPr>
        <w:t>.</w:t>
      </w:r>
    </w:p>
    <w:p w14:paraId="11E688E6" w14:textId="77777777" w:rsidR="00B97590" w:rsidRPr="0026127B" w:rsidRDefault="00B97590" w:rsidP="00B97590">
      <w:pPr>
        <w:ind w:firstLine="720"/>
        <w:jc w:val="both"/>
        <w:rPr>
          <w:rFonts w:ascii="Book Antiqua" w:eastAsia="Book Antiqua" w:hAnsi="Book Antiqua" w:cs="Book Antiqua"/>
          <w:lang w:val="es-ES"/>
        </w:rPr>
      </w:pPr>
    </w:p>
    <w:p w14:paraId="6679FF6D" w14:textId="77777777" w:rsidR="00500BFE" w:rsidRPr="0026127B" w:rsidRDefault="00500BFE" w:rsidP="00500BFE">
      <w:pPr>
        <w:jc w:val="both"/>
        <w:rPr>
          <w:rFonts w:ascii="Book Antiqua" w:eastAsia="Book Antiqua" w:hAnsi="Book Antiqua" w:cs="Book Antiqua"/>
          <w:b/>
          <w:lang w:val="es-ES"/>
        </w:rPr>
      </w:pPr>
    </w:p>
    <w:p w14:paraId="7148D954" w14:textId="77777777" w:rsidR="00500BFE" w:rsidRPr="0026127B" w:rsidRDefault="00500BFE" w:rsidP="00B97590">
      <w:pPr>
        <w:jc w:val="center"/>
        <w:rPr>
          <w:rFonts w:ascii="Book Antiqua" w:eastAsia="Book Antiqua" w:hAnsi="Book Antiqua" w:cs="Book Antiqua"/>
          <w:b/>
        </w:rPr>
      </w:pPr>
      <w:r w:rsidRPr="0026127B">
        <w:rPr>
          <w:rFonts w:ascii="Book Antiqua" w:eastAsia="Book Antiqua" w:hAnsi="Book Antiqua" w:cs="Book Antiqua"/>
          <w:b/>
        </w:rPr>
        <w:t>ALCANCE DE LA MEDIDA</w:t>
      </w:r>
    </w:p>
    <w:p w14:paraId="12C65877" w14:textId="77777777" w:rsidR="00500BFE" w:rsidRPr="0026127B" w:rsidRDefault="00500BFE" w:rsidP="00500BFE">
      <w:pPr>
        <w:jc w:val="both"/>
        <w:rPr>
          <w:rFonts w:ascii="Book Antiqua" w:eastAsia="Book Antiqua" w:hAnsi="Book Antiqua" w:cs="Book Antiqua"/>
        </w:rPr>
      </w:pPr>
    </w:p>
    <w:p w14:paraId="5411F316" w14:textId="2AE96F9A" w:rsidR="00EB7A6F" w:rsidRDefault="00EB7A6F" w:rsidP="00EB7A6F">
      <w:pPr>
        <w:ind w:firstLine="720"/>
        <w:jc w:val="both"/>
        <w:rPr>
          <w:rFonts w:ascii="Book Antiqua" w:eastAsia="Book Antiqua" w:hAnsi="Book Antiqua" w:cs="Book Antiqua"/>
          <w:bCs/>
          <w:lang w:val="es-PR"/>
        </w:rPr>
      </w:pPr>
      <w:r w:rsidRPr="00EB7A6F">
        <w:rPr>
          <w:rFonts w:ascii="Book Antiqua" w:eastAsia="Book Antiqua" w:hAnsi="Book Antiqua" w:cs="Book Antiqua"/>
          <w:bCs/>
          <w:lang w:val="es-PR"/>
        </w:rPr>
        <w:t>La Resolución Conjunta del Senado 153 propone designar la Carretera Estatal PR-421, dentro de la jurisdicción del Municipio de Moca, con el nombre de Luis González Pérez, en reconocimiento a su legado empresarial, comunitario y a sus aportaciones al desarrollo del pueblo de Moca.</w:t>
      </w:r>
    </w:p>
    <w:p w14:paraId="242E6160" w14:textId="77777777" w:rsidR="00EB7A6F" w:rsidRDefault="00EB7A6F" w:rsidP="00EB7A6F">
      <w:pPr>
        <w:ind w:firstLine="720"/>
        <w:jc w:val="both"/>
        <w:rPr>
          <w:rFonts w:ascii="Book Antiqua" w:eastAsia="Book Antiqua" w:hAnsi="Book Antiqua" w:cs="Book Antiqua"/>
          <w:bCs/>
          <w:lang w:val="es-PR"/>
        </w:rPr>
      </w:pPr>
    </w:p>
    <w:p w14:paraId="41B6FA46" w14:textId="51B5735B" w:rsidR="00550BD6" w:rsidRPr="00550BD6" w:rsidRDefault="00550BD6" w:rsidP="00550BD6">
      <w:pPr>
        <w:ind w:firstLine="720"/>
        <w:jc w:val="both"/>
        <w:rPr>
          <w:rFonts w:ascii="Book Antiqua" w:eastAsia="Book Antiqua" w:hAnsi="Book Antiqua" w:cs="Book Antiqua"/>
          <w:bCs/>
          <w:lang w:val="es-PR"/>
        </w:rPr>
      </w:pPr>
      <w:r w:rsidRPr="00550BD6">
        <w:rPr>
          <w:rFonts w:ascii="Book Antiqua" w:eastAsia="Book Antiqua" w:hAnsi="Book Antiqua" w:cs="Book Antiqua"/>
          <w:bCs/>
          <w:lang w:val="es-PR"/>
        </w:rPr>
        <w:t>La medida persigue reconocer la trayectoria de Luis González Pérez, destacado empresario y líder comunitario del Municipio de Moca. Según surge de la Exposición de Motivos, González Pérez nació en dicho municipio y desde temprana edad demostró una sólida ética de trabajo y compromiso con su comunidad.</w:t>
      </w:r>
      <w:r>
        <w:rPr>
          <w:rFonts w:ascii="Book Antiqua" w:eastAsia="Book Antiqua" w:hAnsi="Book Antiqua" w:cs="Book Antiqua"/>
          <w:bCs/>
          <w:lang w:val="es-PR"/>
        </w:rPr>
        <w:t xml:space="preserve"> </w:t>
      </w:r>
      <w:r w:rsidRPr="00550BD6">
        <w:rPr>
          <w:rFonts w:ascii="Book Antiqua" w:eastAsia="Book Antiqua" w:hAnsi="Book Antiqua" w:cs="Book Antiqua"/>
          <w:bCs/>
          <w:lang w:val="es-PR"/>
        </w:rPr>
        <w:t>En el año 1973 fundó la Funeraria Moca Memorial, institución que con el paso de los años se convirtió en un referente de servicio para las familias mocanas. Su gestión empresarial promovió el desarrollo económico local mediante la creación de empleos y oportunidades para residentes del municipio, contribuyendo significativamente al bienestar colectivo de la región.</w:t>
      </w:r>
    </w:p>
    <w:p w14:paraId="15A299B4" w14:textId="609B838E" w:rsidR="003A5D78" w:rsidRPr="000051BD" w:rsidRDefault="003A5D78" w:rsidP="001470AD">
      <w:pPr>
        <w:rPr>
          <w:rFonts w:ascii="Book Antiqua" w:eastAsia="Book Antiqua" w:hAnsi="Book Antiqua" w:cs="Book Antiqua"/>
          <w:b/>
          <w:lang w:val="es-PR"/>
        </w:rPr>
      </w:pPr>
    </w:p>
    <w:p w14:paraId="2C98166B" w14:textId="77777777" w:rsidR="00760157" w:rsidRPr="0026127B" w:rsidRDefault="00760157" w:rsidP="001470AD">
      <w:pPr>
        <w:rPr>
          <w:rFonts w:ascii="Book Antiqua" w:eastAsia="Book Antiqua" w:hAnsi="Book Antiqua" w:cs="Book Antiqua"/>
          <w:b/>
        </w:rPr>
      </w:pPr>
    </w:p>
    <w:p w14:paraId="5048AB55" w14:textId="18DDF23C" w:rsidR="00500BFE" w:rsidRPr="0026127B" w:rsidRDefault="00500BFE" w:rsidP="00B97590">
      <w:pPr>
        <w:jc w:val="center"/>
        <w:rPr>
          <w:rFonts w:ascii="Book Antiqua" w:eastAsia="Book Antiqua" w:hAnsi="Book Antiqua" w:cs="Book Antiqua"/>
          <w:b/>
        </w:rPr>
      </w:pPr>
      <w:r w:rsidRPr="0026127B">
        <w:rPr>
          <w:rFonts w:ascii="Book Antiqua" w:eastAsia="Book Antiqua" w:hAnsi="Book Antiqua" w:cs="Book Antiqua"/>
          <w:b/>
        </w:rPr>
        <w:lastRenderedPageBreak/>
        <w:t>ANÁLISIS DE LA MEDIDA</w:t>
      </w:r>
    </w:p>
    <w:p w14:paraId="0EE1B293" w14:textId="77777777" w:rsidR="00500BFE" w:rsidRPr="0026127B" w:rsidRDefault="00500BFE" w:rsidP="00500BFE">
      <w:pPr>
        <w:jc w:val="both"/>
        <w:rPr>
          <w:rFonts w:ascii="Book Antiqua" w:eastAsia="Book Antiqua" w:hAnsi="Book Antiqua" w:cs="Book Antiqua"/>
        </w:rPr>
      </w:pPr>
    </w:p>
    <w:p w14:paraId="3CEFB2EF" w14:textId="42F62EC4" w:rsidR="00500BFE" w:rsidRPr="0026127B" w:rsidRDefault="00523B9F" w:rsidP="00DF212A">
      <w:pPr>
        <w:ind w:firstLine="720"/>
        <w:jc w:val="both"/>
        <w:rPr>
          <w:rFonts w:ascii="Book Antiqua" w:eastAsia="Book Antiqua" w:hAnsi="Book Antiqua" w:cs="Book Antiqua"/>
        </w:rPr>
      </w:pPr>
      <w:r w:rsidRPr="0026127B">
        <w:rPr>
          <w:rFonts w:ascii="Book Antiqua" w:eastAsia="Book Antiqua" w:hAnsi="Book Antiqua" w:cs="Book Antiqua"/>
        </w:rPr>
        <w:t>La Comisión de Transportación e Infraestructura, para la debida consideración y estudio de</w:t>
      </w:r>
      <w:r w:rsidR="00C00768" w:rsidRPr="0026127B">
        <w:rPr>
          <w:rFonts w:ascii="Book Antiqua" w:eastAsia="Book Antiqua" w:hAnsi="Book Antiqua" w:cs="Book Antiqua"/>
        </w:rPr>
        <w:t xml:space="preserve"> la </w:t>
      </w:r>
      <w:r w:rsidR="00595BE0" w:rsidRPr="0026127B">
        <w:rPr>
          <w:rFonts w:ascii="Book Antiqua" w:eastAsia="Book Antiqua" w:hAnsi="Book Antiqua" w:cs="Book Antiqua"/>
        </w:rPr>
        <w:t>Resolución</w:t>
      </w:r>
      <w:r w:rsidR="00C00768" w:rsidRPr="0026127B">
        <w:rPr>
          <w:rFonts w:ascii="Book Antiqua" w:eastAsia="Book Antiqua" w:hAnsi="Book Antiqua" w:cs="Book Antiqua"/>
        </w:rPr>
        <w:t xml:space="preserve"> Conjunta</w:t>
      </w:r>
      <w:r w:rsidRPr="0026127B">
        <w:rPr>
          <w:rFonts w:ascii="Book Antiqua" w:eastAsia="Book Antiqua" w:hAnsi="Book Antiqua" w:cs="Book Antiqua"/>
        </w:rPr>
        <w:t xml:space="preserve"> del Senado </w:t>
      </w:r>
      <w:r w:rsidR="006B2D09">
        <w:rPr>
          <w:rFonts w:ascii="Book Antiqua" w:eastAsia="Book Antiqua" w:hAnsi="Book Antiqua" w:cs="Book Antiqua"/>
        </w:rPr>
        <w:t>1</w:t>
      </w:r>
      <w:r w:rsidR="00ED0501">
        <w:rPr>
          <w:rFonts w:ascii="Book Antiqua" w:eastAsia="Book Antiqua" w:hAnsi="Book Antiqua" w:cs="Book Antiqua"/>
        </w:rPr>
        <w:t>5</w:t>
      </w:r>
      <w:r w:rsidR="00045878">
        <w:rPr>
          <w:rFonts w:ascii="Book Antiqua" w:eastAsia="Book Antiqua" w:hAnsi="Book Antiqua" w:cs="Book Antiqua"/>
        </w:rPr>
        <w:t>3</w:t>
      </w:r>
      <w:r w:rsidRPr="0026127B">
        <w:rPr>
          <w:rFonts w:ascii="Book Antiqua" w:eastAsia="Book Antiqua" w:hAnsi="Book Antiqua" w:cs="Book Antiqua"/>
        </w:rPr>
        <w:t xml:space="preserve"> y en aras de fomentar la economía procesal recibió los memoriales explicativos sometidos por la Comisión </w:t>
      </w:r>
      <w:r w:rsidRPr="0026127B">
        <w:rPr>
          <w:rFonts w:ascii="Book Antiqua" w:eastAsia="Book Antiqua" w:hAnsi="Book Antiqua" w:cs="Book Antiqua"/>
          <w:lang w:val="es-ES"/>
        </w:rPr>
        <w:t>de Transportación, Telecomunicaciones, Servicios Públicos y Asuntos del Consumidor</w:t>
      </w:r>
      <w:r w:rsidRPr="0026127B">
        <w:rPr>
          <w:rFonts w:ascii="Book Antiqua" w:eastAsia="Book Antiqua" w:hAnsi="Book Antiqua" w:cs="Book Antiqua"/>
        </w:rPr>
        <w:t xml:space="preserve"> del Senado de Puerto Rico. </w:t>
      </w:r>
    </w:p>
    <w:p w14:paraId="02FFF3F5" w14:textId="77777777" w:rsidR="00D025D8" w:rsidRDefault="00D025D8" w:rsidP="00B60F38">
      <w:pPr>
        <w:jc w:val="both"/>
        <w:rPr>
          <w:rFonts w:ascii="Book Antiqua" w:eastAsia="Book Antiqua" w:hAnsi="Book Antiqua" w:cs="Book Antiqua"/>
          <w:lang w:val="es-PR"/>
        </w:rPr>
      </w:pPr>
    </w:p>
    <w:p w14:paraId="4E49A2A4" w14:textId="77777777" w:rsidR="00D50BE3" w:rsidRPr="00B60F38" w:rsidRDefault="00D50BE3" w:rsidP="00D50BE3">
      <w:pPr>
        <w:ind w:firstLine="720"/>
        <w:jc w:val="both"/>
        <w:rPr>
          <w:rFonts w:ascii="Book Antiqua" w:eastAsia="Book Antiqua" w:hAnsi="Book Antiqua" w:cs="Book Antiqua"/>
          <w:lang w:val="es-PR"/>
        </w:rPr>
      </w:pPr>
      <w:r w:rsidRPr="00B60F38">
        <w:rPr>
          <w:rFonts w:ascii="Book Antiqua" w:eastAsia="Book Antiqua" w:hAnsi="Book Antiqua" w:cs="Book Antiqua"/>
          <w:lang w:val="es-PR"/>
        </w:rPr>
        <w:t>Para el análisis de esta medida, la Comisión evaluó los comentarios sometidos por el Departamento de Transportación y Obras Públicas (DTOP). Del expediente legislativo surge que la versión original de la medida proponía designar la Carretera Estatal PR-4444 con el nombre de Luis González Pérez. No obstante, el DTOP informó que dicha carretera ya había sido designada mediante la Ley 155-2019 con el nombre de José Cheo Cordero Soto.</w:t>
      </w:r>
    </w:p>
    <w:p w14:paraId="76D5F244" w14:textId="77777777" w:rsidR="00B60F38" w:rsidRPr="00B60F38" w:rsidRDefault="00B60F38" w:rsidP="00D50BE3">
      <w:pPr>
        <w:jc w:val="both"/>
        <w:rPr>
          <w:rFonts w:ascii="Book Antiqua" w:eastAsia="Book Antiqua" w:hAnsi="Book Antiqua" w:cs="Book Antiqua"/>
          <w:lang w:val="es-PR"/>
        </w:rPr>
      </w:pPr>
    </w:p>
    <w:p w14:paraId="79F13A60" w14:textId="12AFA191" w:rsidR="00D50BE3" w:rsidRPr="00B60F38" w:rsidRDefault="00D50BE3" w:rsidP="00B60F38">
      <w:pPr>
        <w:ind w:firstLine="720"/>
        <w:jc w:val="both"/>
        <w:rPr>
          <w:rFonts w:ascii="Book Antiqua" w:eastAsia="Book Antiqua" w:hAnsi="Book Antiqua" w:cs="Book Antiqua"/>
          <w:lang w:val="es-PR"/>
        </w:rPr>
      </w:pPr>
      <w:r w:rsidRPr="00B60F38">
        <w:rPr>
          <w:rFonts w:ascii="Book Antiqua" w:eastAsia="Book Antiqua" w:hAnsi="Book Antiqua" w:cs="Book Antiqua"/>
          <w:lang w:val="es-PR"/>
        </w:rPr>
        <w:t>Ante ese señalamiento, la Comisión de Transportación, Telecomunicaciones, Servicios Públicos y Asuntos del Consumidor del Senado realizó consultas con la autora de la medida y personal del DTOP, identificándose una vía estatal que no contaba con una designación previa. Como resultado de dichas gestiones, la medida fue enmendada para sustituir la carretera originalmente propuesta y designar la Carretera Estatal PR-421 dentro de la jurisdicción del Municipio de Moca.</w:t>
      </w:r>
    </w:p>
    <w:p w14:paraId="33A0452F" w14:textId="77777777" w:rsidR="00B60F38" w:rsidRPr="00B60F38" w:rsidRDefault="00B60F38" w:rsidP="00D50BE3">
      <w:pPr>
        <w:jc w:val="both"/>
        <w:rPr>
          <w:rFonts w:ascii="Book Antiqua" w:eastAsia="Book Antiqua" w:hAnsi="Book Antiqua" w:cs="Book Antiqua"/>
          <w:lang w:val="es-PR"/>
        </w:rPr>
      </w:pPr>
    </w:p>
    <w:p w14:paraId="36597C0C" w14:textId="08BC1C8F" w:rsidR="00D50BE3" w:rsidRDefault="00D50BE3" w:rsidP="00B60F38">
      <w:pPr>
        <w:ind w:firstLine="720"/>
        <w:jc w:val="both"/>
        <w:rPr>
          <w:rFonts w:ascii="Book Antiqua" w:eastAsia="Book Antiqua" w:hAnsi="Book Antiqua" w:cs="Book Antiqua"/>
          <w:lang w:val="es-PR"/>
        </w:rPr>
      </w:pPr>
      <w:r w:rsidRPr="00B60F38">
        <w:rPr>
          <w:rFonts w:ascii="Book Antiqua" w:eastAsia="Book Antiqua" w:hAnsi="Book Antiqua" w:cs="Book Antiqua"/>
          <w:lang w:val="es-PR"/>
        </w:rPr>
        <w:t>De esta forma, quedó atendido el señalamiento realizado por el DTOP respecto a la duplicidad de designaciones, permitiendo que la medida continúe su trámite legislativo sin conflicto con legislación vigente.</w:t>
      </w:r>
    </w:p>
    <w:p w14:paraId="2B128A2B" w14:textId="77777777" w:rsidR="007C437A" w:rsidRPr="00B60F38" w:rsidRDefault="007C437A" w:rsidP="00B60F38">
      <w:pPr>
        <w:ind w:firstLine="720"/>
        <w:jc w:val="both"/>
        <w:rPr>
          <w:rFonts w:ascii="Book Antiqua" w:eastAsia="Book Antiqua" w:hAnsi="Book Antiqua" w:cs="Book Antiqua"/>
          <w:lang w:val="es-PR"/>
        </w:rPr>
      </w:pPr>
    </w:p>
    <w:p w14:paraId="37BFA859" w14:textId="77777777" w:rsidR="00BE2F13" w:rsidRPr="0026127B" w:rsidRDefault="00BE2F13" w:rsidP="00542A67">
      <w:pPr>
        <w:jc w:val="both"/>
        <w:rPr>
          <w:rFonts w:ascii="Book Antiqua" w:eastAsia="Book Antiqua" w:hAnsi="Book Antiqua" w:cs="Book Antiqua"/>
          <w:b/>
          <w:bCs/>
          <w:lang w:val="es-PR"/>
        </w:rPr>
      </w:pPr>
    </w:p>
    <w:p w14:paraId="3587E10C" w14:textId="713FCD9B" w:rsidR="00500BFE" w:rsidRPr="0026127B" w:rsidRDefault="00BE2F13" w:rsidP="00FA574C">
      <w:pPr>
        <w:jc w:val="center"/>
        <w:rPr>
          <w:rFonts w:ascii="Book Antiqua" w:eastAsia="Book Antiqua" w:hAnsi="Book Antiqua" w:cs="Book Antiqua"/>
          <w:lang w:val="es-PR"/>
        </w:rPr>
      </w:pPr>
      <w:r w:rsidRPr="0026127B">
        <w:rPr>
          <w:rFonts w:ascii="Book Antiqua" w:eastAsia="Book Antiqua" w:hAnsi="Book Antiqua" w:cs="Book Antiqua"/>
          <w:b/>
          <w:bCs/>
          <w:lang w:val="es-ES"/>
        </w:rPr>
        <w:t>IMPACTO FISCAL</w:t>
      </w:r>
    </w:p>
    <w:p w14:paraId="23DB6801" w14:textId="1F9220DE" w:rsidR="00E135D5" w:rsidRPr="0026127B" w:rsidRDefault="00500BFE" w:rsidP="00E135D5">
      <w:pPr>
        <w:jc w:val="both"/>
        <w:rPr>
          <w:rFonts w:ascii="Book Antiqua" w:eastAsia="Book Antiqua" w:hAnsi="Book Antiqua" w:cs="Book Antiqua"/>
        </w:rPr>
      </w:pPr>
      <w:r w:rsidRPr="0026127B">
        <w:rPr>
          <w:rFonts w:ascii="Book Antiqua" w:eastAsia="Book Antiqua" w:hAnsi="Book Antiqua" w:cs="Book Antiqua"/>
          <w:b/>
          <w:bCs/>
        </w:rPr>
        <w:t xml:space="preserve">                                                                  </w:t>
      </w:r>
    </w:p>
    <w:p w14:paraId="6F7BBFAD" w14:textId="1EDBEF96" w:rsidR="00760157" w:rsidRDefault="00E135D5" w:rsidP="00BA69C3">
      <w:pPr>
        <w:jc w:val="both"/>
        <w:rPr>
          <w:rFonts w:ascii="Book Antiqua" w:eastAsia="Book Antiqua" w:hAnsi="Book Antiqua" w:cs="Book Antiqua"/>
          <w:bCs/>
          <w:lang w:val="es-PR"/>
        </w:rPr>
      </w:pPr>
      <w:r w:rsidRPr="0026127B">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9EA49F1" w14:textId="77777777" w:rsidR="00DA0D83" w:rsidRPr="00BA69C3" w:rsidRDefault="00DA0D83" w:rsidP="00BA69C3">
      <w:pPr>
        <w:jc w:val="both"/>
        <w:rPr>
          <w:rFonts w:ascii="Book Antiqua" w:eastAsia="Book Antiqua" w:hAnsi="Book Antiqua" w:cs="Book Antiqua"/>
          <w:bCs/>
          <w:lang w:val="es-PR"/>
        </w:rPr>
      </w:pPr>
    </w:p>
    <w:p w14:paraId="73EAB703" w14:textId="77777777" w:rsidR="00760157" w:rsidRPr="0026127B" w:rsidRDefault="00760157" w:rsidP="00E135D5">
      <w:pPr>
        <w:rPr>
          <w:rFonts w:ascii="Book Antiqua" w:eastAsia="Book Antiqua" w:hAnsi="Book Antiqua" w:cs="Book Antiqua"/>
          <w:b/>
        </w:rPr>
      </w:pPr>
    </w:p>
    <w:p w14:paraId="1F0C175C" w14:textId="5FB9DCE8" w:rsidR="00500BFE" w:rsidRPr="0026127B" w:rsidRDefault="00500BFE" w:rsidP="00634A11">
      <w:pPr>
        <w:jc w:val="center"/>
        <w:rPr>
          <w:rFonts w:ascii="Book Antiqua" w:eastAsia="Book Antiqua" w:hAnsi="Book Antiqua" w:cs="Book Antiqua"/>
          <w:b/>
        </w:rPr>
      </w:pPr>
      <w:r w:rsidRPr="0026127B">
        <w:rPr>
          <w:rFonts w:ascii="Book Antiqua" w:eastAsia="Book Antiqua" w:hAnsi="Book Antiqua" w:cs="Book Antiqua"/>
          <w:b/>
        </w:rPr>
        <w:t>CONCLUSIÓN</w:t>
      </w:r>
    </w:p>
    <w:p w14:paraId="3EE44141" w14:textId="77777777" w:rsidR="00C64AC0" w:rsidRPr="0026127B" w:rsidRDefault="00C64AC0" w:rsidP="00C64AC0">
      <w:pPr>
        <w:jc w:val="both"/>
        <w:rPr>
          <w:rFonts w:ascii="Book Antiqua" w:eastAsia="Book Antiqua" w:hAnsi="Book Antiqua" w:cs="Book Antiqua"/>
          <w:lang w:val="es-PR"/>
        </w:rPr>
      </w:pPr>
    </w:p>
    <w:p w14:paraId="13D9C9F1" w14:textId="77777777" w:rsidR="00271BE1" w:rsidRPr="00271BE1" w:rsidRDefault="00271BE1" w:rsidP="00271BE1">
      <w:pPr>
        <w:jc w:val="both"/>
        <w:rPr>
          <w:rFonts w:ascii="Book Antiqua" w:eastAsia="Book Antiqua" w:hAnsi="Book Antiqua" w:cs="Book Antiqua"/>
          <w:lang w:val="es-PR"/>
        </w:rPr>
      </w:pPr>
      <w:r>
        <w:rPr>
          <w:rFonts w:ascii="Book Antiqua" w:eastAsia="Book Antiqua" w:hAnsi="Book Antiqua" w:cs="Book Antiqua"/>
          <w:lang w:val="es-PR"/>
        </w:rPr>
        <w:tab/>
      </w:r>
      <w:r w:rsidRPr="00271BE1">
        <w:rPr>
          <w:rFonts w:ascii="Book Antiqua" w:eastAsia="Book Antiqua" w:hAnsi="Book Antiqua" w:cs="Book Antiqua"/>
          <w:lang w:val="es-PR"/>
        </w:rPr>
        <w:t>La Asamblea Legislativa tiene la facultad de reconocer a ciudadanos cuyas aportaciones hayan redundado en beneficio de sus comunidades y del pueblo de Puerto Rico. Del análisis realizado surge que Luis González Pérez realizó importantes contribuciones al desarrollo económico, social y comunitario del Municipio de Moca, por lo que resulta meritorio perpetuar su legado mediante la designación propuesta.</w:t>
      </w:r>
    </w:p>
    <w:p w14:paraId="2524D9ED" w14:textId="77777777" w:rsidR="00271BE1" w:rsidRPr="00271BE1" w:rsidRDefault="00271BE1" w:rsidP="007F3D0C">
      <w:pPr>
        <w:ind w:firstLine="720"/>
        <w:jc w:val="both"/>
        <w:rPr>
          <w:rFonts w:ascii="Book Antiqua" w:eastAsia="Book Antiqua" w:hAnsi="Book Antiqua" w:cs="Book Antiqua"/>
          <w:lang w:val="es-PR"/>
        </w:rPr>
      </w:pPr>
      <w:r w:rsidRPr="00271BE1">
        <w:rPr>
          <w:rFonts w:ascii="Book Antiqua" w:eastAsia="Book Antiqua" w:hAnsi="Book Antiqua" w:cs="Book Antiqua"/>
          <w:lang w:val="es-PR"/>
        </w:rPr>
        <w:lastRenderedPageBreak/>
        <w:t>Además, el señalamiento técnico originalmente formulado por el Departamento de Transportación y Obras Públicas fue debidamente atendido mediante la sustitución de la carretera inicialmente propuesta por la Carretera Estatal PR-421, la cual no presentaba conflictos con designaciones previas.</w:t>
      </w:r>
    </w:p>
    <w:p w14:paraId="4194E38C" w14:textId="11C9157E" w:rsidR="00771802" w:rsidRPr="0026127B" w:rsidRDefault="00771802" w:rsidP="00B74CA0">
      <w:pPr>
        <w:jc w:val="both"/>
        <w:rPr>
          <w:rFonts w:ascii="Book Antiqua" w:eastAsia="Book Antiqua" w:hAnsi="Book Antiqua" w:cs="Book Antiqua"/>
          <w:lang w:val="es-PR"/>
        </w:rPr>
      </w:pPr>
    </w:p>
    <w:p w14:paraId="7CAA9580" w14:textId="6FAFDE4E" w:rsidR="00771802" w:rsidRPr="0026127B" w:rsidRDefault="00771802" w:rsidP="00771802">
      <w:pPr>
        <w:ind w:firstLine="720"/>
        <w:jc w:val="both"/>
        <w:rPr>
          <w:rFonts w:ascii="Book Antiqua" w:eastAsia="Book Antiqua" w:hAnsi="Book Antiqua" w:cs="Book Antiqua"/>
        </w:rPr>
      </w:pPr>
      <w:r w:rsidRPr="0026127B">
        <w:rPr>
          <w:rFonts w:ascii="Book Antiqua" w:eastAsia="Book Antiqua" w:hAnsi="Book Antiqua" w:cs="Book Antiqua"/>
        </w:rPr>
        <w:t>Por los fundamentos antes expuestos, la Comisión de Transportación e Infraestructura, somete el presente Informe Positivo de</w:t>
      </w:r>
      <w:r w:rsidR="00A6682B" w:rsidRPr="0026127B">
        <w:rPr>
          <w:rFonts w:ascii="Book Antiqua" w:eastAsia="Book Antiqua" w:hAnsi="Book Antiqua" w:cs="Book Antiqua"/>
        </w:rPr>
        <w:t xml:space="preserve"> la R. C.</w:t>
      </w:r>
      <w:r w:rsidRPr="0026127B">
        <w:rPr>
          <w:rFonts w:ascii="Book Antiqua" w:eastAsia="Book Antiqua" w:hAnsi="Book Antiqua" w:cs="Book Antiqua"/>
        </w:rPr>
        <w:t xml:space="preserve"> del S.</w:t>
      </w:r>
      <w:r w:rsidR="008F309C">
        <w:rPr>
          <w:rFonts w:ascii="Book Antiqua" w:eastAsia="Book Antiqua" w:hAnsi="Book Antiqua" w:cs="Book Antiqua"/>
        </w:rPr>
        <w:t xml:space="preserve"> </w:t>
      </w:r>
      <w:r w:rsidR="006612E9">
        <w:rPr>
          <w:rFonts w:ascii="Book Antiqua" w:eastAsia="Book Antiqua" w:hAnsi="Book Antiqua" w:cs="Book Antiqua"/>
        </w:rPr>
        <w:t>1</w:t>
      </w:r>
      <w:r w:rsidR="00ED0501">
        <w:rPr>
          <w:rFonts w:ascii="Book Antiqua" w:eastAsia="Book Antiqua" w:hAnsi="Book Antiqua" w:cs="Book Antiqua"/>
        </w:rPr>
        <w:t>5</w:t>
      </w:r>
      <w:r w:rsidR="00045878">
        <w:rPr>
          <w:rFonts w:ascii="Book Antiqua" w:eastAsia="Book Antiqua" w:hAnsi="Book Antiqua" w:cs="Book Antiqua"/>
        </w:rPr>
        <w:t>3</w:t>
      </w:r>
      <w:r w:rsidRPr="0026127B">
        <w:rPr>
          <w:rFonts w:ascii="Book Antiqua" w:eastAsia="Book Antiqua" w:hAnsi="Book Antiqua" w:cs="Book Antiqua"/>
        </w:rPr>
        <w:t xml:space="preserve"> en el que recomendamos a este Honorable Cuerpo su aprobación</w:t>
      </w:r>
      <w:r w:rsidR="009908A9">
        <w:rPr>
          <w:rFonts w:ascii="Book Antiqua" w:eastAsia="Book Antiqua" w:hAnsi="Book Antiqua" w:cs="Book Antiqua"/>
        </w:rPr>
        <w:t xml:space="preserve">, con las enmiendas contenidas en el </w:t>
      </w:r>
      <w:proofErr w:type="spellStart"/>
      <w:r w:rsidR="009908A9">
        <w:rPr>
          <w:rFonts w:ascii="Book Antiqua" w:eastAsia="Book Antiqua" w:hAnsi="Book Antiqua" w:cs="Book Antiqua"/>
        </w:rPr>
        <w:t>entirillado</w:t>
      </w:r>
      <w:proofErr w:type="spellEnd"/>
      <w:r w:rsidR="009908A9">
        <w:rPr>
          <w:rFonts w:ascii="Book Antiqua" w:eastAsia="Book Antiqua" w:hAnsi="Book Antiqua" w:cs="Book Antiqua"/>
        </w:rPr>
        <w:t xml:space="preserve"> electrónico que se acompaña</w:t>
      </w:r>
      <w:r w:rsidR="00AA75AC" w:rsidRPr="0026127B">
        <w:rPr>
          <w:rFonts w:ascii="Book Antiqua" w:eastAsia="Book Antiqua" w:hAnsi="Book Antiqua" w:cs="Book Antiqua"/>
        </w:rPr>
        <w:t>.</w:t>
      </w:r>
    </w:p>
    <w:p w14:paraId="763807AF" w14:textId="77777777" w:rsidR="00500BFE" w:rsidRPr="0026127B" w:rsidRDefault="00500BFE" w:rsidP="00500BFE">
      <w:pPr>
        <w:jc w:val="both"/>
        <w:rPr>
          <w:rFonts w:ascii="Book Antiqua" w:eastAsia="Book Antiqua" w:hAnsi="Book Antiqua" w:cs="Book Antiqua"/>
        </w:rPr>
      </w:pPr>
    </w:p>
    <w:p w14:paraId="117502F1" w14:textId="77777777" w:rsidR="00155B12" w:rsidRPr="0026127B" w:rsidRDefault="00155B12" w:rsidP="00500BFE">
      <w:pPr>
        <w:jc w:val="both"/>
        <w:rPr>
          <w:rFonts w:ascii="Book Antiqua" w:eastAsia="Book Antiqua" w:hAnsi="Book Antiqua" w:cs="Book Antiqua"/>
        </w:rPr>
      </w:pPr>
    </w:p>
    <w:p w14:paraId="5CAC8400" w14:textId="44469C4A" w:rsidR="00A52329" w:rsidRPr="0026127B" w:rsidRDefault="00500BFE" w:rsidP="00A52329">
      <w:pPr>
        <w:jc w:val="both"/>
        <w:rPr>
          <w:rFonts w:ascii="Book Antiqua" w:eastAsia="Book Antiqua" w:hAnsi="Book Antiqua" w:cs="Book Antiqua"/>
        </w:rPr>
      </w:pPr>
      <w:r w:rsidRPr="0026127B">
        <w:rPr>
          <w:rFonts w:ascii="Book Antiqua" w:eastAsia="Book Antiqua" w:hAnsi="Book Antiqua" w:cs="Book Antiqua"/>
        </w:rPr>
        <w:t>Respetuosamente sometido,</w:t>
      </w:r>
    </w:p>
    <w:p w14:paraId="767685EF" w14:textId="77777777" w:rsidR="00A52329" w:rsidRPr="0026127B" w:rsidRDefault="00A52329" w:rsidP="00A52329">
      <w:pPr>
        <w:jc w:val="both"/>
        <w:rPr>
          <w:rFonts w:ascii="Book Antiqua" w:eastAsia="Book Antiqua" w:hAnsi="Book Antiqua" w:cs="Book Antiqua"/>
        </w:rPr>
      </w:pPr>
    </w:p>
    <w:p w14:paraId="79401603" w14:textId="77777777" w:rsidR="00A52329" w:rsidRPr="0026127B" w:rsidRDefault="00A52329" w:rsidP="00A52329">
      <w:pPr>
        <w:jc w:val="both"/>
        <w:rPr>
          <w:rFonts w:ascii="Book Antiqua" w:eastAsia="Book Antiqua" w:hAnsi="Book Antiqua" w:cs="Book Antiqua"/>
        </w:rPr>
      </w:pPr>
    </w:p>
    <w:p w14:paraId="40A90238" w14:textId="77777777" w:rsidR="00E76858" w:rsidRPr="0026127B" w:rsidRDefault="00E76858" w:rsidP="00A52329">
      <w:pPr>
        <w:jc w:val="both"/>
        <w:rPr>
          <w:rFonts w:ascii="Book Antiqua" w:eastAsia="Book Antiqua" w:hAnsi="Book Antiqua" w:cs="Book Antiqua"/>
        </w:rPr>
      </w:pPr>
    </w:p>
    <w:p w14:paraId="42B4BAFE" w14:textId="0231E9C4" w:rsidR="00A52329"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 xml:space="preserve">José A. Hernández Concepción </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t xml:space="preserve"> </w:t>
      </w:r>
    </w:p>
    <w:p w14:paraId="2A7670BA" w14:textId="77777777" w:rsidR="00A52329"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Presidente</w:t>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r w:rsidRPr="0026127B">
        <w:rPr>
          <w:rFonts w:ascii="Book Antiqua" w:eastAsia="Book Antiqua" w:hAnsi="Book Antiqua" w:cs="Book Antiqua"/>
        </w:rPr>
        <w:tab/>
      </w:r>
    </w:p>
    <w:p w14:paraId="3FF89B18" w14:textId="1CCF5555" w:rsidR="00500BFE" w:rsidRPr="0026127B" w:rsidRDefault="00A52329" w:rsidP="00A52329">
      <w:pPr>
        <w:jc w:val="both"/>
        <w:rPr>
          <w:rFonts w:ascii="Book Antiqua" w:eastAsia="Book Antiqua" w:hAnsi="Book Antiqua" w:cs="Book Antiqua"/>
        </w:rPr>
      </w:pPr>
      <w:r w:rsidRPr="0026127B">
        <w:rPr>
          <w:rFonts w:ascii="Book Antiqua" w:eastAsia="Book Antiqua" w:hAnsi="Book Antiqua" w:cs="Book Antiqua"/>
        </w:rPr>
        <w:t>Comisión de Transportación e Infraestructura</w:t>
      </w:r>
    </w:p>
    <w:sectPr w:rsidR="00500BFE" w:rsidRPr="0026127B">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76802" w14:textId="77777777" w:rsidR="00A10AEA" w:rsidRDefault="00A10AEA">
      <w:r>
        <w:separator/>
      </w:r>
    </w:p>
  </w:endnote>
  <w:endnote w:type="continuationSeparator" w:id="0">
    <w:p w14:paraId="7A5E5B7D" w14:textId="77777777" w:rsidR="00A10AEA" w:rsidRDefault="00A10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7190D33-35CF-4F57-A616-BE9C0965C2A2}"/>
  </w:font>
  <w:font w:name="Helvetica">
    <w:panose1 w:val="020B0604020202020204"/>
    <w:charset w:val="00"/>
    <w:family w:val="swiss"/>
    <w:pitch w:val="variable"/>
    <w:sig w:usb0="E0002EFF" w:usb1="C000785B" w:usb2="00000009" w:usb3="00000000" w:csb0="000001FF" w:csb1="00000000"/>
    <w:embedRegular r:id="rId2" w:fontKey="{AC8E5DB5-AC60-4881-8F52-334BA9EA14DA}"/>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F707FFE1-875C-40CC-B655-472051DB6D87}"/>
  </w:font>
  <w:font w:name="Georgia">
    <w:panose1 w:val="02040502050405020303"/>
    <w:charset w:val="00"/>
    <w:family w:val="roman"/>
    <w:pitch w:val="variable"/>
    <w:sig w:usb0="00000287" w:usb1="00000000" w:usb2="00000000" w:usb3="00000000" w:csb0="0000009F" w:csb1="00000000"/>
    <w:embedRegular r:id="rId4" w:fontKey="{2B75E887-4772-4BD8-B25F-D5DC035A6B80}"/>
    <w:embedItalic r:id="rId5" w:fontKey="{F10486A9-338D-4E63-9B7B-CC04675F3425}"/>
  </w:font>
  <w:font w:name="Book Antiqua">
    <w:panose1 w:val="02040602050305030304"/>
    <w:charset w:val="00"/>
    <w:family w:val="roman"/>
    <w:pitch w:val="variable"/>
    <w:sig w:usb0="00000287" w:usb1="00000000" w:usb2="00000000" w:usb3="00000000" w:csb0="0000009F" w:csb1="00000000"/>
    <w:embedRegular r:id="rId6" w:fontKey="{4177170E-1CC1-45C6-929D-492009CA3207}"/>
    <w:embedBold r:id="rId7" w:fontKey="{7EC285FE-D3BD-4318-9750-EEE88B569A21}"/>
  </w:font>
  <w:font w:name="Lustria">
    <w:altName w:val="Calibri"/>
    <w:charset w:val="00"/>
    <w:family w:val="auto"/>
    <w:pitch w:val="default"/>
    <w:embedRegular r:id="rId8" w:fontKey="{1E6E5202-E435-4D33-A39A-5C089EE14D28}"/>
    <w:embedBoldItalic r:id="rId9" w:fontKey="{DCF3BE4B-67C4-47A2-A0B0-35C07F33A567}"/>
  </w:font>
  <w:font w:name="Cambria">
    <w:panose1 w:val="02040503050406030204"/>
    <w:charset w:val="00"/>
    <w:family w:val="roman"/>
    <w:pitch w:val="variable"/>
    <w:sig w:usb0="E00006FF" w:usb1="420024FF" w:usb2="02000000" w:usb3="00000000" w:csb0="0000019F" w:csb1="00000000"/>
    <w:embedRegular r:id="rId10" w:fontKey="{F5C70854-B6F1-452E-A99E-329C50B657B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B7FFE" w14:textId="77777777" w:rsidR="00A10AEA" w:rsidRDefault="00A10AEA">
      <w:r>
        <w:separator/>
      </w:r>
    </w:p>
  </w:footnote>
  <w:footnote w:type="continuationSeparator" w:id="0">
    <w:p w14:paraId="4403DB23" w14:textId="77777777" w:rsidR="00A10AEA" w:rsidRDefault="00A10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EE60A0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B65CE9">
      <w:rPr>
        <w:rFonts w:ascii="Lustria" w:eastAsia="Lustria" w:hAnsi="Lustria" w:cs="Lustria"/>
        <w:b/>
        <w:i/>
        <w:sz w:val="22"/>
        <w:szCs w:val="22"/>
      </w:rPr>
      <w:t>1</w:t>
    </w:r>
    <w:r w:rsidR="00ED0501">
      <w:rPr>
        <w:rFonts w:ascii="Lustria" w:eastAsia="Lustria" w:hAnsi="Lustria" w:cs="Lustria"/>
        <w:b/>
        <w:i/>
        <w:sz w:val="22"/>
        <w:szCs w:val="22"/>
      </w:rPr>
      <w:t>5</w:t>
    </w:r>
    <w:r w:rsidR="00045878">
      <w:rPr>
        <w:rFonts w:ascii="Lustria" w:eastAsia="Lustria" w:hAnsi="Lustria" w:cs="Lustria"/>
        <w:b/>
        <w:i/>
        <w:sz w:val="22"/>
        <w:szCs w:val="22"/>
      </w:rPr>
      <w:t>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4BA5"/>
    <w:rsid w:val="000051BD"/>
    <w:rsid w:val="0001065E"/>
    <w:rsid w:val="00012F1A"/>
    <w:rsid w:val="0001379B"/>
    <w:rsid w:val="00020305"/>
    <w:rsid w:val="000241DA"/>
    <w:rsid w:val="0002740C"/>
    <w:rsid w:val="00041BCB"/>
    <w:rsid w:val="00042E35"/>
    <w:rsid w:val="00045878"/>
    <w:rsid w:val="00051D05"/>
    <w:rsid w:val="000562AB"/>
    <w:rsid w:val="00074013"/>
    <w:rsid w:val="00076E98"/>
    <w:rsid w:val="00080F3B"/>
    <w:rsid w:val="000825C8"/>
    <w:rsid w:val="0008761C"/>
    <w:rsid w:val="000913A9"/>
    <w:rsid w:val="000A752D"/>
    <w:rsid w:val="000C098A"/>
    <w:rsid w:val="000C5DB6"/>
    <w:rsid w:val="000D07D7"/>
    <w:rsid w:val="000E2A30"/>
    <w:rsid w:val="000F7A24"/>
    <w:rsid w:val="00100E1A"/>
    <w:rsid w:val="00101FB4"/>
    <w:rsid w:val="00106D94"/>
    <w:rsid w:val="0012417C"/>
    <w:rsid w:val="001460E6"/>
    <w:rsid w:val="001470AD"/>
    <w:rsid w:val="00147B7C"/>
    <w:rsid w:val="00150277"/>
    <w:rsid w:val="00155B12"/>
    <w:rsid w:val="00160C1F"/>
    <w:rsid w:val="001619B2"/>
    <w:rsid w:val="001714C4"/>
    <w:rsid w:val="001747C1"/>
    <w:rsid w:val="001868D0"/>
    <w:rsid w:val="0019085D"/>
    <w:rsid w:val="00191185"/>
    <w:rsid w:val="00193B71"/>
    <w:rsid w:val="001A3E93"/>
    <w:rsid w:val="001A7B31"/>
    <w:rsid w:val="001B487E"/>
    <w:rsid w:val="001C3006"/>
    <w:rsid w:val="001D0CA4"/>
    <w:rsid w:val="001D424E"/>
    <w:rsid w:val="001E16CE"/>
    <w:rsid w:val="001E2EB4"/>
    <w:rsid w:val="001E6E24"/>
    <w:rsid w:val="00202B9F"/>
    <w:rsid w:val="002039DE"/>
    <w:rsid w:val="00204C67"/>
    <w:rsid w:val="00220975"/>
    <w:rsid w:val="00222393"/>
    <w:rsid w:val="002274A1"/>
    <w:rsid w:val="00235829"/>
    <w:rsid w:val="0024429F"/>
    <w:rsid w:val="00253B77"/>
    <w:rsid w:val="00253D1A"/>
    <w:rsid w:val="002601B2"/>
    <w:rsid w:val="0026127B"/>
    <w:rsid w:val="00266B2F"/>
    <w:rsid w:val="00271BE1"/>
    <w:rsid w:val="00274850"/>
    <w:rsid w:val="00295E39"/>
    <w:rsid w:val="002A68BD"/>
    <w:rsid w:val="002B585E"/>
    <w:rsid w:val="002C022A"/>
    <w:rsid w:val="002C423C"/>
    <w:rsid w:val="002D3FA4"/>
    <w:rsid w:val="002D4DC3"/>
    <w:rsid w:val="002E1FA6"/>
    <w:rsid w:val="002E62AC"/>
    <w:rsid w:val="002E69C5"/>
    <w:rsid w:val="002E6DD3"/>
    <w:rsid w:val="002F0C30"/>
    <w:rsid w:val="003277C8"/>
    <w:rsid w:val="00327D30"/>
    <w:rsid w:val="00332B1F"/>
    <w:rsid w:val="00333FB4"/>
    <w:rsid w:val="00335C06"/>
    <w:rsid w:val="00343733"/>
    <w:rsid w:val="003448B4"/>
    <w:rsid w:val="0035050C"/>
    <w:rsid w:val="0035616B"/>
    <w:rsid w:val="0037197C"/>
    <w:rsid w:val="00373E49"/>
    <w:rsid w:val="00382780"/>
    <w:rsid w:val="00383D79"/>
    <w:rsid w:val="00386065"/>
    <w:rsid w:val="003867AC"/>
    <w:rsid w:val="0039352E"/>
    <w:rsid w:val="0039437F"/>
    <w:rsid w:val="003A0F94"/>
    <w:rsid w:val="003A18DE"/>
    <w:rsid w:val="003A5D78"/>
    <w:rsid w:val="003A5D97"/>
    <w:rsid w:val="003A6F6D"/>
    <w:rsid w:val="003B4467"/>
    <w:rsid w:val="003D54BD"/>
    <w:rsid w:val="003E479C"/>
    <w:rsid w:val="00400B99"/>
    <w:rsid w:val="00405A2B"/>
    <w:rsid w:val="004144B2"/>
    <w:rsid w:val="00421AF2"/>
    <w:rsid w:val="00424333"/>
    <w:rsid w:val="004277D8"/>
    <w:rsid w:val="00431557"/>
    <w:rsid w:val="00435044"/>
    <w:rsid w:val="004354B6"/>
    <w:rsid w:val="00443CB3"/>
    <w:rsid w:val="004608ED"/>
    <w:rsid w:val="004673DA"/>
    <w:rsid w:val="0047119B"/>
    <w:rsid w:val="00472D31"/>
    <w:rsid w:val="004730E0"/>
    <w:rsid w:val="00473D39"/>
    <w:rsid w:val="00475814"/>
    <w:rsid w:val="00480A1C"/>
    <w:rsid w:val="00484117"/>
    <w:rsid w:val="00492277"/>
    <w:rsid w:val="0049326F"/>
    <w:rsid w:val="004948B3"/>
    <w:rsid w:val="004A6565"/>
    <w:rsid w:val="004B2FAA"/>
    <w:rsid w:val="004D0988"/>
    <w:rsid w:val="004D3D36"/>
    <w:rsid w:val="004D61AC"/>
    <w:rsid w:val="004E176A"/>
    <w:rsid w:val="004E28E4"/>
    <w:rsid w:val="00500BFE"/>
    <w:rsid w:val="00501798"/>
    <w:rsid w:val="005059B4"/>
    <w:rsid w:val="00506A3D"/>
    <w:rsid w:val="005074E7"/>
    <w:rsid w:val="005227C0"/>
    <w:rsid w:val="00522C70"/>
    <w:rsid w:val="00523B9F"/>
    <w:rsid w:val="00542A67"/>
    <w:rsid w:val="005456F5"/>
    <w:rsid w:val="00550313"/>
    <w:rsid w:val="00550BD6"/>
    <w:rsid w:val="00550E47"/>
    <w:rsid w:val="00557604"/>
    <w:rsid w:val="0058462F"/>
    <w:rsid w:val="005858EA"/>
    <w:rsid w:val="00595BE0"/>
    <w:rsid w:val="00596F5B"/>
    <w:rsid w:val="005A1843"/>
    <w:rsid w:val="005C4C61"/>
    <w:rsid w:val="005D2AD0"/>
    <w:rsid w:val="005D7739"/>
    <w:rsid w:val="005E4A2F"/>
    <w:rsid w:val="00603A67"/>
    <w:rsid w:val="00605312"/>
    <w:rsid w:val="00605CE1"/>
    <w:rsid w:val="0060692B"/>
    <w:rsid w:val="006324D3"/>
    <w:rsid w:val="00634A0A"/>
    <w:rsid w:val="00634A11"/>
    <w:rsid w:val="006354F3"/>
    <w:rsid w:val="00642646"/>
    <w:rsid w:val="006612E9"/>
    <w:rsid w:val="006705AA"/>
    <w:rsid w:val="00675304"/>
    <w:rsid w:val="00677714"/>
    <w:rsid w:val="0068352C"/>
    <w:rsid w:val="006908FA"/>
    <w:rsid w:val="00692271"/>
    <w:rsid w:val="00695E14"/>
    <w:rsid w:val="006A552A"/>
    <w:rsid w:val="006A7E5E"/>
    <w:rsid w:val="006B2D09"/>
    <w:rsid w:val="006C5EC5"/>
    <w:rsid w:val="006D11F6"/>
    <w:rsid w:val="006D297F"/>
    <w:rsid w:val="006E029C"/>
    <w:rsid w:val="006E0457"/>
    <w:rsid w:val="006E188B"/>
    <w:rsid w:val="00700566"/>
    <w:rsid w:val="0071797E"/>
    <w:rsid w:val="00734831"/>
    <w:rsid w:val="00735C8F"/>
    <w:rsid w:val="00760157"/>
    <w:rsid w:val="00766B8B"/>
    <w:rsid w:val="00771802"/>
    <w:rsid w:val="00772095"/>
    <w:rsid w:val="00782F62"/>
    <w:rsid w:val="00784A5C"/>
    <w:rsid w:val="00785FCE"/>
    <w:rsid w:val="0079045F"/>
    <w:rsid w:val="007923B1"/>
    <w:rsid w:val="00797E58"/>
    <w:rsid w:val="00797FCC"/>
    <w:rsid w:val="007C31AB"/>
    <w:rsid w:val="007C3C34"/>
    <w:rsid w:val="007C437A"/>
    <w:rsid w:val="007C6404"/>
    <w:rsid w:val="007E4895"/>
    <w:rsid w:val="007E5B26"/>
    <w:rsid w:val="007F048A"/>
    <w:rsid w:val="007F09EB"/>
    <w:rsid w:val="007F0CDC"/>
    <w:rsid w:val="007F3D0C"/>
    <w:rsid w:val="007F5687"/>
    <w:rsid w:val="00817784"/>
    <w:rsid w:val="00827472"/>
    <w:rsid w:val="0083404D"/>
    <w:rsid w:val="008355F8"/>
    <w:rsid w:val="00835F7B"/>
    <w:rsid w:val="00842EBD"/>
    <w:rsid w:val="0085373F"/>
    <w:rsid w:val="0085568D"/>
    <w:rsid w:val="00875CE7"/>
    <w:rsid w:val="0089076A"/>
    <w:rsid w:val="008A645B"/>
    <w:rsid w:val="008A65F0"/>
    <w:rsid w:val="008A7B90"/>
    <w:rsid w:val="008B5454"/>
    <w:rsid w:val="008D155E"/>
    <w:rsid w:val="008D3F5B"/>
    <w:rsid w:val="008E7719"/>
    <w:rsid w:val="008F309C"/>
    <w:rsid w:val="008F30F0"/>
    <w:rsid w:val="00902B02"/>
    <w:rsid w:val="009048A3"/>
    <w:rsid w:val="0091544D"/>
    <w:rsid w:val="00922397"/>
    <w:rsid w:val="00936FF9"/>
    <w:rsid w:val="00940A79"/>
    <w:rsid w:val="00971CCC"/>
    <w:rsid w:val="009742B0"/>
    <w:rsid w:val="00974751"/>
    <w:rsid w:val="009821D1"/>
    <w:rsid w:val="0098466F"/>
    <w:rsid w:val="009908A9"/>
    <w:rsid w:val="009B0D2E"/>
    <w:rsid w:val="009C41A1"/>
    <w:rsid w:val="009D3705"/>
    <w:rsid w:val="009E0BE7"/>
    <w:rsid w:val="009E7555"/>
    <w:rsid w:val="00A10AEA"/>
    <w:rsid w:val="00A11D0B"/>
    <w:rsid w:val="00A13B86"/>
    <w:rsid w:val="00A2169D"/>
    <w:rsid w:val="00A24012"/>
    <w:rsid w:val="00A27CCB"/>
    <w:rsid w:val="00A43849"/>
    <w:rsid w:val="00A52329"/>
    <w:rsid w:val="00A54084"/>
    <w:rsid w:val="00A577EF"/>
    <w:rsid w:val="00A57E02"/>
    <w:rsid w:val="00A62FD8"/>
    <w:rsid w:val="00A63201"/>
    <w:rsid w:val="00A66223"/>
    <w:rsid w:val="00A6682B"/>
    <w:rsid w:val="00A95142"/>
    <w:rsid w:val="00AA75AC"/>
    <w:rsid w:val="00AB45BB"/>
    <w:rsid w:val="00AC7FD7"/>
    <w:rsid w:val="00AD05EA"/>
    <w:rsid w:val="00AD2573"/>
    <w:rsid w:val="00AE1FD3"/>
    <w:rsid w:val="00AE44CF"/>
    <w:rsid w:val="00AF20A7"/>
    <w:rsid w:val="00B41E61"/>
    <w:rsid w:val="00B43BBC"/>
    <w:rsid w:val="00B43F9D"/>
    <w:rsid w:val="00B45C76"/>
    <w:rsid w:val="00B46ABC"/>
    <w:rsid w:val="00B52476"/>
    <w:rsid w:val="00B57A56"/>
    <w:rsid w:val="00B60F38"/>
    <w:rsid w:val="00B6264C"/>
    <w:rsid w:val="00B65CE9"/>
    <w:rsid w:val="00B74CA0"/>
    <w:rsid w:val="00B803A7"/>
    <w:rsid w:val="00B93150"/>
    <w:rsid w:val="00B97590"/>
    <w:rsid w:val="00BA1459"/>
    <w:rsid w:val="00BA4DF7"/>
    <w:rsid w:val="00BA69C3"/>
    <w:rsid w:val="00BD2838"/>
    <w:rsid w:val="00BD5786"/>
    <w:rsid w:val="00BE2F13"/>
    <w:rsid w:val="00BF05EF"/>
    <w:rsid w:val="00C00768"/>
    <w:rsid w:val="00C011C2"/>
    <w:rsid w:val="00C023B0"/>
    <w:rsid w:val="00C13D9D"/>
    <w:rsid w:val="00C1423C"/>
    <w:rsid w:val="00C2567D"/>
    <w:rsid w:val="00C33A5F"/>
    <w:rsid w:val="00C41F71"/>
    <w:rsid w:val="00C4572A"/>
    <w:rsid w:val="00C62A5E"/>
    <w:rsid w:val="00C64AC0"/>
    <w:rsid w:val="00C667AF"/>
    <w:rsid w:val="00C67512"/>
    <w:rsid w:val="00C7132A"/>
    <w:rsid w:val="00C73728"/>
    <w:rsid w:val="00C760D1"/>
    <w:rsid w:val="00C82CE2"/>
    <w:rsid w:val="00C87206"/>
    <w:rsid w:val="00C944CF"/>
    <w:rsid w:val="00CA549E"/>
    <w:rsid w:val="00CA6335"/>
    <w:rsid w:val="00CB5781"/>
    <w:rsid w:val="00CC0947"/>
    <w:rsid w:val="00CD59A0"/>
    <w:rsid w:val="00CD62E0"/>
    <w:rsid w:val="00CE3657"/>
    <w:rsid w:val="00CE3E07"/>
    <w:rsid w:val="00D025D8"/>
    <w:rsid w:val="00D13155"/>
    <w:rsid w:val="00D13E16"/>
    <w:rsid w:val="00D16C60"/>
    <w:rsid w:val="00D237DA"/>
    <w:rsid w:val="00D25B1E"/>
    <w:rsid w:val="00D3678D"/>
    <w:rsid w:val="00D36CAF"/>
    <w:rsid w:val="00D5029F"/>
    <w:rsid w:val="00D50BE3"/>
    <w:rsid w:val="00D60BBD"/>
    <w:rsid w:val="00D82337"/>
    <w:rsid w:val="00D83118"/>
    <w:rsid w:val="00D84688"/>
    <w:rsid w:val="00D94DD2"/>
    <w:rsid w:val="00DA0D83"/>
    <w:rsid w:val="00DB02F9"/>
    <w:rsid w:val="00DB46A4"/>
    <w:rsid w:val="00DD6D1E"/>
    <w:rsid w:val="00DE2947"/>
    <w:rsid w:val="00DE6658"/>
    <w:rsid w:val="00DF212A"/>
    <w:rsid w:val="00E135D5"/>
    <w:rsid w:val="00E16D68"/>
    <w:rsid w:val="00E234AF"/>
    <w:rsid w:val="00E24AC1"/>
    <w:rsid w:val="00E26D93"/>
    <w:rsid w:val="00E27B7F"/>
    <w:rsid w:val="00E3056E"/>
    <w:rsid w:val="00E374AE"/>
    <w:rsid w:val="00E400F3"/>
    <w:rsid w:val="00E43EC8"/>
    <w:rsid w:val="00E47E21"/>
    <w:rsid w:val="00E6164E"/>
    <w:rsid w:val="00E622ED"/>
    <w:rsid w:val="00E62D96"/>
    <w:rsid w:val="00E7155F"/>
    <w:rsid w:val="00E76858"/>
    <w:rsid w:val="00E776D5"/>
    <w:rsid w:val="00E8576C"/>
    <w:rsid w:val="00E94557"/>
    <w:rsid w:val="00E9522B"/>
    <w:rsid w:val="00E972E9"/>
    <w:rsid w:val="00EA26A1"/>
    <w:rsid w:val="00EB340F"/>
    <w:rsid w:val="00EB7A6F"/>
    <w:rsid w:val="00EC436A"/>
    <w:rsid w:val="00ED0501"/>
    <w:rsid w:val="00EE1E93"/>
    <w:rsid w:val="00EE22C6"/>
    <w:rsid w:val="00EE5B6A"/>
    <w:rsid w:val="00F01A45"/>
    <w:rsid w:val="00F01B4D"/>
    <w:rsid w:val="00F032FA"/>
    <w:rsid w:val="00F05EFF"/>
    <w:rsid w:val="00F104E1"/>
    <w:rsid w:val="00F26D5A"/>
    <w:rsid w:val="00F366B9"/>
    <w:rsid w:val="00F51F13"/>
    <w:rsid w:val="00F51FE2"/>
    <w:rsid w:val="00F53C67"/>
    <w:rsid w:val="00F615C8"/>
    <w:rsid w:val="00F64D5F"/>
    <w:rsid w:val="00F82B64"/>
    <w:rsid w:val="00F97201"/>
    <w:rsid w:val="00FA54CC"/>
    <w:rsid w:val="00FA574C"/>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670</Words>
  <Characters>3822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2026-06-18T18:19:00Z</cp:lastPrinted>
  <dcterms:created xsi:type="dcterms:W3CDTF">2026-06-23T17:54:00Z</dcterms:created>
  <dcterms:modified xsi:type="dcterms:W3CDTF">2026-06-23T17:54:00Z</dcterms:modified>
</cp:coreProperties>
</file>